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46474" w14:textId="77777777" w:rsidR="00D77CF6" w:rsidRDefault="00D77CF6">
      <w:pPr>
        <w:spacing w:line="240" w:lineRule="auto"/>
        <w:rPr>
          <w:lang w:val="lt-LT"/>
        </w:rPr>
      </w:pPr>
    </w:p>
    <w:p w14:paraId="7DAE900D" w14:textId="77777777" w:rsidR="00D77CF6" w:rsidRDefault="00D77CF6">
      <w:pPr>
        <w:spacing w:line="240" w:lineRule="auto"/>
        <w:rPr>
          <w:lang w:val="lt-LT"/>
        </w:rPr>
      </w:pPr>
    </w:p>
    <w:p w14:paraId="2CD941BA" w14:textId="77777777" w:rsidR="00D77CF6" w:rsidRDefault="00D77CF6">
      <w:pPr>
        <w:spacing w:line="240" w:lineRule="auto"/>
        <w:rPr>
          <w:lang w:val="lt-LT"/>
        </w:rPr>
      </w:pPr>
    </w:p>
    <w:p w14:paraId="25BB51EA" w14:textId="77777777" w:rsidR="00D77CF6" w:rsidRDefault="00D77CF6">
      <w:pPr>
        <w:spacing w:line="240" w:lineRule="auto"/>
        <w:rPr>
          <w:lang w:val="lt-LT"/>
        </w:rPr>
      </w:pPr>
    </w:p>
    <w:p w14:paraId="1E425394" w14:textId="77777777" w:rsidR="00D77CF6" w:rsidRDefault="00D77CF6">
      <w:pPr>
        <w:spacing w:line="240" w:lineRule="auto"/>
        <w:rPr>
          <w:lang w:val="lt-LT"/>
        </w:rPr>
      </w:pPr>
    </w:p>
    <w:p w14:paraId="718D18DF" w14:textId="77777777" w:rsidR="00D77CF6" w:rsidRDefault="00D77CF6">
      <w:pPr>
        <w:spacing w:line="240" w:lineRule="auto"/>
        <w:rPr>
          <w:lang w:val="lt-LT"/>
        </w:rPr>
      </w:pPr>
    </w:p>
    <w:p w14:paraId="4D00277C" w14:textId="77777777" w:rsidR="00D77CF6" w:rsidRDefault="00D77CF6">
      <w:pPr>
        <w:spacing w:line="240" w:lineRule="auto"/>
        <w:rPr>
          <w:lang w:val="lt-LT"/>
        </w:rPr>
      </w:pPr>
    </w:p>
    <w:p w14:paraId="19F79F49" w14:textId="77777777" w:rsidR="00D77CF6" w:rsidRDefault="00D77CF6">
      <w:pPr>
        <w:spacing w:line="240" w:lineRule="auto"/>
        <w:rPr>
          <w:lang w:val="lt-LT"/>
        </w:rPr>
      </w:pPr>
    </w:p>
    <w:p w14:paraId="4BA661D3" w14:textId="77777777" w:rsidR="00D77CF6" w:rsidRDefault="00D77CF6">
      <w:pPr>
        <w:spacing w:line="240" w:lineRule="auto"/>
        <w:rPr>
          <w:lang w:val="lt-LT"/>
        </w:rPr>
      </w:pPr>
    </w:p>
    <w:p w14:paraId="4903BF3B" w14:textId="77777777" w:rsidR="00D77CF6" w:rsidRDefault="00D77CF6">
      <w:pPr>
        <w:spacing w:line="240" w:lineRule="auto"/>
        <w:rPr>
          <w:lang w:val="lt-LT"/>
        </w:rPr>
      </w:pPr>
    </w:p>
    <w:p w14:paraId="2FCC23A2" w14:textId="77777777" w:rsidR="00D77CF6" w:rsidRDefault="00D77CF6">
      <w:pPr>
        <w:pStyle w:val="BTEMEASMCA"/>
      </w:pPr>
    </w:p>
    <w:p w14:paraId="457FD897" w14:textId="77777777" w:rsidR="00D77CF6" w:rsidRDefault="00D77CF6">
      <w:pPr>
        <w:pStyle w:val="BTEMEASMCA"/>
      </w:pPr>
    </w:p>
    <w:p w14:paraId="54A4F16B" w14:textId="77777777" w:rsidR="00D77CF6" w:rsidRDefault="00D77CF6">
      <w:pPr>
        <w:pStyle w:val="BTEMEASMCA"/>
      </w:pPr>
    </w:p>
    <w:p w14:paraId="56CE8A89" w14:textId="77777777" w:rsidR="00D77CF6" w:rsidRDefault="00D77CF6">
      <w:pPr>
        <w:pStyle w:val="BTEMEASMCA"/>
      </w:pPr>
    </w:p>
    <w:p w14:paraId="4CA57C7D" w14:textId="77777777" w:rsidR="00D77CF6" w:rsidRDefault="00D77CF6">
      <w:pPr>
        <w:pStyle w:val="BTEMEASMCA"/>
      </w:pPr>
    </w:p>
    <w:p w14:paraId="03A5B5A2" w14:textId="77777777" w:rsidR="00D77CF6" w:rsidRDefault="00D77CF6">
      <w:pPr>
        <w:pStyle w:val="BTEMEASMCA"/>
      </w:pPr>
    </w:p>
    <w:p w14:paraId="0735C2C0" w14:textId="77777777" w:rsidR="00D77CF6" w:rsidRDefault="00D77CF6">
      <w:pPr>
        <w:pStyle w:val="BTEMEASMCA"/>
      </w:pPr>
    </w:p>
    <w:p w14:paraId="347CEA63" w14:textId="77777777" w:rsidR="00D77CF6" w:rsidRDefault="00D77CF6">
      <w:pPr>
        <w:pStyle w:val="BTEMEASMCA"/>
      </w:pPr>
    </w:p>
    <w:p w14:paraId="37389901" w14:textId="77777777" w:rsidR="00D77CF6" w:rsidRDefault="00D77CF6">
      <w:pPr>
        <w:pStyle w:val="BTEMEASMCA"/>
      </w:pPr>
    </w:p>
    <w:p w14:paraId="11528851" w14:textId="77777777" w:rsidR="00D77CF6" w:rsidRDefault="00D77CF6">
      <w:pPr>
        <w:pStyle w:val="BTEMEASMCA"/>
      </w:pPr>
    </w:p>
    <w:p w14:paraId="264453CF" w14:textId="77777777" w:rsidR="00D77CF6" w:rsidRDefault="00D77CF6">
      <w:pPr>
        <w:pStyle w:val="BTEMEASMCA"/>
      </w:pPr>
    </w:p>
    <w:p w14:paraId="264FF183" w14:textId="77777777" w:rsidR="00D77CF6" w:rsidRDefault="00D77CF6">
      <w:pPr>
        <w:pStyle w:val="BTEMEASMCA"/>
      </w:pPr>
    </w:p>
    <w:p w14:paraId="63F0E2BD" w14:textId="77777777" w:rsidR="00D77CF6" w:rsidRDefault="00D77CF6">
      <w:pPr>
        <w:pStyle w:val="BTEMEASMCA"/>
      </w:pPr>
    </w:p>
    <w:p w14:paraId="2B3756AF" w14:textId="77777777" w:rsidR="00D77CF6" w:rsidRDefault="00B25D9E">
      <w:pPr>
        <w:pStyle w:val="TTEMEASMCA"/>
      </w:pPr>
      <w:r>
        <w:t>I PRIEDAS</w:t>
      </w:r>
    </w:p>
    <w:p w14:paraId="0505523E" w14:textId="77777777" w:rsidR="00D77CF6" w:rsidRDefault="00D77CF6">
      <w:pPr>
        <w:pStyle w:val="BTEMEASMCA"/>
      </w:pPr>
    </w:p>
    <w:p w14:paraId="3830BFC2" w14:textId="77777777" w:rsidR="00D77CF6" w:rsidRDefault="00B25D9E">
      <w:pPr>
        <w:pStyle w:val="TTEMEASMCA"/>
      </w:pPr>
      <w:r>
        <w:t>PREPARATO CHARAKTERISTIKŲ SANTRAUKA</w:t>
      </w:r>
      <w:r>
        <w:br w:type="page"/>
      </w:r>
    </w:p>
    <w:p w14:paraId="413947E6" w14:textId="77777777" w:rsidR="00D77CF6" w:rsidRDefault="00B25D9E">
      <w:pPr>
        <w:pStyle w:val="Betarp"/>
        <w:rPr>
          <w:b/>
          <w:lang w:val="lt-LT"/>
        </w:rPr>
      </w:pPr>
      <w:bookmarkStart w:id="0" w:name="_Toc129243223"/>
      <w:bookmarkStart w:id="1" w:name="_Toc129243098"/>
      <w:r>
        <w:rPr>
          <w:b/>
          <w:lang w:val="lt-LT"/>
        </w:rPr>
        <w:lastRenderedPageBreak/>
        <w:t>1.</w:t>
      </w:r>
      <w:r>
        <w:rPr>
          <w:b/>
          <w:lang w:val="lt-LT"/>
        </w:rPr>
        <w:tab/>
        <w:t>VAISTINIO PREPARATO PAVADINIMAS</w:t>
      </w:r>
      <w:bookmarkEnd w:id="0"/>
      <w:bookmarkEnd w:id="1"/>
    </w:p>
    <w:p w14:paraId="4D8814E6" w14:textId="77777777" w:rsidR="00D77CF6" w:rsidRDefault="00D77CF6">
      <w:pPr>
        <w:pStyle w:val="Betarp"/>
        <w:rPr>
          <w:lang w:val="lt-LT"/>
        </w:rPr>
      </w:pPr>
    </w:p>
    <w:p w14:paraId="7896AD4B" w14:textId="77777777" w:rsidR="00D77CF6" w:rsidRDefault="00B25D9E">
      <w:pPr>
        <w:pStyle w:val="Betarp"/>
        <w:rPr>
          <w:lang w:val="lt-LT"/>
        </w:rPr>
      </w:pPr>
      <w:r>
        <w:rPr>
          <w:lang w:val="lt-LT"/>
        </w:rPr>
        <w:t>Fixopost 50 mikrogramų/5 mg/ml akių lašai (tirpalas)</w:t>
      </w:r>
    </w:p>
    <w:p w14:paraId="47830C1C" w14:textId="77777777" w:rsidR="00D77CF6" w:rsidRDefault="00D77CF6">
      <w:pPr>
        <w:pStyle w:val="Betarp"/>
        <w:rPr>
          <w:lang w:val="lt-LT"/>
        </w:rPr>
      </w:pPr>
    </w:p>
    <w:p w14:paraId="09745D60" w14:textId="77777777" w:rsidR="00D77CF6" w:rsidRDefault="00D77CF6">
      <w:pPr>
        <w:pStyle w:val="Betarp"/>
        <w:rPr>
          <w:lang w:val="lt-LT"/>
        </w:rPr>
      </w:pPr>
    </w:p>
    <w:p w14:paraId="502EDF20" w14:textId="77777777" w:rsidR="00D77CF6" w:rsidRDefault="00B25D9E">
      <w:pPr>
        <w:pStyle w:val="Betarp"/>
        <w:rPr>
          <w:b/>
          <w:lang w:val="lt-LT"/>
        </w:rPr>
      </w:pPr>
      <w:bookmarkStart w:id="2" w:name="_Toc129243224"/>
      <w:bookmarkStart w:id="3" w:name="_Toc129243099"/>
      <w:r>
        <w:rPr>
          <w:b/>
          <w:lang w:val="lt-LT"/>
        </w:rPr>
        <w:t>2.</w:t>
      </w:r>
      <w:r>
        <w:rPr>
          <w:b/>
          <w:lang w:val="lt-LT"/>
        </w:rPr>
        <w:tab/>
        <w:t>KOKYBINĖ IR KIEKYBINĖ SUDĖTIS</w:t>
      </w:r>
      <w:bookmarkEnd w:id="2"/>
      <w:bookmarkEnd w:id="3"/>
    </w:p>
    <w:p w14:paraId="3132B1C2" w14:textId="77777777" w:rsidR="00D77CF6" w:rsidRDefault="00D77CF6">
      <w:pPr>
        <w:pStyle w:val="Betarp"/>
        <w:rPr>
          <w:lang w:val="lt-LT"/>
        </w:rPr>
      </w:pPr>
    </w:p>
    <w:p w14:paraId="00DA1EDF" w14:textId="2F231362" w:rsidR="00D77CF6" w:rsidRDefault="00B25D9E">
      <w:pPr>
        <w:pStyle w:val="Betarp"/>
        <w:rPr>
          <w:lang w:val="lt-LT"/>
        </w:rPr>
      </w:pPr>
      <w:r>
        <w:rPr>
          <w:lang w:val="lt-LT"/>
        </w:rPr>
        <w:t>1 ml tirpalo yra 50 mikrogramų latanoprosto ir 5 mg timololio (timololio maleato pavidalu).</w:t>
      </w:r>
    </w:p>
    <w:p w14:paraId="4ADEF7C0" w14:textId="77777777" w:rsidR="00D77CF6" w:rsidRDefault="00D77CF6">
      <w:pPr>
        <w:pStyle w:val="Betarp"/>
        <w:rPr>
          <w:lang w:val="lt-LT"/>
        </w:rPr>
      </w:pPr>
    </w:p>
    <w:p w14:paraId="66D35711" w14:textId="77777777" w:rsidR="00D77CF6" w:rsidRDefault="00B25D9E">
      <w:pPr>
        <w:pStyle w:val="Betarp"/>
        <w:rPr>
          <w:lang w:val="lt-LT"/>
        </w:rPr>
      </w:pPr>
      <w:r>
        <w:rPr>
          <w:lang w:val="lt-LT"/>
        </w:rPr>
        <w:t>Viename laše yra maždaug 1,5 mikrogramo latanoprosto ir 0,15 mg timololio.</w:t>
      </w:r>
    </w:p>
    <w:p w14:paraId="54C01612" w14:textId="77777777" w:rsidR="00D77CF6" w:rsidRDefault="00D77CF6">
      <w:pPr>
        <w:pStyle w:val="Betarp"/>
        <w:rPr>
          <w:lang w:val="lt-LT"/>
        </w:rPr>
      </w:pPr>
    </w:p>
    <w:p w14:paraId="681B83C8" w14:textId="77777777" w:rsidR="00D77CF6" w:rsidRDefault="00B25D9E">
      <w:pPr>
        <w:pStyle w:val="Betarp"/>
        <w:rPr>
          <w:lang w:val="lt-LT"/>
        </w:rPr>
      </w:pPr>
      <w:r>
        <w:rPr>
          <w:u w:val="single"/>
          <w:lang w:val="lt-LT"/>
        </w:rPr>
        <w:t>Pagalbinė (-s) medžiaga (-os), kurios (-ių) poveikis žinomas</w:t>
      </w:r>
      <w:r>
        <w:rPr>
          <w:lang w:val="lt-LT"/>
        </w:rPr>
        <w:t xml:space="preserve">: </w:t>
      </w:r>
    </w:p>
    <w:p w14:paraId="029B884B" w14:textId="77777777" w:rsidR="00D77CF6" w:rsidRDefault="00B25D9E">
      <w:pPr>
        <w:pStyle w:val="Betarp"/>
        <w:rPr>
          <w:lang w:val="lt-LT"/>
        </w:rPr>
      </w:pPr>
      <w:r>
        <w:rPr>
          <w:lang w:val="lt-LT"/>
        </w:rPr>
        <w:t>1 ml akių lašų (tirpalo) yra 50 mg makrogolglicerolio hidroksistearato (polioksilo hidrinto ricinos aliejaus).</w:t>
      </w:r>
    </w:p>
    <w:p w14:paraId="23C869A8" w14:textId="77777777" w:rsidR="00D77CF6" w:rsidRDefault="00D77CF6">
      <w:pPr>
        <w:pStyle w:val="Betarp"/>
        <w:rPr>
          <w:lang w:val="lt-LT"/>
        </w:rPr>
      </w:pPr>
    </w:p>
    <w:p w14:paraId="5A8A25A7" w14:textId="77777777" w:rsidR="00D77CF6" w:rsidRDefault="00B25D9E">
      <w:pPr>
        <w:pStyle w:val="Betarp"/>
        <w:rPr>
          <w:lang w:val="lt-LT"/>
        </w:rPr>
      </w:pPr>
      <w:r>
        <w:rPr>
          <w:lang w:val="lt-LT"/>
        </w:rPr>
        <w:t>Visos pagalbinės medžiagos išvardytos 6.1 skyriuje.</w:t>
      </w:r>
    </w:p>
    <w:p w14:paraId="00D35D6D" w14:textId="77777777" w:rsidR="00D77CF6" w:rsidRDefault="00D77CF6">
      <w:pPr>
        <w:pStyle w:val="Betarp"/>
        <w:rPr>
          <w:lang w:val="lt-LT"/>
        </w:rPr>
      </w:pPr>
    </w:p>
    <w:p w14:paraId="47B3C556" w14:textId="77777777" w:rsidR="00D77CF6" w:rsidRDefault="00D77CF6">
      <w:pPr>
        <w:pStyle w:val="Betarp"/>
        <w:rPr>
          <w:lang w:val="lt-LT"/>
        </w:rPr>
      </w:pPr>
    </w:p>
    <w:p w14:paraId="56A64A8F" w14:textId="77777777" w:rsidR="00D77CF6" w:rsidRDefault="00B25D9E">
      <w:pPr>
        <w:pStyle w:val="Betarp"/>
        <w:rPr>
          <w:b/>
          <w:lang w:val="lt-LT"/>
        </w:rPr>
      </w:pPr>
      <w:bookmarkStart w:id="4" w:name="_Toc129243225"/>
      <w:bookmarkStart w:id="5" w:name="_Toc129243100"/>
      <w:r>
        <w:rPr>
          <w:b/>
          <w:lang w:val="lt-LT"/>
        </w:rPr>
        <w:t>3.</w:t>
      </w:r>
      <w:r>
        <w:rPr>
          <w:b/>
          <w:lang w:val="lt-LT"/>
        </w:rPr>
        <w:tab/>
        <w:t>FARMACINĖ FORMA</w:t>
      </w:r>
      <w:bookmarkEnd w:id="4"/>
      <w:bookmarkEnd w:id="5"/>
    </w:p>
    <w:p w14:paraId="44873ED8" w14:textId="77777777" w:rsidR="00D77CF6" w:rsidRDefault="00D77CF6">
      <w:pPr>
        <w:pStyle w:val="Betarp"/>
        <w:rPr>
          <w:lang w:val="lt-LT"/>
        </w:rPr>
      </w:pPr>
    </w:p>
    <w:p w14:paraId="1382B7B8" w14:textId="77777777" w:rsidR="00D77CF6" w:rsidRDefault="00B25D9E">
      <w:pPr>
        <w:pStyle w:val="Betarp"/>
        <w:rPr>
          <w:lang w:val="lt-LT"/>
        </w:rPr>
      </w:pPr>
      <w:r>
        <w:rPr>
          <w:lang w:val="lt-LT"/>
        </w:rPr>
        <w:t>Akių lašai (tirpalas).</w:t>
      </w:r>
    </w:p>
    <w:p w14:paraId="18CEB9C1" w14:textId="77777777" w:rsidR="00D77CF6" w:rsidRDefault="00B25D9E">
      <w:pPr>
        <w:pStyle w:val="Betarp"/>
        <w:rPr>
          <w:lang w:val="lt-LT"/>
        </w:rPr>
      </w:pPr>
      <w:r>
        <w:rPr>
          <w:lang w:val="lt-LT"/>
        </w:rPr>
        <w:t>Šviesiai geltonas ir opalinis tirpalas, beveik be dalelių.</w:t>
      </w:r>
    </w:p>
    <w:p w14:paraId="4DB8E586" w14:textId="77777777" w:rsidR="00D77CF6" w:rsidRDefault="00B25D9E">
      <w:pPr>
        <w:pStyle w:val="Betarp"/>
        <w:rPr>
          <w:lang w:val="lt-LT"/>
        </w:rPr>
      </w:pPr>
      <w:r>
        <w:rPr>
          <w:lang w:val="lt-LT"/>
        </w:rPr>
        <w:t>pH: 5,7–6,2</w:t>
      </w:r>
    </w:p>
    <w:p w14:paraId="494A194D" w14:textId="77777777" w:rsidR="00D77CF6" w:rsidRDefault="00B25D9E">
      <w:pPr>
        <w:pStyle w:val="Betarp"/>
        <w:rPr>
          <w:lang w:val="lt-LT"/>
        </w:rPr>
      </w:pPr>
      <w:r>
        <w:rPr>
          <w:lang w:val="lt-LT"/>
        </w:rPr>
        <w:t>Osmoliališkumas: 300–340 mOsmol/kg.</w:t>
      </w:r>
    </w:p>
    <w:p w14:paraId="3AB96DB9" w14:textId="77777777" w:rsidR="00D77CF6" w:rsidRDefault="00D77CF6">
      <w:pPr>
        <w:pStyle w:val="Betarp"/>
        <w:rPr>
          <w:lang w:val="lt-LT"/>
        </w:rPr>
      </w:pPr>
    </w:p>
    <w:p w14:paraId="76B3285F" w14:textId="77777777" w:rsidR="00D77CF6" w:rsidRDefault="00D77CF6">
      <w:pPr>
        <w:pStyle w:val="Betarp"/>
        <w:rPr>
          <w:lang w:val="lt-LT"/>
        </w:rPr>
      </w:pPr>
    </w:p>
    <w:p w14:paraId="5220C05E" w14:textId="77777777" w:rsidR="00D77CF6" w:rsidRDefault="00B25D9E">
      <w:pPr>
        <w:pStyle w:val="Betarp"/>
        <w:rPr>
          <w:b/>
          <w:lang w:val="lt-LT"/>
        </w:rPr>
      </w:pPr>
      <w:bookmarkStart w:id="6" w:name="_Toc129243226"/>
      <w:bookmarkStart w:id="7" w:name="_Toc129243101"/>
      <w:r>
        <w:rPr>
          <w:b/>
          <w:lang w:val="lt-LT"/>
        </w:rPr>
        <w:t>4.</w:t>
      </w:r>
      <w:r>
        <w:rPr>
          <w:b/>
          <w:lang w:val="lt-LT"/>
        </w:rPr>
        <w:tab/>
        <w:t>KLINIKINĖ INFORMACIJA</w:t>
      </w:r>
      <w:bookmarkEnd w:id="6"/>
      <w:bookmarkEnd w:id="7"/>
    </w:p>
    <w:p w14:paraId="4D80B9BA" w14:textId="77777777" w:rsidR="00D77CF6" w:rsidRDefault="00D77CF6">
      <w:pPr>
        <w:pStyle w:val="Betarp"/>
        <w:rPr>
          <w:b/>
          <w:lang w:val="lt-LT"/>
        </w:rPr>
      </w:pPr>
    </w:p>
    <w:p w14:paraId="5E61FDC5" w14:textId="77777777" w:rsidR="00D77CF6" w:rsidRDefault="00B25D9E">
      <w:pPr>
        <w:pStyle w:val="Betarp"/>
        <w:rPr>
          <w:b/>
          <w:lang w:val="lt-LT"/>
        </w:rPr>
      </w:pPr>
      <w:bookmarkStart w:id="8" w:name="_Toc129243227"/>
      <w:bookmarkStart w:id="9" w:name="_Toc129243102"/>
      <w:r>
        <w:rPr>
          <w:b/>
          <w:lang w:val="lt-LT"/>
        </w:rPr>
        <w:t>4.1</w:t>
      </w:r>
      <w:r>
        <w:rPr>
          <w:b/>
          <w:lang w:val="lt-LT"/>
        </w:rPr>
        <w:tab/>
        <w:t>Terapinės indikacijos</w:t>
      </w:r>
      <w:bookmarkEnd w:id="8"/>
      <w:bookmarkEnd w:id="9"/>
    </w:p>
    <w:p w14:paraId="7051494D" w14:textId="77777777" w:rsidR="00D77CF6" w:rsidRDefault="00D77CF6">
      <w:pPr>
        <w:pStyle w:val="Betarp"/>
        <w:rPr>
          <w:lang w:val="lt-LT"/>
        </w:rPr>
      </w:pPr>
    </w:p>
    <w:p w14:paraId="79760DE6" w14:textId="7605F26D" w:rsidR="00D77CF6" w:rsidRPr="00D7535D" w:rsidRDefault="00B25D9E">
      <w:pPr>
        <w:pStyle w:val="Betarp"/>
        <w:rPr>
          <w:lang w:val="lt-LT"/>
        </w:rPr>
      </w:pPr>
      <w:r>
        <w:rPr>
          <w:lang w:val="lt-LT"/>
        </w:rPr>
        <w:t>Fixopost skirtas suaugusių pacientų akispūdžio mažinimui, sergant atviro kampo glaukoma arba akies hipertenzija, jeigu reakcija į lokalaus poveikio beta adrenoblokatorius ar prostaglandinų analogus nepakankama.</w:t>
      </w:r>
    </w:p>
    <w:p w14:paraId="4100255E" w14:textId="77777777" w:rsidR="00D77CF6" w:rsidRDefault="00D77CF6">
      <w:pPr>
        <w:pStyle w:val="Betarp"/>
        <w:rPr>
          <w:lang w:val="lt-LT"/>
        </w:rPr>
      </w:pPr>
    </w:p>
    <w:p w14:paraId="3DA667E2" w14:textId="77777777" w:rsidR="00D77CF6" w:rsidRDefault="00B25D9E">
      <w:pPr>
        <w:pStyle w:val="Betarp"/>
        <w:rPr>
          <w:b/>
          <w:lang w:val="lt-LT"/>
        </w:rPr>
      </w:pPr>
      <w:bookmarkStart w:id="10" w:name="_Toc129243228"/>
      <w:bookmarkStart w:id="11" w:name="_Toc129243103"/>
      <w:r>
        <w:rPr>
          <w:b/>
          <w:lang w:val="lt-LT"/>
        </w:rPr>
        <w:t>4.2</w:t>
      </w:r>
      <w:r>
        <w:rPr>
          <w:b/>
          <w:lang w:val="lt-LT"/>
        </w:rPr>
        <w:tab/>
        <w:t>Dozavimas ir vartojimo metodas</w:t>
      </w:r>
      <w:bookmarkEnd w:id="10"/>
      <w:bookmarkEnd w:id="11"/>
    </w:p>
    <w:p w14:paraId="33EC0FAF" w14:textId="77777777" w:rsidR="00D77CF6" w:rsidRDefault="00D77CF6">
      <w:pPr>
        <w:pStyle w:val="Betarp"/>
        <w:rPr>
          <w:lang w:val="lt-LT"/>
        </w:rPr>
      </w:pPr>
    </w:p>
    <w:p w14:paraId="02228A77" w14:textId="77777777" w:rsidR="00D77CF6" w:rsidRDefault="00B25D9E">
      <w:pPr>
        <w:pStyle w:val="Betarp"/>
        <w:rPr>
          <w:u w:val="single"/>
          <w:lang w:val="lt-LT"/>
        </w:rPr>
      </w:pPr>
      <w:r>
        <w:rPr>
          <w:u w:val="single"/>
          <w:lang w:val="lt-LT"/>
        </w:rPr>
        <w:t>Dozavimas</w:t>
      </w:r>
    </w:p>
    <w:p w14:paraId="02269B33" w14:textId="77777777" w:rsidR="00D77CF6" w:rsidRDefault="00B25D9E">
      <w:pPr>
        <w:pStyle w:val="Betarp"/>
        <w:rPr>
          <w:i/>
          <w:lang w:val="lt-LT"/>
        </w:rPr>
      </w:pPr>
      <w:r>
        <w:rPr>
          <w:i/>
          <w:lang w:val="lt-LT"/>
        </w:rPr>
        <w:t>Suaugusiesiems (įskaitant senyvus)</w:t>
      </w:r>
    </w:p>
    <w:p w14:paraId="1E1CAE33" w14:textId="32087D1B" w:rsidR="00D77CF6" w:rsidRPr="00D7535D" w:rsidRDefault="00B25D9E">
      <w:pPr>
        <w:pStyle w:val="Betarp"/>
        <w:rPr>
          <w:lang w:val="lt-LT"/>
        </w:rPr>
      </w:pPr>
      <w:r>
        <w:rPr>
          <w:lang w:val="lt-LT"/>
        </w:rPr>
        <w:t>Rekomenduojama dozė yra vienas lašas į pažeistą (-as) akį (-is) vieną kartą per parą.</w:t>
      </w:r>
    </w:p>
    <w:p w14:paraId="4D53AD9E" w14:textId="77777777" w:rsidR="00D77CF6" w:rsidRDefault="00B25D9E">
      <w:pPr>
        <w:pStyle w:val="Betarp"/>
        <w:rPr>
          <w:lang w:val="lt-LT"/>
        </w:rPr>
      </w:pPr>
      <w:r>
        <w:rPr>
          <w:lang w:val="lt-LT"/>
        </w:rPr>
        <w:t>Jeigu viena dozė praleidžiama, gydymą reikia tęsti lašinant kitą dozę taip, kaip planuota. Dozė turi būti ne didesnė, kaip vienas lašas ant pažeistos (-ų) akies (-ių) per parą.</w:t>
      </w:r>
    </w:p>
    <w:p w14:paraId="1E386975" w14:textId="77777777" w:rsidR="00D77CF6" w:rsidRDefault="00D77CF6">
      <w:pPr>
        <w:pStyle w:val="Betarp"/>
        <w:rPr>
          <w:lang w:val="lt-LT"/>
        </w:rPr>
      </w:pPr>
    </w:p>
    <w:p w14:paraId="753265EC" w14:textId="77777777" w:rsidR="00D77CF6" w:rsidRDefault="00B25D9E">
      <w:pPr>
        <w:pStyle w:val="Betarp"/>
        <w:rPr>
          <w:i/>
          <w:lang w:val="lt-LT"/>
        </w:rPr>
      </w:pPr>
      <w:r>
        <w:rPr>
          <w:i/>
          <w:lang w:val="lt-LT"/>
        </w:rPr>
        <w:t>Vaikų populiacija</w:t>
      </w:r>
    </w:p>
    <w:p w14:paraId="297D0652" w14:textId="0AB45445" w:rsidR="00D77CF6" w:rsidRPr="00CA1BDC" w:rsidRDefault="00B25D9E">
      <w:pPr>
        <w:pStyle w:val="Betarp"/>
        <w:rPr>
          <w:lang w:val="lt-LT"/>
        </w:rPr>
      </w:pPr>
      <w:r>
        <w:rPr>
          <w:lang w:val="lt-LT"/>
        </w:rPr>
        <w:t>Fixopost saugumas ir veiksmingumas vaikams ir paaugliams nenustatyti.</w:t>
      </w:r>
    </w:p>
    <w:p w14:paraId="3C684DBB" w14:textId="77777777" w:rsidR="00D77CF6" w:rsidRDefault="00D77CF6">
      <w:pPr>
        <w:pStyle w:val="Betarp"/>
        <w:rPr>
          <w:lang w:val="lt-LT"/>
        </w:rPr>
      </w:pPr>
    </w:p>
    <w:p w14:paraId="087AE5E4" w14:textId="77777777" w:rsidR="00D77CF6" w:rsidRDefault="00B25D9E">
      <w:pPr>
        <w:pStyle w:val="Betarp"/>
        <w:rPr>
          <w:u w:val="single"/>
          <w:lang w:val="lt-LT"/>
        </w:rPr>
      </w:pPr>
      <w:r>
        <w:rPr>
          <w:u w:val="single"/>
          <w:lang w:val="lt-LT"/>
        </w:rPr>
        <w:t>Vartojimo metodas</w:t>
      </w:r>
    </w:p>
    <w:p w14:paraId="6DD1FEF8" w14:textId="77777777" w:rsidR="00D77CF6" w:rsidRDefault="00B25D9E">
      <w:pPr>
        <w:pStyle w:val="Betarp"/>
        <w:rPr>
          <w:lang w:val="lt-LT"/>
        </w:rPr>
      </w:pPr>
      <w:r>
        <w:rPr>
          <w:lang w:val="lt-LT"/>
        </w:rPr>
        <w:t>Vartoti ant akių.</w:t>
      </w:r>
    </w:p>
    <w:p w14:paraId="2C2F5134" w14:textId="77777777" w:rsidR="00D77CF6" w:rsidRDefault="00D77CF6">
      <w:pPr>
        <w:pStyle w:val="Betarp"/>
        <w:rPr>
          <w:lang w:val="lt-LT"/>
        </w:rPr>
      </w:pPr>
    </w:p>
    <w:p w14:paraId="2E4AFAF4" w14:textId="7B51F40C" w:rsidR="00D77CF6" w:rsidRDefault="00B25D9E">
      <w:pPr>
        <w:pStyle w:val="Betarp"/>
        <w:rPr>
          <w:lang w:val="lt-LT"/>
        </w:rPr>
      </w:pPr>
      <w:r>
        <w:rPr>
          <w:lang w:val="lt-LT"/>
        </w:rPr>
        <w:t>Kaip ir vartojant bet kokius kitus akių lašus, siekiant sumažinti sisteminę absorbciją, rekomenduojama dviems minutėms užspausti ašarų maišelį ties vidiniu akies kampu. Tai reikia daryti iškart po kiekvieno lašo įlašinimo.</w:t>
      </w:r>
    </w:p>
    <w:p w14:paraId="0D8A2BED" w14:textId="77777777" w:rsidR="00D77CF6" w:rsidRDefault="00B25D9E">
      <w:pPr>
        <w:pStyle w:val="Betarp"/>
        <w:rPr>
          <w:lang w:val="lt-LT"/>
        </w:rPr>
      </w:pPr>
      <w:r>
        <w:rPr>
          <w:lang w:val="lt-LT"/>
        </w:rPr>
        <w:t>Prieš lašinant lašus reikia išsiimti kontaktinius lęšius ir vėl juos įsidėti galima ne anksčiau, kaip po 15 minučių.</w:t>
      </w:r>
    </w:p>
    <w:p w14:paraId="08C3C8F1" w14:textId="77777777" w:rsidR="00D77CF6" w:rsidRDefault="00B25D9E">
      <w:pPr>
        <w:pStyle w:val="Betarp"/>
        <w:rPr>
          <w:lang w:val="lt-LT"/>
        </w:rPr>
      </w:pPr>
      <w:r>
        <w:rPr>
          <w:lang w:val="lt-LT"/>
        </w:rPr>
        <w:t>Vartojant daugiau negu vieną lokalaus poveikio oftalmologinį vaistinį preparatą, tarp jų sulašinimo reikia daryti mažiausiai 5 min pertrauką.</w:t>
      </w:r>
    </w:p>
    <w:p w14:paraId="5A006E9C" w14:textId="77777777" w:rsidR="00D77CF6" w:rsidRDefault="00B25D9E">
      <w:pPr>
        <w:pStyle w:val="Betarp"/>
        <w:rPr>
          <w:lang w:val="lt-LT"/>
        </w:rPr>
      </w:pPr>
      <w:r>
        <w:rPr>
          <w:lang w:val="lt-LT"/>
        </w:rPr>
        <w:t>Pacientams reikia nurodyti vengti buteliuko galiuko sąlyčio su akimis ar aplinkinėmis struktūromis.</w:t>
      </w:r>
    </w:p>
    <w:p w14:paraId="5DA04531" w14:textId="77777777" w:rsidR="00D77CF6" w:rsidRDefault="00D77CF6">
      <w:pPr>
        <w:pStyle w:val="Betarp"/>
        <w:rPr>
          <w:lang w:val="lt-LT"/>
        </w:rPr>
      </w:pPr>
    </w:p>
    <w:p w14:paraId="688B3F91" w14:textId="00D446D2" w:rsidR="00D77CF6" w:rsidRPr="00D7535D" w:rsidRDefault="00B25D9E">
      <w:pPr>
        <w:pStyle w:val="Betarp"/>
        <w:rPr>
          <w:lang w:val="lt-LT"/>
        </w:rPr>
      </w:pPr>
      <w:r>
        <w:rPr>
          <w:lang w:val="lt-LT"/>
        </w:rPr>
        <w:t>Šis vaistinis preparatas yra sterilus tirpalas, kurio sudėtyje nėra konservantų. Pacientus reikia įspėti, kad netinkamai naudojami akių tirpalai gali būti užteršti  bakterijomis, kurios sukelia akių infekcijas. Užterštų tirpalų naudojimas gali stipriai pakenkti akims ir sukelti regėjimo praradimą.</w:t>
      </w:r>
    </w:p>
    <w:p w14:paraId="4112848D" w14:textId="77777777" w:rsidR="00D77CF6" w:rsidRDefault="00D77CF6">
      <w:pPr>
        <w:pStyle w:val="Betarp"/>
        <w:rPr>
          <w:i/>
          <w:lang w:val="lt-LT"/>
        </w:rPr>
      </w:pPr>
    </w:p>
    <w:p w14:paraId="7E73FE1E" w14:textId="2224580A" w:rsidR="00D77CF6" w:rsidRDefault="00B25D9E">
      <w:pPr>
        <w:pStyle w:val="Betarp"/>
        <w:rPr>
          <w:lang w:val="lt-LT"/>
        </w:rPr>
      </w:pPr>
      <w:r>
        <w:rPr>
          <w:i/>
          <w:lang w:val="lt-LT"/>
        </w:rPr>
        <w:t>Pacientus reikia apmokyti taip</w:t>
      </w:r>
      <w:r>
        <w:rPr>
          <w:lang w:val="lt-LT"/>
        </w:rPr>
        <w:t>:</w:t>
      </w:r>
    </w:p>
    <w:p w14:paraId="42E8D07D" w14:textId="77777777" w:rsidR="00D77CF6" w:rsidRDefault="00B25D9E">
      <w:pPr>
        <w:pStyle w:val="Betarp"/>
        <w:rPr>
          <w:lang w:val="lt-LT"/>
        </w:rPr>
      </w:pPr>
      <w:r>
        <w:rPr>
          <w:lang w:val="lt-LT"/>
        </w:rPr>
        <w:t xml:space="preserve">Prieš </w:t>
      </w:r>
      <w:r>
        <w:rPr>
          <w:u w:val="single"/>
          <w:lang w:val="lt-LT"/>
        </w:rPr>
        <w:t>pirmą vartojimą</w:t>
      </w:r>
      <w:r>
        <w:rPr>
          <w:lang w:val="lt-LT"/>
        </w:rPr>
        <w:t>:</w:t>
      </w:r>
    </w:p>
    <w:p w14:paraId="78933488" w14:textId="77777777" w:rsidR="00D77CF6" w:rsidRDefault="00B25D9E">
      <w:pPr>
        <w:pStyle w:val="Betarp"/>
        <w:numPr>
          <w:ilvl w:val="0"/>
          <w:numId w:val="8"/>
        </w:numPr>
        <w:ind w:left="567" w:hanging="578"/>
        <w:rPr>
          <w:lang w:val="lt-LT"/>
        </w:rPr>
      </w:pPr>
      <w:r>
        <w:rPr>
          <w:lang w:val="lt-LT"/>
        </w:rPr>
        <w:t>Patikrinkite ar apsauginis dangtelis yra nesulaužytas. Tada tvirtai atsukite apsauginį dangtelį, kad atidarytumėte buteliuką.</w:t>
      </w:r>
    </w:p>
    <w:p w14:paraId="42533F8A" w14:textId="77777777" w:rsidR="00D77CF6" w:rsidRDefault="00B25D9E">
      <w:pPr>
        <w:pStyle w:val="Betarp"/>
        <w:numPr>
          <w:ilvl w:val="0"/>
          <w:numId w:val="8"/>
        </w:numPr>
        <w:ind w:left="567" w:hanging="578"/>
        <w:rPr>
          <w:lang w:val="lt-LT"/>
        </w:rPr>
      </w:pPr>
      <w:r>
        <w:rPr>
          <w:lang w:val="lt-LT"/>
        </w:rPr>
        <w:t xml:space="preserve">Kruopščiai nusiplaukite rankas ir nuimkite dangtelį nuo buteliuko galiuko. Kad aktyvuotumėte siurbimo mechanizmą kelis kartus paspauskite apverstą žemyn buteliuką, kol pasirodys pirmasis lašas. </w:t>
      </w:r>
      <w:r>
        <w:rPr>
          <w:u w:val="single"/>
          <w:lang w:val="lt-LT"/>
        </w:rPr>
        <w:t>Šis procesas skirtas tik pirmajam vartojimui ir jo nereikės sekantiems vartojimams.</w:t>
      </w:r>
    </w:p>
    <w:p w14:paraId="0EB96DF9" w14:textId="77777777" w:rsidR="00D77CF6" w:rsidRDefault="00D77CF6">
      <w:pPr>
        <w:pStyle w:val="Betarp"/>
        <w:ind w:left="567"/>
        <w:rPr>
          <w:lang w:val="lt-LT"/>
        </w:rPr>
      </w:pPr>
    </w:p>
    <w:p w14:paraId="7ABC9EF4" w14:textId="77777777" w:rsidR="00D77CF6" w:rsidRDefault="00B25D9E">
      <w:pPr>
        <w:pStyle w:val="Betarp"/>
        <w:rPr>
          <w:lang w:val="lt-LT" w:eastAsia="fr-FR"/>
        </w:rPr>
      </w:pPr>
      <w:r>
        <w:rPr>
          <w:lang w:val="lt-LT" w:eastAsia="fr-FR"/>
        </w:rPr>
        <w:t xml:space="preserve">1. Prieš </w:t>
      </w:r>
      <w:r>
        <w:rPr>
          <w:u w:val="single"/>
          <w:lang w:val="lt-LT" w:eastAsia="fr-FR"/>
        </w:rPr>
        <w:t>kiekvieną vartojimą</w:t>
      </w:r>
      <w:r>
        <w:rPr>
          <w:lang w:val="lt-LT" w:eastAsia="fr-FR"/>
        </w:rPr>
        <w:t xml:space="preserve"> kruopščiai nusiplaukite rankas ir nuimkite dangtelį nuo buteliuko galiuko. Venkite buteliuko galiuko sąlyčio su pirštais.</w:t>
      </w:r>
    </w:p>
    <w:p w14:paraId="312AEB01" w14:textId="77777777" w:rsidR="00D77CF6" w:rsidRDefault="00D77CF6">
      <w:pPr>
        <w:pStyle w:val="Betarp"/>
        <w:rPr>
          <w:lang w:val="lt-LT" w:eastAsia="fr-FR"/>
        </w:rPr>
      </w:pPr>
    </w:p>
    <w:p w14:paraId="568662A6" w14:textId="77777777" w:rsidR="00D77CF6" w:rsidRDefault="00B25D9E">
      <w:pPr>
        <w:tabs>
          <w:tab w:val="left" w:pos="1296"/>
        </w:tabs>
        <w:spacing w:after="60" w:line="240" w:lineRule="auto"/>
        <w:jc w:val="both"/>
        <w:rPr>
          <w:rFonts w:eastAsia="Times New Roman"/>
          <w:lang w:val="lt-LT" w:eastAsia="fr-FR"/>
        </w:rPr>
      </w:pPr>
      <w:r>
        <w:rPr>
          <w:rFonts w:eastAsia="Times New Roman"/>
          <w:lang w:val="lt-LT" w:eastAsia="fr-FR"/>
        </w:rPr>
        <w:t>2. Uždėkite nykštį ant buteliuko viršuje esančio skirtuko, o rodomąjį pirštą ant buteliuko pagrindo. Tada taip pat uždėkite vidurinį pirštą ant antrojo skirtuko ties buteliuko pagrindu. Laikykite buteliuką apverstą.</w:t>
      </w:r>
    </w:p>
    <w:p w14:paraId="7C83599C" w14:textId="77777777" w:rsidR="00D77CF6" w:rsidRDefault="00D77CF6">
      <w:pPr>
        <w:pStyle w:val="Betarp"/>
        <w:rPr>
          <w:lang w:val="lt-LT" w:eastAsia="fr-FR"/>
        </w:rPr>
      </w:pPr>
    </w:p>
    <w:p w14:paraId="5611B7AC" w14:textId="77777777" w:rsidR="00D77CF6" w:rsidRDefault="00B25D9E">
      <w:pPr>
        <w:pStyle w:val="Betarp"/>
        <w:rPr>
          <w:lang w:val="lt-LT" w:eastAsia="fr-FR"/>
        </w:rPr>
      </w:pPr>
      <w:r>
        <w:rPr>
          <w:lang w:val="lt-LT" w:eastAsia="fr-FR"/>
        </w:rPr>
        <w:t>3. Norėdami vartoti, šiek tiek pakreipkite galvą atgal ir vertikaliai virš akies laikykite buteliuko lašintuvą. Kitos rankos rodomuoju pirštu šiek tiek patraukite žemyn apatinį voką. Sukurta erdvė vadinama apatiniu junginės maišeliu. Venkite buteliuko galiuko sąlyčio su pirštais ar akimis.</w:t>
      </w:r>
    </w:p>
    <w:p w14:paraId="00C02106" w14:textId="77777777" w:rsidR="00D77CF6" w:rsidRDefault="00D77CF6">
      <w:pPr>
        <w:pStyle w:val="Betarp"/>
        <w:rPr>
          <w:lang w:val="lt-LT" w:eastAsia="fr-FR"/>
        </w:rPr>
      </w:pPr>
    </w:p>
    <w:p w14:paraId="65BF86FE" w14:textId="77777777" w:rsidR="00D77CF6" w:rsidRDefault="00B25D9E">
      <w:pPr>
        <w:pStyle w:val="Betarp"/>
        <w:rPr>
          <w:lang w:val="lt-LT" w:eastAsia="fr-FR"/>
        </w:rPr>
      </w:pPr>
      <w:r>
        <w:rPr>
          <w:lang w:val="lt-LT" w:eastAsia="fr-FR"/>
        </w:rPr>
        <w:t xml:space="preserve">Norėdami įlašinti lašą į pažeistos (-ų) akies (-ių) apatinį junginės maišelį, </w:t>
      </w:r>
      <w:r>
        <w:rPr>
          <w:b/>
          <w:bCs/>
          <w:lang w:val="lt-LT" w:eastAsia="fr-FR"/>
        </w:rPr>
        <w:t>trumpai ir tvirtai paspauskite</w:t>
      </w:r>
      <w:r>
        <w:rPr>
          <w:lang w:val="lt-LT" w:eastAsia="fr-FR"/>
        </w:rPr>
        <w:t xml:space="preserve"> buteliuką. Dėl automatinio dozavimo lašas išleidžiamas tiksliai kiekvieno pumpavimo metu.</w:t>
      </w:r>
    </w:p>
    <w:p w14:paraId="7FAAB7BB" w14:textId="77777777" w:rsidR="00D77CF6" w:rsidRDefault="00D77CF6">
      <w:pPr>
        <w:pStyle w:val="Betarp"/>
        <w:rPr>
          <w:lang w:val="lt-LT" w:eastAsia="fr-FR"/>
        </w:rPr>
      </w:pPr>
    </w:p>
    <w:p w14:paraId="53577718" w14:textId="77777777" w:rsidR="00D77CF6" w:rsidRDefault="00B25D9E">
      <w:pPr>
        <w:pStyle w:val="Betarp"/>
        <w:rPr>
          <w:lang w:val="lt-LT" w:eastAsia="fr-FR"/>
        </w:rPr>
      </w:pPr>
      <w:r>
        <w:rPr>
          <w:lang w:val="lt-LT" w:eastAsia="fr-FR"/>
        </w:rPr>
        <w:t>Jei lašas nenukrenta, atsargiai nupurtykite buteliuką, kad pašalintumėte likusį lašą nuo galiuko. Tokiu atveju pakartokite 3 veiksmą.</w:t>
      </w:r>
    </w:p>
    <w:p w14:paraId="5D80BECA" w14:textId="77777777" w:rsidR="00D77CF6" w:rsidRDefault="00D77CF6">
      <w:pPr>
        <w:pStyle w:val="Betarp"/>
        <w:rPr>
          <w:lang w:val="lt-LT" w:eastAsia="fr-FR"/>
        </w:rPr>
      </w:pPr>
    </w:p>
    <w:p w14:paraId="2F243AE1" w14:textId="77777777" w:rsidR="00D77CF6" w:rsidRDefault="00B25D9E">
      <w:pPr>
        <w:pStyle w:val="Betarp"/>
        <w:rPr>
          <w:lang w:val="lt-LT" w:eastAsia="fr-FR"/>
        </w:rPr>
      </w:pPr>
      <w:r>
        <w:rPr>
          <w:lang w:val="lt-LT" w:eastAsia="fr-FR"/>
        </w:rPr>
        <w:t>4. Naudojant nazolakrimalinę okliuziją arba užmerkiant akių vokus dviem minutėms, sisteminė absorbcija sumažėja. Tai gali sumažinti sisteminį šalutinį poveikį ir padidinti vietinį aktyvumą.</w:t>
      </w:r>
    </w:p>
    <w:p w14:paraId="1BF38802" w14:textId="77777777" w:rsidR="00D77CF6" w:rsidRDefault="00D77CF6">
      <w:pPr>
        <w:pStyle w:val="Betarp"/>
        <w:rPr>
          <w:lang w:val="lt-LT" w:eastAsia="fr-FR"/>
        </w:rPr>
      </w:pPr>
    </w:p>
    <w:p w14:paraId="68B56607" w14:textId="77777777" w:rsidR="00D77CF6" w:rsidRDefault="00B25D9E">
      <w:pPr>
        <w:pStyle w:val="Betarp"/>
        <w:rPr>
          <w:lang w:val="lt-LT" w:eastAsia="fr-FR"/>
        </w:rPr>
      </w:pPr>
      <w:r>
        <w:rPr>
          <w:lang w:val="lt-LT" w:eastAsia="fr-FR"/>
        </w:rPr>
        <w:t>5. Iš karto po vartojimo butelio galiuką uždarykite dangteliu.</w:t>
      </w:r>
    </w:p>
    <w:p w14:paraId="12180851" w14:textId="77777777" w:rsidR="00D77CF6" w:rsidRDefault="00D77CF6">
      <w:pPr>
        <w:pStyle w:val="Betarp"/>
        <w:rPr>
          <w:lang w:val="lt-LT" w:eastAsia="fr-FR"/>
        </w:rPr>
      </w:pPr>
    </w:p>
    <w:p w14:paraId="3F03C2E0" w14:textId="77777777" w:rsidR="00D77CF6" w:rsidRDefault="00D77CF6">
      <w:pPr>
        <w:pStyle w:val="Betarp"/>
        <w:rPr>
          <w:lang w:val="lt-LT"/>
        </w:rPr>
      </w:pPr>
    </w:p>
    <w:p w14:paraId="0E57CEBD" w14:textId="77777777" w:rsidR="00D77CF6" w:rsidRDefault="00B25D9E">
      <w:pPr>
        <w:pStyle w:val="Betarp"/>
        <w:rPr>
          <w:b/>
          <w:lang w:val="lt-LT"/>
        </w:rPr>
      </w:pPr>
      <w:bookmarkStart w:id="12" w:name="_Toc129243229"/>
      <w:bookmarkStart w:id="13" w:name="_Toc129243104"/>
      <w:r>
        <w:rPr>
          <w:b/>
          <w:lang w:val="lt-LT"/>
        </w:rPr>
        <w:t>4.3</w:t>
      </w:r>
      <w:r>
        <w:rPr>
          <w:b/>
          <w:lang w:val="lt-LT"/>
        </w:rPr>
        <w:tab/>
        <w:t>Kontraindikacijos</w:t>
      </w:r>
      <w:bookmarkEnd w:id="12"/>
      <w:bookmarkEnd w:id="13"/>
    </w:p>
    <w:p w14:paraId="59A2E773" w14:textId="77777777" w:rsidR="00D77CF6" w:rsidRDefault="00D77CF6">
      <w:pPr>
        <w:pStyle w:val="Betarp"/>
        <w:rPr>
          <w:lang w:val="lt-LT"/>
        </w:rPr>
      </w:pPr>
    </w:p>
    <w:p w14:paraId="599608DB" w14:textId="77777777" w:rsidR="00D77CF6" w:rsidRDefault="00B25D9E">
      <w:pPr>
        <w:pStyle w:val="Betarp"/>
        <w:rPr>
          <w:lang w:val="lt-LT"/>
        </w:rPr>
      </w:pPr>
      <w:r>
        <w:rPr>
          <w:lang w:val="lt-LT"/>
        </w:rPr>
        <w:t>Fixopost negalima vartoti pacientams, kuriems yra:</w:t>
      </w:r>
    </w:p>
    <w:p w14:paraId="6BDEB0D8" w14:textId="5ADBAE56" w:rsidR="00D77CF6" w:rsidRPr="00D7535D" w:rsidRDefault="00B25D9E">
      <w:pPr>
        <w:pStyle w:val="Betarp"/>
        <w:numPr>
          <w:ilvl w:val="0"/>
          <w:numId w:val="8"/>
        </w:numPr>
        <w:ind w:left="567" w:hanging="567"/>
        <w:rPr>
          <w:lang w:val="lt-LT"/>
        </w:rPr>
      </w:pPr>
      <w:r>
        <w:rPr>
          <w:lang w:val="lt-LT"/>
        </w:rPr>
        <w:t>padidėjęs jautrumas veikliosioms medžiagoms arba bet kuriai 6.1 skyriuje nurodytai pagalbinei medžiagai;</w:t>
      </w:r>
    </w:p>
    <w:p w14:paraId="59332EE6" w14:textId="1F912579" w:rsidR="00D77CF6" w:rsidRPr="00D7535D" w:rsidRDefault="00B25D9E">
      <w:pPr>
        <w:pStyle w:val="Betarp"/>
        <w:numPr>
          <w:ilvl w:val="0"/>
          <w:numId w:val="8"/>
        </w:numPr>
        <w:ind w:left="567" w:hanging="567"/>
        <w:rPr>
          <w:lang w:val="lt-LT"/>
        </w:rPr>
      </w:pPr>
      <w:r>
        <w:rPr>
          <w:lang w:val="lt-LT"/>
        </w:rPr>
        <w:t>reaktyvi kvėpavimo takų liga, įskaitant esamą ar buvusią bronchų astmą, sunkią lėtinę obstrukcinę plaučių ligą;</w:t>
      </w:r>
    </w:p>
    <w:p w14:paraId="1B9B2511" w14:textId="1E57545F" w:rsidR="00D77CF6" w:rsidRDefault="00B25D9E">
      <w:pPr>
        <w:pStyle w:val="Betarp"/>
        <w:numPr>
          <w:ilvl w:val="0"/>
          <w:numId w:val="8"/>
        </w:numPr>
        <w:ind w:left="567" w:hanging="567"/>
        <w:rPr>
          <w:lang w:val="lt-LT"/>
        </w:rPr>
      </w:pPr>
      <w:r>
        <w:rPr>
          <w:lang w:val="lt-LT"/>
        </w:rPr>
        <w:t>sinusinė bradikardija, sinusinio mazgo silpnumo sindromas, sinoatrialinė blokada, širdies stimuliatoriumi nevaldoma antrojo ar trečiojo laipsnio atrioventrikulinė blokada, išreikštas širdies nepakankamumas, kardiogeninis šokas.</w:t>
      </w:r>
    </w:p>
    <w:p w14:paraId="29E9CC27" w14:textId="77777777" w:rsidR="00D77CF6" w:rsidRPr="00D7535D" w:rsidRDefault="00D77CF6">
      <w:pPr>
        <w:pStyle w:val="Betarp"/>
        <w:ind w:left="567"/>
        <w:rPr>
          <w:lang w:val="lt-LT"/>
        </w:rPr>
      </w:pPr>
      <w:bookmarkStart w:id="14" w:name="OLE_LINK5"/>
      <w:bookmarkStart w:id="15" w:name="OLE_LINK4"/>
      <w:bookmarkEnd w:id="14"/>
      <w:bookmarkEnd w:id="15"/>
    </w:p>
    <w:p w14:paraId="0949B8E2" w14:textId="77777777" w:rsidR="00D77CF6" w:rsidRDefault="00D77CF6">
      <w:pPr>
        <w:pStyle w:val="Betarp"/>
        <w:rPr>
          <w:lang w:val="lt-LT"/>
        </w:rPr>
      </w:pPr>
    </w:p>
    <w:p w14:paraId="6C4658DE" w14:textId="77777777" w:rsidR="00D77CF6" w:rsidRDefault="00B25D9E">
      <w:pPr>
        <w:pStyle w:val="Betarp"/>
        <w:rPr>
          <w:b/>
          <w:lang w:val="lt-LT"/>
        </w:rPr>
      </w:pPr>
      <w:bookmarkStart w:id="16" w:name="_Toc129243230"/>
      <w:bookmarkStart w:id="17" w:name="_Toc129243105"/>
      <w:r>
        <w:rPr>
          <w:b/>
          <w:lang w:val="lt-LT"/>
        </w:rPr>
        <w:t>4.4</w:t>
      </w:r>
      <w:r>
        <w:rPr>
          <w:b/>
          <w:lang w:val="lt-LT"/>
        </w:rPr>
        <w:tab/>
        <w:t>Specialūs įspėjimai ir atsargumo priemonės</w:t>
      </w:r>
      <w:bookmarkEnd w:id="16"/>
      <w:bookmarkEnd w:id="17"/>
    </w:p>
    <w:p w14:paraId="61CC2147" w14:textId="77777777" w:rsidR="00D77CF6" w:rsidRDefault="00D77CF6">
      <w:pPr>
        <w:pStyle w:val="Betarp"/>
        <w:rPr>
          <w:i/>
          <w:iCs/>
          <w:u w:val="single"/>
          <w:lang w:val="lt-LT"/>
        </w:rPr>
      </w:pPr>
    </w:p>
    <w:p w14:paraId="6F257888" w14:textId="77777777" w:rsidR="00D77CF6" w:rsidRDefault="00B25D9E">
      <w:pPr>
        <w:pStyle w:val="Betarp"/>
        <w:rPr>
          <w:u w:val="single"/>
          <w:lang w:val="lt-LT"/>
        </w:rPr>
      </w:pPr>
      <w:r>
        <w:rPr>
          <w:u w:val="single"/>
          <w:lang w:val="lt-LT"/>
        </w:rPr>
        <w:t>Sisteminis poveikis</w:t>
      </w:r>
    </w:p>
    <w:p w14:paraId="0B8DEE26" w14:textId="43D7997C" w:rsidR="00D77CF6" w:rsidRPr="00D7535D" w:rsidRDefault="00B25D9E">
      <w:pPr>
        <w:pStyle w:val="Betarp"/>
        <w:rPr>
          <w:lang w:val="lt-LT"/>
        </w:rPr>
      </w:pPr>
      <w:r>
        <w:rPr>
          <w:lang w:val="lt-LT"/>
        </w:rPr>
        <w:t>Fixopost, kaip ir kiti lokaliai vartojami oftalmologiniai vaistiniai preparatai, absorbuojamas į sisteminę kraujotaką. Dėl beta andrenerginio komponento – timololio – gali pasireikšti tokio paties tipo širdies ir kraujagyslių, plaučių bei kitų nepageidaujamų reakcijų, kokios pastebimos sistemiškai vartojant beta adrenoblokatorius. Sisteminių nepageidaujamų reakcijų į vaistinį preparatą po lokalaus oftalmologinių vaistinių preparatų vartojimo atsiranda rečiau nei po sisteminio vartojimo. Informaciją apie sisteminės absorbcijos mažinimą žr. 4.2 skyriuje.</w:t>
      </w:r>
    </w:p>
    <w:p w14:paraId="5EF5DB47" w14:textId="77777777" w:rsidR="00D77CF6" w:rsidRDefault="00D77CF6">
      <w:pPr>
        <w:pStyle w:val="Betarp"/>
        <w:rPr>
          <w:lang w:val="lt-LT"/>
        </w:rPr>
      </w:pPr>
    </w:p>
    <w:p w14:paraId="18EA2AD5" w14:textId="77777777" w:rsidR="00D77CF6" w:rsidRDefault="00B25D9E">
      <w:pPr>
        <w:pStyle w:val="Betarp"/>
        <w:rPr>
          <w:iCs/>
          <w:u w:val="single"/>
          <w:lang w:val="lt-LT"/>
        </w:rPr>
      </w:pPr>
      <w:r>
        <w:rPr>
          <w:iCs/>
          <w:u w:val="single"/>
          <w:lang w:val="lt-LT"/>
        </w:rPr>
        <w:t>Širdies sutrikimai</w:t>
      </w:r>
    </w:p>
    <w:p w14:paraId="6A79E067" w14:textId="4127F31A" w:rsidR="00D77CF6" w:rsidRPr="00D7535D" w:rsidRDefault="00B25D9E">
      <w:pPr>
        <w:pStyle w:val="Betarp"/>
        <w:rPr>
          <w:lang w:val="lt-LT"/>
        </w:rPr>
      </w:pPr>
      <w:r>
        <w:rPr>
          <w:lang w:val="lt-LT"/>
        </w:rPr>
        <w:t>Gydant pacientus, sergančius širdies ir kraujagyslių ligomis (pvz., koronarine širdies liga, Princmetalo (</w:t>
      </w:r>
      <w:r>
        <w:rPr>
          <w:i/>
          <w:lang w:val="lt-LT"/>
        </w:rPr>
        <w:t>Prinzmetal</w:t>
      </w:r>
      <w:r>
        <w:rPr>
          <w:lang w:val="lt-LT"/>
        </w:rPr>
        <w:t>) krūtinės angina ir širdies nepakankamu) ir hipotenzija, reikia kritiškai įvertinti gydymą beta adrenoblokatoriais ir apsvarstyti gydymo kitomis veikliosiomis medžiagomis galimybes. Pacientai, sergantys širdies ir kraujagyslių ligomis, turi būti stebimi dėl šių ligų paūmėjimo ir nepageidaujamų reakcijų požymių.</w:t>
      </w:r>
    </w:p>
    <w:p w14:paraId="60A2C401" w14:textId="34A60A1B" w:rsidR="00D77CF6" w:rsidRPr="00D7535D" w:rsidRDefault="00B25D9E">
      <w:pPr>
        <w:pStyle w:val="Betarp"/>
        <w:rPr>
          <w:lang w:val="lt-LT"/>
        </w:rPr>
      </w:pPr>
      <w:r>
        <w:rPr>
          <w:lang w:val="lt-LT"/>
        </w:rPr>
        <w:t>Beta adrenoblokatorių turi būti atsargiai skiriama pacientams, kuriems yra pirmojo laipsnio širdies blokada, nes jie neigiamai veikia širdies laidumo laiką.</w:t>
      </w:r>
    </w:p>
    <w:p w14:paraId="5F464C7A" w14:textId="77777777" w:rsidR="00D77CF6" w:rsidRDefault="00B25D9E">
      <w:pPr>
        <w:pStyle w:val="Betarp"/>
        <w:rPr>
          <w:lang w:val="lt-LT"/>
        </w:rPr>
      </w:pPr>
      <w:r>
        <w:rPr>
          <w:lang w:val="lt-LT"/>
        </w:rPr>
        <w:t>Po timololio vartojimo buvo pranešta apie širdies reakcijas ir retai su širdies nepakankamumu susijusios mirties atvejus.</w:t>
      </w:r>
    </w:p>
    <w:p w14:paraId="26F0D6AA" w14:textId="77777777" w:rsidR="00D77CF6" w:rsidRDefault="00D77CF6">
      <w:pPr>
        <w:pStyle w:val="Betarp"/>
        <w:rPr>
          <w:lang w:val="lt-LT"/>
        </w:rPr>
      </w:pPr>
    </w:p>
    <w:p w14:paraId="0067F248" w14:textId="77777777" w:rsidR="00D77CF6" w:rsidRDefault="00B25D9E">
      <w:pPr>
        <w:pStyle w:val="Betarp"/>
        <w:rPr>
          <w:iCs/>
          <w:u w:val="single"/>
          <w:lang w:val="lt-LT"/>
        </w:rPr>
      </w:pPr>
      <w:r>
        <w:rPr>
          <w:iCs/>
          <w:u w:val="single"/>
          <w:lang w:val="lt-LT"/>
        </w:rPr>
        <w:t>Kraujagyslių sutrikimai</w:t>
      </w:r>
    </w:p>
    <w:p w14:paraId="2EC66250" w14:textId="77777777" w:rsidR="00D77CF6" w:rsidRDefault="00B25D9E">
      <w:pPr>
        <w:pStyle w:val="Betarp"/>
        <w:rPr>
          <w:lang w:val="lt-LT"/>
        </w:rPr>
      </w:pPr>
      <w:r>
        <w:rPr>
          <w:lang w:val="lt-LT"/>
        </w:rPr>
        <w:t>Pacientams, kuriems yra sunkus periferinės kraujotakos sutrikimas (pvz., sunki Reino (</w:t>
      </w:r>
      <w:r>
        <w:rPr>
          <w:i/>
          <w:lang w:val="lt-LT"/>
        </w:rPr>
        <w:t>Raynaud</w:t>
      </w:r>
      <w:r>
        <w:rPr>
          <w:lang w:val="lt-LT"/>
        </w:rPr>
        <w:t>) ligos forma ar Reino (</w:t>
      </w:r>
      <w:r>
        <w:rPr>
          <w:i/>
          <w:lang w:val="lt-LT"/>
        </w:rPr>
        <w:t>Raynaud</w:t>
      </w:r>
      <w:r>
        <w:rPr>
          <w:lang w:val="lt-LT"/>
        </w:rPr>
        <w:t>) sindromas), turi būti gydomi atsargiai.</w:t>
      </w:r>
    </w:p>
    <w:p w14:paraId="0BB66CB6" w14:textId="77777777" w:rsidR="00D77CF6" w:rsidRDefault="00D77CF6">
      <w:pPr>
        <w:pStyle w:val="Betarp"/>
        <w:rPr>
          <w:lang w:val="lt-LT"/>
        </w:rPr>
      </w:pPr>
    </w:p>
    <w:p w14:paraId="70753537" w14:textId="77777777" w:rsidR="00D77CF6" w:rsidRDefault="00B25D9E">
      <w:pPr>
        <w:pStyle w:val="Betarp"/>
        <w:rPr>
          <w:iCs/>
          <w:u w:val="single"/>
          <w:lang w:val="lt-LT"/>
        </w:rPr>
      </w:pPr>
      <w:r>
        <w:rPr>
          <w:iCs/>
          <w:u w:val="single"/>
          <w:lang w:val="lt-LT"/>
        </w:rPr>
        <w:t>Kvėpavimo sistemos sutrikimai</w:t>
      </w:r>
    </w:p>
    <w:p w14:paraId="5B877A89" w14:textId="5451799D" w:rsidR="00D77CF6" w:rsidRPr="00D7535D" w:rsidRDefault="00B25D9E">
      <w:pPr>
        <w:pStyle w:val="Betarp"/>
        <w:rPr>
          <w:lang w:val="lt-LT"/>
        </w:rPr>
      </w:pPr>
      <w:r>
        <w:rPr>
          <w:lang w:val="lt-LT"/>
        </w:rPr>
        <w:t xml:space="preserve">Buvo pranešta apie atvejus, kai pavartojus kai kurių oftalmologinių beta adrenoblokatorių atsirado kvėpavimo sistemos reakcijų, net mirtis nuo bronchų spazmo bronchine astma sergantiems pacientams. Fixopost </w:t>
      </w:r>
      <w:r>
        <w:rPr>
          <w:rFonts w:eastAsia="Times New Roman"/>
          <w:lang w:val="lt-LT"/>
        </w:rPr>
        <w:t>reikia atsargiai vartoti pacientams, sergantiems lengva arba vidutinio sunkumo lėtine obstrukcine plaučių liga (LOPL) ir tik tuomet, kai galima nauda viršija galimą riziką.</w:t>
      </w:r>
    </w:p>
    <w:p w14:paraId="7774C7D6" w14:textId="77777777" w:rsidR="00D77CF6" w:rsidRDefault="00D77CF6">
      <w:pPr>
        <w:pStyle w:val="Betarp"/>
        <w:rPr>
          <w:lang w:val="lt-LT"/>
        </w:rPr>
      </w:pPr>
    </w:p>
    <w:p w14:paraId="5623566D" w14:textId="77777777" w:rsidR="00D77CF6" w:rsidRDefault="00B25D9E">
      <w:pPr>
        <w:pStyle w:val="Betarp"/>
        <w:rPr>
          <w:iCs/>
          <w:u w:val="single"/>
          <w:lang w:val="lt-LT"/>
        </w:rPr>
      </w:pPr>
      <w:r>
        <w:rPr>
          <w:iCs/>
          <w:u w:val="single"/>
          <w:lang w:val="lt-LT"/>
        </w:rPr>
        <w:t>Hipoglikemija/cukrinis diabetas</w:t>
      </w:r>
    </w:p>
    <w:p w14:paraId="24B76CD7" w14:textId="77777777" w:rsidR="00D77CF6" w:rsidRDefault="00B25D9E">
      <w:pPr>
        <w:pStyle w:val="Betarp"/>
        <w:rPr>
          <w:lang w:val="lt-LT"/>
        </w:rPr>
      </w:pPr>
      <w:r>
        <w:rPr>
          <w:lang w:val="lt-LT"/>
        </w:rPr>
        <w:t>Beta adrenoblokatorių reikia atsargiai skirti pacientams, kuriems būna spontaninės hipoglikemijos epizodų arba kurie serga labiliu cukriniu diabetu, kadangi beta adrenoblokatoriai gali slėpti ūminės hipoglikemijos požymius ir simptomus.</w:t>
      </w:r>
    </w:p>
    <w:p w14:paraId="2BD73465" w14:textId="77777777" w:rsidR="00D77CF6" w:rsidRDefault="00D77CF6">
      <w:pPr>
        <w:pStyle w:val="Betarp"/>
        <w:rPr>
          <w:u w:val="single"/>
          <w:lang w:val="lt-LT"/>
        </w:rPr>
      </w:pPr>
    </w:p>
    <w:p w14:paraId="7A01DAAF" w14:textId="77777777" w:rsidR="00D77CF6" w:rsidRDefault="00B25D9E">
      <w:pPr>
        <w:pStyle w:val="Betarp"/>
        <w:keepNext/>
        <w:rPr>
          <w:u w:val="single"/>
          <w:lang w:val="lt-LT"/>
        </w:rPr>
      </w:pPr>
      <w:r>
        <w:rPr>
          <w:u w:val="single"/>
          <w:lang w:val="lt-LT"/>
        </w:rPr>
        <w:t>Hipertiroidizmas</w:t>
      </w:r>
    </w:p>
    <w:p w14:paraId="342F5D2B" w14:textId="77777777" w:rsidR="00D77CF6" w:rsidRDefault="00B25D9E">
      <w:pPr>
        <w:pStyle w:val="Betarp"/>
        <w:keepNext/>
        <w:rPr>
          <w:lang w:val="lt-LT"/>
        </w:rPr>
      </w:pPr>
      <w:r>
        <w:rPr>
          <w:lang w:val="lt-LT"/>
        </w:rPr>
        <w:t>Beta adrenoblokatoriai gali slėpti hipertiroidizmo požymius.</w:t>
      </w:r>
    </w:p>
    <w:p w14:paraId="1815FC30" w14:textId="77777777" w:rsidR="00D77CF6" w:rsidRDefault="00D77CF6">
      <w:pPr>
        <w:pStyle w:val="Betarp"/>
        <w:rPr>
          <w:u w:val="single"/>
          <w:lang w:val="lt-LT"/>
        </w:rPr>
      </w:pPr>
    </w:p>
    <w:p w14:paraId="1E786E71" w14:textId="77777777" w:rsidR="00D77CF6" w:rsidRDefault="00B25D9E">
      <w:pPr>
        <w:pStyle w:val="Betarp"/>
        <w:rPr>
          <w:iCs/>
          <w:u w:val="single"/>
          <w:lang w:val="lt-LT"/>
        </w:rPr>
      </w:pPr>
      <w:r>
        <w:rPr>
          <w:iCs/>
          <w:u w:val="single"/>
          <w:lang w:val="lt-LT"/>
        </w:rPr>
        <w:t>Ragenos ligos</w:t>
      </w:r>
    </w:p>
    <w:p w14:paraId="0D31B6F3" w14:textId="54B35D5E" w:rsidR="00D77CF6" w:rsidRPr="00D7535D" w:rsidRDefault="00B25D9E">
      <w:pPr>
        <w:pStyle w:val="Betarp"/>
        <w:rPr>
          <w:lang w:val="lt-LT"/>
        </w:rPr>
      </w:pPr>
      <w:r>
        <w:rPr>
          <w:rFonts w:eastAsia="Times New Roman"/>
          <w:lang w:val="lt-LT"/>
        </w:rPr>
        <w:t>Oftalmologiniai</w:t>
      </w:r>
      <w:r>
        <w:rPr>
          <w:lang w:val="lt-LT"/>
        </w:rPr>
        <w:t xml:space="preserve"> beta adrenoblokatoriai gali sukelti akių sausumą. Ragenos ligomis sergančius pacientus reikia gydyti atsargiai.</w:t>
      </w:r>
    </w:p>
    <w:p w14:paraId="47445035" w14:textId="77777777" w:rsidR="00D77CF6" w:rsidRDefault="00D77CF6">
      <w:pPr>
        <w:pStyle w:val="Betarp"/>
        <w:rPr>
          <w:u w:val="single"/>
          <w:lang w:val="lt-LT"/>
        </w:rPr>
      </w:pPr>
    </w:p>
    <w:p w14:paraId="22C5E97B" w14:textId="77777777" w:rsidR="00D77CF6" w:rsidRDefault="00B25D9E">
      <w:pPr>
        <w:pStyle w:val="Betarp"/>
        <w:rPr>
          <w:iCs/>
          <w:u w:val="single"/>
          <w:lang w:val="lt-LT"/>
        </w:rPr>
      </w:pPr>
      <w:r>
        <w:rPr>
          <w:iCs/>
          <w:u w:val="single"/>
          <w:lang w:val="lt-LT"/>
        </w:rPr>
        <w:t>Kiti beta adrenoblokatoriai</w:t>
      </w:r>
    </w:p>
    <w:p w14:paraId="1D9AE090" w14:textId="311EB91C" w:rsidR="00D77CF6" w:rsidRPr="00D7535D" w:rsidRDefault="00B25D9E">
      <w:pPr>
        <w:pStyle w:val="Betarp"/>
        <w:rPr>
          <w:lang w:val="lt-LT"/>
        </w:rPr>
      </w:pPr>
      <w:r>
        <w:rPr>
          <w:lang w:val="lt-LT"/>
        </w:rPr>
        <w:t xml:space="preserve">Poveikis akispudžiui ar žinomas sisteminės beta adrenoreceptorių blokados poveikis gali sustiprėti, jei timololio skiriama pacientui, jau vartojančiam sisteminio poveikio beta adrenoblokatorius. </w:t>
      </w:r>
      <w:r>
        <w:rPr>
          <w:rFonts w:eastAsia="Times New Roman"/>
          <w:lang w:val="lt-LT"/>
        </w:rPr>
        <w:t xml:space="preserve">Tokių pacientų atsaką į </w:t>
      </w:r>
      <w:r>
        <w:rPr>
          <w:lang w:val="lt-LT"/>
        </w:rPr>
        <w:t xml:space="preserve">gydymą </w:t>
      </w:r>
      <w:r>
        <w:rPr>
          <w:rFonts w:eastAsia="Times New Roman"/>
          <w:lang w:val="lt-LT"/>
        </w:rPr>
        <w:t>reikia įdėmiai stebėti.</w:t>
      </w:r>
    </w:p>
    <w:p w14:paraId="59A5B5B9" w14:textId="77777777" w:rsidR="00D77CF6" w:rsidRDefault="00B25D9E">
      <w:pPr>
        <w:pStyle w:val="Betarp"/>
        <w:rPr>
          <w:lang w:val="lt-LT"/>
        </w:rPr>
      </w:pPr>
      <w:r>
        <w:rPr>
          <w:lang w:val="lt-LT"/>
        </w:rPr>
        <w:t>Vartoti dviejų lokalaus poveikio beta adrenoblokatorių nerekomenduojama (žr. 4.5 skyrių).</w:t>
      </w:r>
    </w:p>
    <w:p w14:paraId="46A45C23" w14:textId="02B0407E" w:rsidR="00D77CF6" w:rsidRPr="00D7535D" w:rsidRDefault="00B25D9E">
      <w:pPr>
        <w:pStyle w:val="Betarp"/>
        <w:rPr>
          <w:lang w:val="lt-LT"/>
        </w:rPr>
      </w:pPr>
      <w:r>
        <w:rPr>
          <w:u w:val="single"/>
          <w:lang w:val="lt-LT"/>
        </w:rPr>
        <w:t>Derinyje vartojami kiti vaistiniai preparatai</w:t>
      </w:r>
    </w:p>
    <w:p w14:paraId="2A6F9843" w14:textId="77777777" w:rsidR="00D77CF6" w:rsidRDefault="00B25D9E">
      <w:pPr>
        <w:pStyle w:val="Betarp"/>
        <w:rPr>
          <w:lang w:val="lt-LT"/>
        </w:rPr>
      </w:pPr>
      <w:r>
        <w:rPr>
          <w:lang w:val="lt-LT"/>
        </w:rPr>
        <w:t>Galima timololio ir kitų vaistinių preparatų sąveika (žr. 4.5 skyrių).</w:t>
      </w:r>
    </w:p>
    <w:p w14:paraId="16310B3F" w14:textId="77777777" w:rsidR="00D77CF6" w:rsidRDefault="00D77CF6">
      <w:pPr>
        <w:pStyle w:val="Betarp"/>
        <w:rPr>
          <w:u w:val="single"/>
          <w:lang w:val="lt-LT"/>
        </w:rPr>
      </w:pPr>
    </w:p>
    <w:p w14:paraId="72893F9C" w14:textId="77777777" w:rsidR="00D77CF6" w:rsidRDefault="00B25D9E">
      <w:pPr>
        <w:pStyle w:val="Betarp"/>
        <w:rPr>
          <w:u w:val="single"/>
          <w:lang w:val="lt-LT"/>
        </w:rPr>
      </w:pPr>
      <w:r>
        <w:rPr>
          <w:u w:val="single"/>
          <w:lang w:val="lt-LT"/>
        </w:rPr>
        <w:t>Kiti prostaglandinų analogai</w:t>
      </w:r>
    </w:p>
    <w:p w14:paraId="165A27B4" w14:textId="77777777" w:rsidR="00D77CF6" w:rsidRDefault="00B25D9E">
      <w:pPr>
        <w:pStyle w:val="Betarp"/>
        <w:rPr>
          <w:lang w:val="lt-LT"/>
        </w:rPr>
      </w:pPr>
      <w:r>
        <w:rPr>
          <w:lang w:val="lt-LT"/>
        </w:rPr>
        <w:t>Dviejų ar daugiau prostaglandinų, prostaglandinų analogų arba prostaglandinų darinių  derinyje vartoti nerekomenduojama (žr. 4.5 skyrių).</w:t>
      </w:r>
    </w:p>
    <w:p w14:paraId="1BB1EAC0" w14:textId="77777777" w:rsidR="00D77CF6" w:rsidRDefault="00D77CF6">
      <w:pPr>
        <w:pStyle w:val="Betarp"/>
        <w:rPr>
          <w:u w:val="single"/>
          <w:lang w:val="lt-LT"/>
        </w:rPr>
      </w:pPr>
    </w:p>
    <w:p w14:paraId="138790BC" w14:textId="77777777" w:rsidR="00D77CF6" w:rsidRDefault="00B25D9E">
      <w:pPr>
        <w:pStyle w:val="Betarp"/>
        <w:rPr>
          <w:iCs/>
          <w:u w:val="single"/>
          <w:lang w:val="lt-LT"/>
        </w:rPr>
      </w:pPr>
      <w:r>
        <w:rPr>
          <w:iCs/>
          <w:u w:val="single"/>
          <w:lang w:val="lt-LT"/>
        </w:rPr>
        <w:t>Anafilaksinės reakcijos</w:t>
      </w:r>
    </w:p>
    <w:p w14:paraId="52C82CA0" w14:textId="77777777" w:rsidR="00D77CF6" w:rsidRDefault="00B25D9E">
      <w:pPr>
        <w:pStyle w:val="Betarp"/>
        <w:rPr>
          <w:lang w:val="lt-LT"/>
        </w:rPr>
      </w:pPr>
      <w:r>
        <w:rPr>
          <w:lang w:val="lt-LT"/>
        </w:rPr>
        <w:t>Beta adrenoblokatorių vartojantys pacientai, kuriems buvo pasireiškusi atopija ar sunki anafilaksinė reakcija į įvairius alergenus, gali stipriau reaguoti į pakartotinį kontaktą su tokiais alergenais ir nereaguoti į įprastas anafilaksinei reakcijai gydyti vartojamas adrenalino dozes.</w:t>
      </w:r>
    </w:p>
    <w:p w14:paraId="6464D608" w14:textId="77777777" w:rsidR="00D77CF6" w:rsidRDefault="00D77CF6">
      <w:pPr>
        <w:pStyle w:val="Betarp"/>
        <w:rPr>
          <w:u w:val="single"/>
          <w:lang w:val="lt-LT"/>
        </w:rPr>
      </w:pPr>
    </w:p>
    <w:p w14:paraId="0B73DDEE" w14:textId="3EA6C2AB" w:rsidR="00D77CF6" w:rsidRPr="00D7535D" w:rsidRDefault="00B25D9E">
      <w:pPr>
        <w:pStyle w:val="Betarp"/>
        <w:rPr>
          <w:lang w:val="lt-LT"/>
        </w:rPr>
      </w:pPr>
      <w:r>
        <w:rPr>
          <w:iCs/>
          <w:u w:val="single"/>
          <w:lang w:val="lt-LT"/>
        </w:rPr>
        <w:t>Gyslainės atšokimas</w:t>
      </w:r>
    </w:p>
    <w:p w14:paraId="7715B1F3" w14:textId="38CBBE3E" w:rsidR="00D77CF6" w:rsidRPr="00D7535D" w:rsidRDefault="00B25D9E">
      <w:pPr>
        <w:pStyle w:val="Betarp"/>
        <w:rPr>
          <w:lang w:val="lt-LT"/>
        </w:rPr>
      </w:pPr>
      <w:r>
        <w:rPr>
          <w:lang w:val="lt-LT"/>
        </w:rPr>
        <w:t>Gauta pranešimų, kai vartojant akių skysčio susidarymą slopinančių vaistinių preparatų (pvz., timololio, acetazolamido) po filtravimo procedūrų atšoko gyslainė.</w:t>
      </w:r>
    </w:p>
    <w:p w14:paraId="1658A3DA" w14:textId="77777777" w:rsidR="00D77CF6" w:rsidRDefault="00D77CF6">
      <w:pPr>
        <w:pStyle w:val="Betarp"/>
        <w:rPr>
          <w:u w:val="single"/>
          <w:lang w:val="lt-LT"/>
        </w:rPr>
      </w:pPr>
    </w:p>
    <w:p w14:paraId="61929D50" w14:textId="77777777" w:rsidR="00D77CF6" w:rsidRDefault="00B25D9E">
      <w:pPr>
        <w:pStyle w:val="Betarp"/>
        <w:rPr>
          <w:iCs/>
          <w:u w:val="single"/>
          <w:lang w:val="lt-LT"/>
        </w:rPr>
      </w:pPr>
      <w:r>
        <w:rPr>
          <w:iCs/>
          <w:u w:val="single"/>
          <w:lang w:val="lt-LT"/>
        </w:rPr>
        <w:t>Anestezija chirurginės operacijos metu</w:t>
      </w:r>
    </w:p>
    <w:p w14:paraId="50A9EBF7" w14:textId="77777777" w:rsidR="00D77CF6" w:rsidRDefault="00B25D9E">
      <w:pPr>
        <w:pStyle w:val="Betarp"/>
        <w:rPr>
          <w:lang w:val="lt-LT"/>
        </w:rPr>
      </w:pPr>
      <w:r>
        <w:rPr>
          <w:rFonts w:eastAsia="Times New Roman"/>
          <w:lang w:val="lt-LT"/>
        </w:rPr>
        <w:t>Oftalmologiniai</w:t>
      </w:r>
      <w:r>
        <w:rPr>
          <w:lang w:val="lt-LT"/>
        </w:rPr>
        <w:t xml:space="preserve"> beta adrenoblokatorių vaistiniai preparatai gali blokuoti sisteminį beta agonistų, pvz., adrenalino, poveikį. Jei pacientas vartoja timololį, anesteziologas turi tai žinoti.</w:t>
      </w:r>
    </w:p>
    <w:p w14:paraId="21CE3DC5" w14:textId="77777777" w:rsidR="00D77CF6" w:rsidRDefault="00D77CF6">
      <w:pPr>
        <w:pStyle w:val="Betarp"/>
        <w:rPr>
          <w:u w:val="single"/>
          <w:lang w:val="lt-LT"/>
        </w:rPr>
      </w:pPr>
    </w:p>
    <w:p w14:paraId="00247CA5" w14:textId="77777777" w:rsidR="00D77CF6" w:rsidRDefault="00B25D9E">
      <w:pPr>
        <w:pStyle w:val="Betarp"/>
        <w:rPr>
          <w:u w:val="single"/>
          <w:lang w:val="lt-LT"/>
        </w:rPr>
      </w:pPr>
      <w:r>
        <w:rPr>
          <w:u w:val="single"/>
          <w:lang w:val="lt-LT"/>
        </w:rPr>
        <w:t>Rainelės pigmentacijos pokyčiai</w:t>
      </w:r>
    </w:p>
    <w:p w14:paraId="12CE83C3" w14:textId="7B4E2BDC" w:rsidR="00D77CF6" w:rsidRDefault="00B25D9E">
      <w:pPr>
        <w:pStyle w:val="Betarp"/>
        <w:rPr>
          <w:lang w:val="lt-LT"/>
        </w:rPr>
      </w:pPr>
      <w:r>
        <w:rPr>
          <w:lang w:val="lt-LT"/>
        </w:rPr>
        <w:t>Latanoprostas gali laipsniškai keisti akių spalvą didindamas rudo pigmento kiekį rainelėje. Panašiai kaip ir vartojant latanoprosto akių lašų, gydant ne ilgiau kaip vienerius metus latanoprosto ir timololio deriniu, rainelės pigmentacija padidėjo 16–20 </w:t>
      </w:r>
      <w:r>
        <w:rPr>
          <w:rFonts w:ascii="Symbol" w:eastAsia="Symbol" w:hAnsi="Symbol" w:cs="Symbol"/>
          <w:lang w:val="lt-LT"/>
        </w:rPr>
        <w:t></w:t>
      </w:r>
      <w:r>
        <w:rPr>
          <w:lang w:val="lt-LT"/>
        </w:rPr>
        <w:t xml:space="preserve"> visų gydytų pacientų (remtasi fotografijomis). Toks poveikis dažniausiai pasireiškė pacientams, kurių rainelės spalva mišri, t. y. žaliai ruda, geltonai ruda ar melsvai arba pilkai ruda. Tokį poveikį sukelia melanino kiekio rainelės stromos melanocituose padidėjimas. Paprastai ruda pigmentacija aplink vyzdžius koncentriškai plinta į pažeistų akių periferiją, tačiau labiau paruduoti gali visa rainelė arba jos dalis. Klinikinių tyrimų metu, dvejus metus vartojant latanoprosto, akių spalvos, kurios buvo homogeniškai mėlynos, pilkos, žalios arba rudos, pakitimų atvejai buvo labai reti.</w:t>
      </w:r>
    </w:p>
    <w:p w14:paraId="17A17DB3" w14:textId="77777777" w:rsidR="00D77CF6" w:rsidRDefault="00B25D9E">
      <w:pPr>
        <w:pStyle w:val="Betarp"/>
        <w:rPr>
          <w:lang w:val="lt-LT"/>
        </w:rPr>
      </w:pPr>
      <w:r>
        <w:rPr>
          <w:lang w:val="lt-LT"/>
        </w:rPr>
        <w:t>Rainelės spalva kinta lėtai, pokyčiai gali būti nepastebimi kelis mėnesius ar metus ir nesiejami su jokiu simptomu ar patologiniais pokyčiais.</w:t>
      </w:r>
    </w:p>
    <w:p w14:paraId="2960042B" w14:textId="77777777" w:rsidR="00D77CF6" w:rsidRDefault="00B25D9E">
      <w:pPr>
        <w:pStyle w:val="Betarp"/>
        <w:rPr>
          <w:lang w:val="lt-LT"/>
        </w:rPr>
      </w:pPr>
      <w:r>
        <w:rPr>
          <w:lang w:val="lt-LT"/>
        </w:rPr>
        <w:t>Gydymą nutraukus, rudo pigmento rainelėje nebedaugėja, tačiau spalva gali likti pakitusi visam laikui.</w:t>
      </w:r>
    </w:p>
    <w:p w14:paraId="638C9DDF" w14:textId="77777777" w:rsidR="00D77CF6" w:rsidRDefault="00B25D9E">
      <w:pPr>
        <w:pStyle w:val="Betarp"/>
        <w:rPr>
          <w:lang w:val="lt-LT"/>
        </w:rPr>
      </w:pPr>
      <w:r>
        <w:rPr>
          <w:lang w:val="lt-LT"/>
        </w:rPr>
        <w:t>Rainelės apgamams ar strazdanoms gydymas poveikio nedarė.</w:t>
      </w:r>
    </w:p>
    <w:p w14:paraId="24916588" w14:textId="77777777" w:rsidR="00D77CF6" w:rsidRDefault="00B25D9E">
      <w:pPr>
        <w:pStyle w:val="Betarp"/>
        <w:rPr>
          <w:lang w:val="lt-LT"/>
        </w:rPr>
      </w:pPr>
      <w:r>
        <w:rPr>
          <w:lang w:val="lt-LT"/>
        </w:rPr>
        <w:t>Pigmento kaupimosi trabekulių tinkle ar bet kurioje kitoje priekinės akies kameros vietoje nepastebėta, tačiau pacientus reikia reguliariai tirti ir, atsižvelgiant į klinikinę būklę, jei rainelės pigmentacija didėja, gydymą galima nutraukti.</w:t>
      </w:r>
    </w:p>
    <w:p w14:paraId="78F0CCFF" w14:textId="655DBEDB" w:rsidR="00D77CF6" w:rsidRDefault="00B25D9E">
      <w:pPr>
        <w:pStyle w:val="Betarp"/>
        <w:rPr>
          <w:rFonts w:eastAsia="SimSun"/>
          <w:lang w:val="lt-LT"/>
        </w:rPr>
      </w:pPr>
      <w:r>
        <w:rPr>
          <w:rFonts w:eastAsia="SimSun"/>
          <w:lang w:val="lt-LT"/>
        </w:rPr>
        <w:t>Prieš pradedant gydymą, pacientą reikia informuoti apie galimą akių spalvos pokytį. Vienos akies gydymas gali sukelti nepraeinančią heterochromiją.</w:t>
      </w:r>
    </w:p>
    <w:p w14:paraId="48F5547D" w14:textId="77777777" w:rsidR="00D77CF6" w:rsidRDefault="00D77CF6">
      <w:pPr>
        <w:pStyle w:val="Betarp"/>
        <w:rPr>
          <w:u w:val="single"/>
          <w:lang w:val="lt-LT"/>
        </w:rPr>
      </w:pPr>
    </w:p>
    <w:p w14:paraId="06B71103" w14:textId="77777777" w:rsidR="00D77CF6" w:rsidRDefault="00B25D9E">
      <w:pPr>
        <w:pStyle w:val="Betarp"/>
        <w:rPr>
          <w:u w:val="single"/>
          <w:lang w:val="lt-LT"/>
        </w:rPr>
      </w:pPr>
      <w:r>
        <w:rPr>
          <w:u w:val="single"/>
          <w:lang w:val="lt-LT"/>
        </w:rPr>
        <w:t>Akies voko ir blakstienų pokyčiai</w:t>
      </w:r>
    </w:p>
    <w:p w14:paraId="38144C26" w14:textId="77777777" w:rsidR="00D77CF6" w:rsidRDefault="00B25D9E">
      <w:pPr>
        <w:pStyle w:val="Betarp"/>
        <w:rPr>
          <w:lang w:val="lt-LT"/>
        </w:rPr>
      </w:pPr>
      <w:r>
        <w:rPr>
          <w:lang w:val="lt-LT"/>
        </w:rPr>
        <w:t>Vartojant latanoprosto, buvo pranešta apie akių vokų patamsėjimą, kuris gali būti grįžtamas.</w:t>
      </w:r>
    </w:p>
    <w:p w14:paraId="7DBA2026" w14:textId="77777777" w:rsidR="00D77CF6" w:rsidRDefault="00D77CF6">
      <w:pPr>
        <w:pStyle w:val="Betarp"/>
        <w:rPr>
          <w:lang w:val="lt-LT"/>
        </w:rPr>
      </w:pPr>
    </w:p>
    <w:p w14:paraId="6870438B" w14:textId="77777777" w:rsidR="00D77CF6" w:rsidRDefault="00B25D9E">
      <w:pPr>
        <w:pStyle w:val="Betarp"/>
        <w:rPr>
          <w:lang w:val="lt-LT"/>
        </w:rPr>
      </w:pPr>
      <w:r>
        <w:rPr>
          <w:lang w:val="lt-LT"/>
        </w:rPr>
        <w:t>Latanoprostas laipsniškai gali keisti gydomos akies blakstienas ir plaukelius; galimi blakstienų ar plaukelių pailgėjimo, sustorėjimo, pigmentacijos, kiekio padidėjimo bei blakstienų augimo neteisinga kryptimi pokyčiai. Blakstienų pokyčiai yra laikini ir nutraukus gydymą išnyksta.</w:t>
      </w:r>
    </w:p>
    <w:p w14:paraId="35DC2182" w14:textId="77777777" w:rsidR="00D77CF6" w:rsidRDefault="00D77CF6">
      <w:pPr>
        <w:pStyle w:val="Betarp"/>
        <w:rPr>
          <w:u w:val="single"/>
          <w:lang w:val="lt-LT"/>
        </w:rPr>
      </w:pPr>
    </w:p>
    <w:p w14:paraId="58FE5549" w14:textId="77777777" w:rsidR="00D77CF6" w:rsidRDefault="00B25D9E">
      <w:pPr>
        <w:pStyle w:val="Betarp"/>
        <w:rPr>
          <w:lang w:val="lt-LT"/>
        </w:rPr>
      </w:pPr>
      <w:r>
        <w:rPr>
          <w:u w:val="single"/>
          <w:lang w:val="lt-LT"/>
        </w:rPr>
        <w:t>Glaukoma</w:t>
      </w:r>
    </w:p>
    <w:p w14:paraId="301AC24A" w14:textId="77777777" w:rsidR="00D77CF6" w:rsidRDefault="00B25D9E">
      <w:pPr>
        <w:pStyle w:val="Betarp"/>
        <w:rPr>
          <w:lang w:val="lt-LT"/>
        </w:rPr>
      </w:pPr>
      <w:r>
        <w:rPr>
          <w:lang w:val="lt-LT"/>
        </w:rPr>
        <w:t>Dokumentuotos latanoprosto vartojimo patirties gydant uždegimu pasireiškiančią, neovaskulinę, arba lėtinę uždaro kampo, atviro kampo glaukomą, kai yra pseudofakija, ir pigmentinę glaukomą, nėra. Latanoprostas neturi įtakos vyzdžiui arba jį veikia mažai, tačiau dokumentuotos jo vartojimo patirties, prasidėjus ūminiam uždaro kampo glaukomos priepuoliui, nėra. Kol atsiras daugiau klinikinės patirties, minėtais atvejais Fixopost rekomenduojama vartoti atsargiai.</w:t>
      </w:r>
    </w:p>
    <w:p w14:paraId="0D9C5286" w14:textId="77777777" w:rsidR="00D77CF6" w:rsidRDefault="00D77CF6">
      <w:pPr>
        <w:pStyle w:val="Betarp"/>
        <w:rPr>
          <w:u w:val="single"/>
          <w:lang w:val="lt-LT"/>
        </w:rPr>
      </w:pPr>
    </w:p>
    <w:p w14:paraId="411696A7" w14:textId="586FBB37" w:rsidR="00D77CF6" w:rsidRDefault="00B25D9E">
      <w:pPr>
        <w:pStyle w:val="Betarp"/>
        <w:rPr>
          <w:u w:val="single"/>
          <w:lang w:val="lt-LT"/>
        </w:rPr>
      </w:pPr>
      <w:r>
        <w:rPr>
          <w:u w:val="single"/>
          <w:lang w:val="lt-LT"/>
        </w:rPr>
        <w:t>Pūslelinis virusinis keratitas</w:t>
      </w:r>
    </w:p>
    <w:p w14:paraId="1A9E5272" w14:textId="04591FDB" w:rsidR="00D77CF6" w:rsidRDefault="00B25D9E">
      <w:pPr>
        <w:pStyle w:val="Betarp"/>
        <w:rPr>
          <w:rFonts w:eastAsia="SimSun"/>
          <w:lang w:val="lt-LT"/>
        </w:rPr>
      </w:pPr>
      <w:r>
        <w:rPr>
          <w:rFonts w:eastAsia="SimSun"/>
          <w:lang w:val="lt-LT"/>
        </w:rPr>
        <w:t xml:space="preserve">Latanoprostu atsargiai reikia gydyti pacientus, kurie anksčiau sirgo pūsleliniu virusiniu keratitu ir reikia vengti vartoti esant aktyviam keratitui, sukeltam </w:t>
      </w:r>
      <w:r>
        <w:rPr>
          <w:rFonts w:eastAsia="SimSun"/>
          <w:i/>
          <w:lang w:val="lt-LT"/>
        </w:rPr>
        <w:t>Herpes simplex</w:t>
      </w:r>
      <w:r>
        <w:rPr>
          <w:rFonts w:eastAsia="SimSun"/>
          <w:lang w:val="lt-LT"/>
        </w:rPr>
        <w:t>, bei kurie sirgo pasikartojančiu pūsleliniu keratitu, susijusiu su prostaglandinų analogų vartojimu.</w:t>
      </w:r>
    </w:p>
    <w:p w14:paraId="46CDA7B8" w14:textId="77777777" w:rsidR="00D77CF6" w:rsidRDefault="00D77CF6">
      <w:pPr>
        <w:pStyle w:val="Betarp"/>
        <w:rPr>
          <w:u w:val="single"/>
          <w:lang w:val="lt-LT"/>
        </w:rPr>
      </w:pPr>
    </w:p>
    <w:p w14:paraId="5AA8228C" w14:textId="77777777" w:rsidR="00D77CF6" w:rsidRDefault="00B25D9E">
      <w:pPr>
        <w:pStyle w:val="Betarp"/>
        <w:rPr>
          <w:lang w:val="lt-LT"/>
        </w:rPr>
      </w:pPr>
      <w:r>
        <w:rPr>
          <w:u w:val="single"/>
          <w:lang w:val="lt-LT"/>
        </w:rPr>
        <w:t>Geltonosios dėmės edema</w:t>
      </w:r>
    </w:p>
    <w:p w14:paraId="7F42337E" w14:textId="77777777" w:rsidR="00D77CF6" w:rsidRDefault="00B25D9E">
      <w:pPr>
        <w:pStyle w:val="Betarp"/>
        <w:rPr>
          <w:lang w:val="lt-LT"/>
        </w:rPr>
      </w:pPr>
      <w:r>
        <w:rPr>
          <w:lang w:val="lt-LT"/>
        </w:rPr>
        <w:t>Buvo atvejų, kai latanoprosto vartojimo metu pasireiškė geltonosios dėmės edema (įskaitant cistoidinę geltonosios dėmės edemą). Toks poveikis dažniausiai atsirasdavo pacientams, kuriems buvo afakija, pseudofakija su įplyšusia užpakaline lęšio kapsule arba geltonosios dėmės edemos rizikos veiksnių. Tokiems pacientams Fixopost reikia vartoti atsargiai.</w:t>
      </w:r>
    </w:p>
    <w:p w14:paraId="29BE526D" w14:textId="77777777" w:rsidR="00D77CF6" w:rsidRDefault="00D77CF6">
      <w:pPr>
        <w:pStyle w:val="Betarp"/>
        <w:rPr>
          <w:u w:val="single"/>
          <w:lang w:val="lt-LT"/>
        </w:rPr>
      </w:pPr>
    </w:p>
    <w:p w14:paraId="056CD793" w14:textId="77777777" w:rsidR="00D77CF6" w:rsidRDefault="00B25D9E">
      <w:pPr>
        <w:pStyle w:val="Betarp"/>
        <w:rPr>
          <w:u w:val="single"/>
          <w:lang w:val="lt-LT"/>
        </w:rPr>
      </w:pPr>
      <w:r>
        <w:rPr>
          <w:u w:val="single"/>
          <w:lang w:val="lt-LT"/>
        </w:rPr>
        <w:t>Pagalbinės medžiagos</w:t>
      </w:r>
    </w:p>
    <w:p w14:paraId="3B96C9D1" w14:textId="6A27B66D" w:rsidR="00D77CF6" w:rsidRDefault="00B25D9E">
      <w:pPr>
        <w:pStyle w:val="Betarp"/>
        <w:rPr>
          <w:lang w:val="lt-LT"/>
        </w:rPr>
      </w:pPr>
      <w:r>
        <w:rPr>
          <w:lang w:val="lt-LT"/>
        </w:rPr>
        <w:t>Fixopost sudėtyje yra makrogolglicerolio hidroksistearato (polioksilo hidrinto ricinos aliejaus), kuris gali sukelti odos reakcijų. Šiuo metu ilgalaikių saugumo tyrimų duomenų apie šią pagalbinę medžiagą nėra.</w:t>
      </w:r>
    </w:p>
    <w:p w14:paraId="22C91F3C" w14:textId="77777777" w:rsidR="00D77CF6" w:rsidRDefault="00D77CF6">
      <w:pPr>
        <w:pStyle w:val="Betarp"/>
        <w:rPr>
          <w:b/>
          <w:lang w:val="lt-LT"/>
        </w:rPr>
      </w:pPr>
    </w:p>
    <w:p w14:paraId="18BFFF24" w14:textId="77777777" w:rsidR="00D77CF6" w:rsidRDefault="00B25D9E">
      <w:pPr>
        <w:pStyle w:val="Betarp"/>
        <w:rPr>
          <w:b/>
          <w:lang w:val="lt-LT"/>
        </w:rPr>
      </w:pPr>
      <w:bookmarkStart w:id="18" w:name="_Toc129243231"/>
      <w:bookmarkStart w:id="19" w:name="_Toc129243106"/>
      <w:r>
        <w:rPr>
          <w:b/>
          <w:lang w:val="lt-LT"/>
        </w:rPr>
        <w:t>4.5</w:t>
      </w:r>
      <w:r>
        <w:rPr>
          <w:b/>
          <w:lang w:val="lt-LT"/>
        </w:rPr>
        <w:tab/>
        <w:t>Sąveika su kitais vaistiniais preparatais ir kitokia sąveika</w:t>
      </w:r>
      <w:bookmarkEnd w:id="18"/>
      <w:bookmarkEnd w:id="19"/>
    </w:p>
    <w:p w14:paraId="18ABC05A" w14:textId="77777777" w:rsidR="00D77CF6" w:rsidRDefault="00D77CF6">
      <w:pPr>
        <w:pStyle w:val="Betarp"/>
        <w:rPr>
          <w:lang w:val="lt-LT"/>
        </w:rPr>
      </w:pPr>
    </w:p>
    <w:p w14:paraId="0FFEFFFC" w14:textId="77777777" w:rsidR="00D77CF6" w:rsidRDefault="00B25D9E">
      <w:pPr>
        <w:pStyle w:val="Betarp"/>
        <w:rPr>
          <w:lang w:val="lt-LT"/>
        </w:rPr>
      </w:pPr>
      <w:r>
        <w:rPr>
          <w:lang w:val="lt-LT"/>
        </w:rPr>
        <w:t>Specifinių Fixopost ir kitų vaistinių preparatų sąveikos tyrimų neatlikta.</w:t>
      </w:r>
    </w:p>
    <w:p w14:paraId="44AF1E5E" w14:textId="3ED30CA3" w:rsidR="00D77CF6" w:rsidRDefault="00B25D9E">
      <w:pPr>
        <w:pStyle w:val="Betarp"/>
        <w:rPr>
          <w:lang w:val="lt-LT"/>
        </w:rPr>
      </w:pPr>
      <w:r>
        <w:rPr>
          <w:lang w:val="lt-LT"/>
        </w:rPr>
        <w:t>Gauta pranešimų apie paradoksinį akispūdžio padidėjimą po dviejų prostaglandinų analogų vartojimo ant akių derinyje. Todėl, dviejų ar daugiau prostaglandinų, prostaglandinų analogų arba prostaglandinų darinių vartoti nerekomenduojama.</w:t>
      </w:r>
    </w:p>
    <w:p w14:paraId="0D2CE25B" w14:textId="24555653" w:rsidR="00D77CF6" w:rsidRDefault="00B25D9E">
      <w:pPr>
        <w:pStyle w:val="Betarp"/>
        <w:rPr>
          <w:rFonts w:eastAsia="SimSun"/>
          <w:lang w:val="lt-LT"/>
        </w:rPr>
      </w:pPr>
      <w:r>
        <w:rPr>
          <w:rFonts w:eastAsia="SimSun"/>
          <w:lang w:val="lt-LT"/>
        </w:rPr>
        <w:t xml:space="preserve">Oftalmologinių beta adrenoblokatorių tirpalų vartojant derinyje su geriamaisiais kalcio kanalų blokatoriais, beta adrenoreceptorių blokatoriais, antiaritminiais vaistiniais preparatais (įskaitant amjodaroną), širdį veikiančiais glikozidais, </w:t>
      </w:r>
      <w:r>
        <w:rPr>
          <w:lang w:val="lt-LT"/>
        </w:rPr>
        <w:t>parasimpatikomimetikais</w:t>
      </w:r>
      <w:r>
        <w:rPr>
          <w:rFonts w:eastAsia="SimSun"/>
          <w:lang w:val="lt-LT"/>
        </w:rPr>
        <w:t xml:space="preserve"> ar guanetidinu, gali pasireikšti adityvus poveikis ir atsirasti hipotenzija ir (arba) išreikšta bradikardija.</w:t>
      </w:r>
    </w:p>
    <w:p w14:paraId="0DF4673F" w14:textId="77777777" w:rsidR="00D77CF6" w:rsidRDefault="00D77CF6">
      <w:pPr>
        <w:pStyle w:val="Betarp"/>
        <w:rPr>
          <w:lang w:val="lt-LT"/>
        </w:rPr>
      </w:pPr>
    </w:p>
    <w:p w14:paraId="7429997A" w14:textId="06B137AC" w:rsidR="00D77CF6" w:rsidRDefault="00B25D9E">
      <w:pPr>
        <w:pStyle w:val="Betarp"/>
        <w:rPr>
          <w:lang w:val="lt-LT"/>
        </w:rPr>
      </w:pPr>
      <w:r>
        <w:rPr>
          <w:rFonts w:eastAsia="SimSun"/>
          <w:lang w:val="lt-LT"/>
        </w:rPr>
        <w:t xml:space="preserve">Gauta pranešimų apie sustiprintą sisteminę beta adrenoreceptorių blokadą (pvz., </w:t>
      </w:r>
      <w:r>
        <w:rPr>
          <w:lang w:val="lt-LT"/>
        </w:rPr>
        <w:t>širdies susitraukimo dažnio suretėjimą</w:t>
      </w:r>
      <w:r>
        <w:rPr>
          <w:rFonts w:eastAsia="SimSun"/>
          <w:lang w:val="lt-LT"/>
        </w:rPr>
        <w:t>, depresiją), kai timololio buvo vartojama derinyje su CYP2D6 inhibitoriais (pvz., chinidinu, fluoksetinu, paroksetinu).</w:t>
      </w:r>
    </w:p>
    <w:p w14:paraId="7AF1C2FF" w14:textId="57B18538" w:rsidR="00D77CF6" w:rsidRDefault="00B25D9E">
      <w:pPr>
        <w:pStyle w:val="Betarp"/>
        <w:rPr>
          <w:lang w:val="lt-LT"/>
        </w:rPr>
      </w:pPr>
      <w:r>
        <w:rPr>
          <w:lang w:val="lt-LT"/>
        </w:rPr>
        <w:t xml:space="preserve">Poveikis akispūdžiui ar žinomas sisteminės beta adrenoreceptorių blokados poveikis gali sustiprėti, jei Fixopost skiriama pacientui, jau vartojančiam geriamojo beta adrenoreceptorius blokuojančio vaistinio preparato. Vienu metu vartoti dviejų ar daugiau </w:t>
      </w:r>
      <w:bookmarkStart w:id="20" w:name="_Hlk50568036"/>
      <w:r>
        <w:rPr>
          <w:lang w:val="lt-LT"/>
        </w:rPr>
        <w:t>lokalaus poveikio beta adrenoblokatorių nerekomenduojama.</w:t>
      </w:r>
      <w:bookmarkEnd w:id="20"/>
    </w:p>
    <w:p w14:paraId="27D29D36" w14:textId="3EBCC24C" w:rsidR="00D77CF6" w:rsidRDefault="00B25D9E">
      <w:pPr>
        <w:pStyle w:val="Betarp"/>
        <w:rPr>
          <w:lang w:val="lt-LT"/>
        </w:rPr>
      </w:pPr>
      <w:r>
        <w:rPr>
          <w:lang w:val="lt-LT"/>
        </w:rPr>
        <w:t>Buvo pavienių pranešimų apie midriazę, derinyje vartojant beta adrenoblokatorius ir adrenaliną (epinefriną).</w:t>
      </w:r>
    </w:p>
    <w:p w14:paraId="55E5DBBC" w14:textId="77777777" w:rsidR="00D77CF6" w:rsidRDefault="00B25D9E">
      <w:pPr>
        <w:pStyle w:val="Betarp"/>
        <w:rPr>
          <w:lang w:val="lt-LT"/>
        </w:rPr>
      </w:pPr>
      <w:r>
        <w:rPr>
          <w:lang w:val="lt-LT"/>
        </w:rPr>
        <w:t>Jei vartojama beta adrenoblokatorių, gali pasireikšti stipresnė hipertenzinė reakcija po staigaus gydymo klonidinu nutraukimo.</w:t>
      </w:r>
    </w:p>
    <w:p w14:paraId="6E2BA132" w14:textId="665A549B" w:rsidR="00D77CF6" w:rsidRDefault="00B25D9E">
      <w:pPr>
        <w:pStyle w:val="Betarp"/>
        <w:rPr>
          <w:lang w:val="lt-LT"/>
        </w:rPr>
      </w:pPr>
      <w:r>
        <w:rPr>
          <w:lang w:val="lt-LT"/>
        </w:rPr>
        <w:t>Beta adrenoblokatoriai gali stiprinti hipoglikeminį vaistinių preparatų nuo cukrinio diabeto poveikį. Beta adrenoblokatoriai gali slėpti hipoglikemijos požymius ir simptomus (žr. 4.4 skyrių).</w:t>
      </w:r>
    </w:p>
    <w:p w14:paraId="1AD3FC91" w14:textId="77777777" w:rsidR="00D77CF6" w:rsidRDefault="00D77CF6">
      <w:pPr>
        <w:pStyle w:val="Betarp"/>
        <w:rPr>
          <w:lang w:val="lt-LT"/>
        </w:rPr>
      </w:pPr>
    </w:p>
    <w:p w14:paraId="518D14D3" w14:textId="77777777" w:rsidR="00D77CF6" w:rsidRDefault="00B25D9E">
      <w:pPr>
        <w:pStyle w:val="Betarp"/>
        <w:keepNext/>
        <w:rPr>
          <w:b/>
          <w:lang w:val="lt-LT"/>
        </w:rPr>
      </w:pPr>
      <w:bookmarkStart w:id="21" w:name="_Toc129243232"/>
      <w:bookmarkStart w:id="22" w:name="_Toc129243107"/>
      <w:r>
        <w:rPr>
          <w:b/>
          <w:lang w:val="lt-LT"/>
        </w:rPr>
        <w:t>4.6</w:t>
      </w:r>
      <w:r>
        <w:rPr>
          <w:b/>
          <w:lang w:val="lt-LT"/>
        </w:rPr>
        <w:tab/>
        <w:t>Vaisingumas, nėštumo ir žindymo laikotarpis</w:t>
      </w:r>
      <w:bookmarkEnd w:id="21"/>
      <w:bookmarkEnd w:id="22"/>
    </w:p>
    <w:p w14:paraId="2C64CDCD" w14:textId="77777777" w:rsidR="00D77CF6" w:rsidRDefault="00D77CF6">
      <w:pPr>
        <w:pStyle w:val="Betarp"/>
        <w:keepNext/>
        <w:rPr>
          <w:u w:val="single"/>
          <w:lang w:val="lt-LT"/>
        </w:rPr>
      </w:pPr>
    </w:p>
    <w:p w14:paraId="32380192" w14:textId="77777777" w:rsidR="00D77CF6" w:rsidRDefault="00B25D9E">
      <w:pPr>
        <w:pStyle w:val="Betarp"/>
        <w:keepNext/>
        <w:rPr>
          <w:i/>
          <w:lang w:val="lt-LT"/>
        </w:rPr>
      </w:pPr>
      <w:r>
        <w:rPr>
          <w:u w:val="single"/>
          <w:lang w:val="lt-LT"/>
        </w:rPr>
        <w:t>Nėštumas</w:t>
      </w:r>
    </w:p>
    <w:p w14:paraId="29A11E8C" w14:textId="77777777" w:rsidR="00D77CF6" w:rsidRDefault="00B25D9E">
      <w:pPr>
        <w:pStyle w:val="Betarp"/>
        <w:keepNext/>
        <w:rPr>
          <w:i/>
          <w:lang w:val="lt-LT"/>
        </w:rPr>
      </w:pPr>
      <w:r>
        <w:rPr>
          <w:i/>
          <w:lang w:val="lt-LT"/>
        </w:rPr>
        <w:t>Latanoprostas</w:t>
      </w:r>
    </w:p>
    <w:p w14:paraId="251DB8E7" w14:textId="0B9435CA" w:rsidR="00D77CF6" w:rsidRDefault="00B25D9E">
      <w:pPr>
        <w:pStyle w:val="Betarp"/>
        <w:keepNext/>
        <w:rPr>
          <w:lang w:val="lt-LT"/>
        </w:rPr>
      </w:pPr>
      <w:r>
        <w:rPr>
          <w:lang w:val="lt-LT"/>
        </w:rPr>
        <w:t>Nėra pakankamai duomenų apie latanoprosto vartojimą nėštumo metu. Su gyvūnais atlikti tyrimai parodė toksinį poveikį reprodukcijai (žr. 5.3 skyrių). Galimas pavojus žmogui nežinomas.</w:t>
      </w:r>
    </w:p>
    <w:p w14:paraId="004B39CF" w14:textId="77777777" w:rsidR="00D77CF6" w:rsidRDefault="00D77CF6">
      <w:pPr>
        <w:pStyle w:val="Betarp"/>
        <w:rPr>
          <w:i/>
          <w:lang w:val="lt-LT"/>
        </w:rPr>
      </w:pPr>
    </w:p>
    <w:p w14:paraId="60F55D0A" w14:textId="77777777" w:rsidR="00D77CF6" w:rsidRDefault="00B25D9E">
      <w:pPr>
        <w:pStyle w:val="Betarp"/>
        <w:rPr>
          <w:i/>
          <w:lang w:val="lt-LT"/>
        </w:rPr>
      </w:pPr>
      <w:r>
        <w:rPr>
          <w:i/>
          <w:lang w:val="lt-LT"/>
        </w:rPr>
        <w:t>Timololis</w:t>
      </w:r>
    </w:p>
    <w:p w14:paraId="3FFF343B" w14:textId="6999AD43" w:rsidR="00D77CF6" w:rsidRDefault="00B25D9E">
      <w:pPr>
        <w:pStyle w:val="Betarp"/>
        <w:rPr>
          <w:lang w:val="lt-LT"/>
        </w:rPr>
      </w:pPr>
      <w:r>
        <w:rPr>
          <w:lang w:val="lt-LT"/>
        </w:rPr>
        <w:t>Nėra pakankamai duomenų apie timololio vartojimą nėštumo metu. Timololio nėštumo metu vartoti negalima, išskyrus neabejotinai būtinus atvejus. Informacijos apie sisteminės absorbcijos mažinimą pateikta 4.2 skyriuje.</w:t>
      </w:r>
    </w:p>
    <w:p w14:paraId="3C839D5E" w14:textId="4F5BCAC1" w:rsidR="00D77CF6" w:rsidRDefault="00B25D9E">
      <w:pPr>
        <w:pStyle w:val="Betarp"/>
        <w:rPr>
          <w:lang w:val="lt-LT"/>
        </w:rPr>
      </w:pPr>
      <w:r>
        <w:rPr>
          <w:lang w:val="lt-LT"/>
        </w:rPr>
        <w:t>Epidemiologinių tyrimų metu duomenų apie formavimosi ydas sukeliantį poveikį negauta, tačiau nustatyta su geriamųjų beta adrenoblokatorių vartojimu susijusi augimo gimdoje sulėtėjimo rizika. Be to, moterų, kurios iki gimdymo vartojo beta adrenoblokatorių, naujagimiams atsirado beta receptorių blokados požymių ir simptomų (pvz., bradikardija, hipotenzija, kvėpavimo sutrikimas ir hipoglikemija). Jei Fixopost vartojama iki gimdymo, naujagimį pirmosiomis gyvenimo dienomis reikia atidžiai stebėti.</w:t>
      </w:r>
    </w:p>
    <w:p w14:paraId="2038E223" w14:textId="77777777" w:rsidR="00D77CF6" w:rsidRDefault="00D77CF6">
      <w:pPr>
        <w:pStyle w:val="Betarp"/>
        <w:rPr>
          <w:lang w:val="lt-LT"/>
        </w:rPr>
      </w:pPr>
    </w:p>
    <w:p w14:paraId="41481B07" w14:textId="77777777" w:rsidR="00D77CF6" w:rsidRDefault="00B25D9E">
      <w:pPr>
        <w:pStyle w:val="Betarp"/>
        <w:rPr>
          <w:lang w:val="lt-LT"/>
        </w:rPr>
      </w:pPr>
      <w:r>
        <w:rPr>
          <w:rFonts w:eastAsia="SimSun"/>
          <w:lang w:val="lt-LT"/>
        </w:rPr>
        <w:t xml:space="preserve">Todėl </w:t>
      </w:r>
      <w:r>
        <w:rPr>
          <w:lang w:val="lt-LT"/>
        </w:rPr>
        <w:t>Fixopost</w:t>
      </w:r>
      <w:r>
        <w:rPr>
          <w:rFonts w:eastAsia="SimSun"/>
          <w:lang w:val="lt-LT"/>
        </w:rPr>
        <w:t xml:space="preserve"> nėštumo metu vartoti negalima.</w:t>
      </w:r>
    </w:p>
    <w:p w14:paraId="0641ABDF" w14:textId="77777777" w:rsidR="00D77CF6" w:rsidRDefault="00D77CF6">
      <w:pPr>
        <w:pStyle w:val="Betarp"/>
        <w:rPr>
          <w:u w:val="single"/>
          <w:lang w:val="lt-LT"/>
        </w:rPr>
      </w:pPr>
    </w:p>
    <w:p w14:paraId="206B32B3" w14:textId="77777777" w:rsidR="00D77CF6" w:rsidRDefault="00B25D9E">
      <w:pPr>
        <w:pStyle w:val="Betarp"/>
        <w:rPr>
          <w:u w:val="single"/>
          <w:lang w:val="lt-LT"/>
        </w:rPr>
      </w:pPr>
      <w:r>
        <w:rPr>
          <w:u w:val="single"/>
          <w:lang w:val="lt-LT"/>
        </w:rPr>
        <w:t>Žindymas</w:t>
      </w:r>
    </w:p>
    <w:p w14:paraId="4B84C8B4" w14:textId="77777777" w:rsidR="00D77CF6" w:rsidRDefault="00B25D9E">
      <w:pPr>
        <w:pStyle w:val="Betarp"/>
        <w:rPr>
          <w:lang w:val="lt-LT"/>
        </w:rPr>
      </w:pPr>
      <w:r>
        <w:rPr>
          <w:lang w:val="lt-LT"/>
        </w:rPr>
        <w:t>Beta adrenoblokatoriai išsiskiria į motinos pieną. Tačiau mažai tikėtina, kad vartojant terapines timololio akių lašų dozes motinos piene jo susidarys tiek, kad kūdikiui pasireikštų klinikiniai beta adrenoreceptorių blokados simptomai. Kaip sumažinti sisteminę absorbciją, žr. 4.2 skyrių.</w:t>
      </w:r>
    </w:p>
    <w:p w14:paraId="40148CC3" w14:textId="77777777" w:rsidR="00D77CF6" w:rsidRDefault="00B25D9E">
      <w:pPr>
        <w:pStyle w:val="Betarp"/>
        <w:rPr>
          <w:rFonts w:eastAsia="SimSun"/>
          <w:lang w:val="lt-LT"/>
        </w:rPr>
      </w:pPr>
      <w:r>
        <w:rPr>
          <w:rFonts w:eastAsia="SimSun"/>
          <w:lang w:val="lt-LT"/>
        </w:rPr>
        <w:t>Latanoprosto ir jo metabolitų gali išsiskirti į motinos pieną.</w:t>
      </w:r>
    </w:p>
    <w:p w14:paraId="6F68F9D7" w14:textId="77777777" w:rsidR="00D77CF6" w:rsidRDefault="00B25D9E">
      <w:pPr>
        <w:pStyle w:val="Betarp"/>
        <w:rPr>
          <w:lang w:val="lt-LT"/>
        </w:rPr>
      </w:pPr>
      <w:r>
        <w:rPr>
          <w:rFonts w:eastAsia="SimSun"/>
          <w:lang w:val="lt-LT"/>
        </w:rPr>
        <w:t xml:space="preserve">Todėl </w:t>
      </w:r>
      <w:r>
        <w:rPr>
          <w:lang w:val="lt-LT"/>
        </w:rPr>
        <w:t>Fixopost</w:t>
      </w:r>
      <w:r>
        <w:rPr>
          <w:rFonts w:eastAsia="SimSun"/>
          <w:lang w:val="lt-LT"/>
        </w:rPr>
        <w:t xml:space="preserve"> kūdikį žindančioms moterims vartoti negalima.</w:t>
      </w:r>
    </w:p>
    <w:p w14:paraId="2945A79D" w14:textId="77777777" w:rsidR="00D77CF6" w:rsidRDefault="00D77CF6">
      <w:pPr>
        <w:pStyle w:val="Betarp"/>
        <w:rPr>
          <w:u w:val="single"/>
          <w:lang w:val="lt-LT"/>
        </w:rPr>
      </w:pPr>
    </w:p>
    <w:p w14:paraId="703C0B46" w14:textId="77777777" w:rsidR="00D77CF6" w:rsidRDefault="00B25D9E">
      <w:pPr>
        <w:pStyle w:val="Betarp"/>
        <w:rPr>
          <w:u w:val="single"/>
          <w:lang w:val="lt-LT"/>
        </w:rPr>
      </w:pPr>
      <w:r>
        <w:rPr>
          <w:u w:val="single"/>
          <w:lang w:val="lt-LT"/>
        </w:rPr>
        <w:t>Vaisingumas</w:t>
      </w:r>
    </w:p>
    <w:p w14:paraId="4A896315" w14:textId="77777777" w:rsidR="00D77CF6" w:rsidRDefault="00B25D9E">
      <w:pPr>
        <w:pStyle w:val="Betarp"/>
        <w:rPr>
          <w:rFonts w:eastAsia="SimSun"/>
          <w:lang w:val="lt-LT"/>
        </w:rPr>
      </w:pPr>
      <w:r>
        <w:rPr>
          <w:rFonts w:eastAsia="SimSun"/>
          <w:lang w:val="lt-LT"/>
        </w:rPr>
        <w:t>Tyrimų su gyvūnais metu nebuvo nustatyta, kad latanoprostas arba timololis turi kokį nors poveikį patelių arba patinų vaisingumui (žr. 5.3 skyrių).</w:t>
      </w:r>
    </w:p>
    <w:p w14:paraId="13AAF0C7" w14:textId="77777777" w:rsidR="00D77CF6" w:rsidRDefault="00D77CF6">
      <w:pPr>
        <w:pStyle w:val="Betarp"/>
        <w:rPr>
          <w:b/>
          <w:lang w:val="lt-LT"/>
        </w:rPr>
      </w:pPr>
    </w:p>
    <w:p w14:paraId="1FE3B519" w14:textId="77777777" w:rsidR="00D77CF6" w:rsidRDefault="00B25D9E">
      <w:pPr>
        <w:pStyle w:val="Betarp"/>
        <w:rPr>
          <w:b/>
          <w:lang w:val="lt-LT"/>
        </w:rPr>
      </w:pPr>
      <w:bookmarkStart w:id="23" w:name="_Toc129243233"/>
      <w:bookmarkStart w:id="24" w:name="_Toc129243108"/>
      <w:r>
        <w:rPr>
          <w:b/>
          <w:lang w:val="lt-LT"/>
        </w:rPr>
        <w:t>4.7</w:t>
      </w:r>
      <w:r>
        <w:rPr>
          <w:b/>
          <w:lang w:val="lt-LT"/>
        </w:rPr>
        <w:tab/>
        <w:t>Poveikis gebėjimui vairuoti ir valdyti mechanizmus</w:t>
      </w:r>
      <w:bookmarkEnd w:id="23"/>
      <w:bookmarkEnd w:id="24"/>
    </w:p>
    <w:p w14:paraId="7DA73966" w14:textId="77777777" w:rsidR="00D77CF6" w:rsidRDefault="00D77CF6">
      <w:pPr>
        <w:pStyle w:val="Betarp"/>
        <w:rPr>
          <w:lang w:val="lt-LT"/>
        </w:rPr>
      </w:pPr>
    </w:p>
    <w:p w14:paraId="1351FC89" w14:textId="77777777" w:rsidR="00D77CF6" w:rsidRDefault="00B25D9E">
      <w:pPr>
        <w:pStyle w:val="Betarp"/>
        <w:rPr>
          <w:lang w:val="lt-LT"/>
        </w:rPr>
      </w:pPr>
      <w:r>
        <w:rPr>
          <w:lang w:val="lt-LT"/>
        </w:rPr>
        <w:t>Akių lašų vartojimas gali matomą vaizdą laikinai padaryti neryškų. Kol toks poveikis nepraeis, vairuoti ar valdyti mechanizmų negalima.</w:t>
      </w:r>
    </w:p>
    <w:p w14:paraId="4B51DE9F" w14:textId="77777777" w:rsidR="00D77CF6" w:rsidRDefault="00D77CF6">
      <w:pPr>
        <w:pStyle w:val="Betarp"/>
        <w:rPr>
          <w:b/>
          <w:lang w:val="lt-LT"/>
        </w:rPr>
      </w:pPr>
    </w:p>
    <w:p w14:paraId="1ED66536" w14:textId="77777777" w:rsidR="00D77CF6" w:rsidRDefault="00B25D9E">
      <w:pPr>
        <w:pStyle w:val="Betarp"/>
        <w:rPr>
          <w:b/>
          <w:lang w:val="lt-LT"/>
        </w:rPr>
      </w:pPr>
      <w:bookmarkStart w:id="25" w:name="_Toc129243234"/>
      <w:bookmarkStart w:id="26" w:name="_Toc129243109"/>
      <w:r>
        <w:rPr>
          <w:b/>
          <w:lang w:val="lt-LT"/>
        </w:rPr>
        <w:t>4.8</w:t>
      </w:r>
      <w:r>
        <w:rPr>
          <w:b/>
          <w:lang w:val="lt-LT"/>
        </w:rPr>
        <w:tab/>
        <w:t>Nepageidaujamas poveikis</w:t>
      </w:r>
      <w:bookmarkEnd w:id="25"/>
      <w:bookmarkEnd w:id="26"/>
    </w:p>
    <w:p w14:paraId="21F58E3A" w14:textId="77777777" w:rsidR="00D77CF6" w:rsidRDefault="00D77CF6">
      <w:pPr>
        <w:pStyle w:val="Betarp"/>
        <w:rPr>
          <w:lang w:val="lt-LT"/>
        </w:rPr>
      </w:pPr>
    </w:p>
    <w:p w14:paraId="645E1718" w14:textId="77777777" w:rsidR="00D77CF6" w:rsidRDefault="00B25D9E">
      <w:pPr>
        <w:pStyle w:val="Betarp"/>
        <w:rPr>
          <w:rFonts w:eastAsia="SimSun"/>
          <w:lang w:val="lt-LT"/>
        </w:rPr>
      </w:pPr>
      <w:r>
        <w:rPr>
          <w:lang w:val="lt-LT"/>
        </w:rPr>
        <w:t xml:space="preserve">Dažniausi latanoprosto sukeliamos nepageidaujamos reakcijos susiję su regėjimo sistema. </w:t>
      </w:r>
      <w:r>
        <w:rPr>
          <w:rFonts w:eastAsia="SimSun"/>
          <w:lang w:val="lt-LT"/>
        </w:rPr>
        <w:t>Latanoprosto ir timololio derinio pagrindinių tyrimo pratęsimo fazės duomenimis, 16–20</w:t>
      </w:r>
      <w:r>
        <w:rPr>
          <w:rFonts w:eastAsia="Times New Roman"/>
          <w:lang w:val="lt-LT"/>
        </w:rPr>
        <w:t> </w:t>
      </w:r>
      <w:r>
        <w:rPr>
          <w:rFonts w:ascii="Symbol" w:eastAsia="Symbol" w:hAnsi="Symbol" w:cs="Symbol"/>
          <w:lang w:val="lt-LT"/>
        </w:rPr>
        <w:t></w:t>
      </w:r>
      <w:r>
        <w:rPr>
          <w:rFonts w:eastAsia="SimSun"/>
          <w:lang w:val="lt-LT"/>
        </w:rPr>
        <w:t xml:space="preserve"> pacientų padidėjo rainelės pigmentacija, toks poveikis gali išlikti visam laikui. Atviro 5 metų trukmės latanoprosto saugumo tyrimo metu rainelės pigmentacija pakito 33</w:t>
      </w:r>
      <w:r>
        <w:rPr>
          <w:rFonts w:eastAsia="Times New Roman"/>
          <w:lang w:val="lt-LT"/>
        </w:rPr>
        <w:t> </w:t>
      </w:r>
      <w:r>
        <w:rPr>
          <w:rFonts w:ascii="Symbol" w:eastAsia="Symbol" w:hAnsi="Symbol" w:cs="Symbol"/>
          <w:lang w:val="lt-LT"/>
        </w:rPr>
        <w:t></w:t>
      </w:r>
      <w:r>
        <w:rPr>
          <w:rFonts w:eastAsia="SimSun"/>
          <w:lang w:val="lt-LT"/>
        </w:rPr>
        <w:t xml:space="preserve"> tiriamųjų (žr.</w:t>
      </w:r>
      <w:r>
        <w:rPr>
          <w:rFonts w:eastAsia="Times New Roman"/>
          <w:lang w:val="lt-LT"/>
        </w:rPr>
        <w:t> </w:t>
      </w:r>
      <w:r>
        <w:rPr>
          <w:rFonts w:eastAsia="SimSun"/>
          <w:lang w:val="lt-LT"/>
        </w:rPr>
        <w:t>4.4 skyrių). Kitokios nepageidaujamos akių reakcijos paprastai būna laikinos ir pasireiškia lašinant dozę. Sunkiausia nepageidaujama timololio sukelta reakcija yra sisteminio pobūdžio, įskaitant bradikardiją, aritmiją, stazinį širdies nepakankamumą, bronchų spazmą ir alergines reakcijas.</w:t>
      </w:r>
    </w:p>
    <w:p w14:paraId="08A8CD43" w14:textId="5CFD10D7" w:rsidR="00D77CF6" w:rsidRDefault="00B25D9E">
      <w:pPr>
        <w:pStyle w:val="Betarp"/>
        <w:rPr>
          <w:lang w:val="lt-LT"/>
        </w:rPr>
      </w:pPr>
      <w:r>
        <w:rPr>
          <w:rFonts w:eastAsia="SimSun"/>
          <w:lang w:val="lt-LT"/>
        </w:rPr>
        <w:t xml:space="preserve">Timololio, kaip ir kitų lokaliai vartojamų oftalmologinių vaistinių preparatų, absorbuojama į sisteminę kraujotaką. </w:t>
      </w:r>
      <w:r>
        <w:rPr>
          <w:lang w:val="lt-LT"/>
        </w:rPr>
        <w:t>Gali atsirasti toks pat nepageidaujamas poveikis, koks pasireiškia vartojant sisteminio poveikio beta adrenoblokatorių. Sisteminių nepageidaujamų  reakcijų po lokalaus oftalmologinių vaistinių preparatų vartojimo atsiranda rečiau nei po sisteminio vartojimo. Išvardytos nepageidaujamos reakcijos apima ir reakcijas, pasireiškiančias vartojant oftalmologinių beta blokatorių klasės vaistinių preparatų.</w:t>
      </w:r>
    </w:p>
    <w:p w14:paraId="4ED73923" w14:textId="77777777" w:rsidR="00D77CF6" w:rsidRDefault="00B25D9E">
      <w:pPr>
        <w:pStyle w:val="Betarp"/>
        <w:rPr>
          <w:rFonts w:eastAsia="SimSun"/>
          <w:lang w:val="lt-LT"/>
        </w:rPr>
      </w:pPr>
      <w:r>
        <w:rPr>
          <w:rFonts w:eastAsia="SimSun"/>
          <w:lang w:val="lt-LT"/>
        </w:rPr>
        <w:t>Su gydymu susijusios nepageidaujamos reakcijos, stebėtos klinikinių latanoprosto ir timololio derinio tyrimų metu, išvardytos toliau.</w:t>
      </w:r>
    </w:p>
    <w:p w14:paraId="31B7DD97" w14:textId="77777777" w:rsidR="00D77CF6" w:rsidRDefault="00D77CF6">
      <w:pPr>
        <w:pStyle w:val="Betarp"/>
        <w:rPr>
          <w:rFonts w:eastAsia="SimSun"/>
          <w:lang w:val="lt-LT"/>
        </w:rPr>
      </w:pPr>
    </w:p>
    <w:p w14:paraId="75BCB694" w14:textId="77777777" w:rsidR="00D77CF6" w:rsidRDefault="00B25D9E">
      <w:pPr>
        <w:pStyle w:val="Betarp"/>
        <w:rPr>
          <w:rFonts w:eastAsia="Times New Roman"/>
          <w:lang w:val="lt-LT"/>
        </w:rPr>
      </w:pPr>
      <w:r>
        <w:rPr>
          <w:rFonts w:eastAsia="Times New Roman"/>
          <w:lang w:val="lt-LT"/>
        </w:rPr>
        <w:t>Nepageidaujamo poveikio dažnis apibūdinamas taip: labai dažnas (≥ 1/10), dažnas (nuo ≥ 1/100 iki &lt; 1/10), nedažnas (nuo ≥ 1/1000 iki &lt; 1/100), retas (nuo ≥ 1/10 000 iki &lt; 1/1000),</w:t>
      </w:r>
    </w:p>
    <w:p w14:paraId="63B54BF7" w14:textId="77777777" w:rsidR="00D77CF6" w:rsidRDefault="00B25D9E">
      <w:pPr>
        <w:pStyle w:val="Betarp"/>
        <w:rPr>
          <w:rFonts w:eastAsia="Times New Roman"/>
          <w:lang w:val="lt-LT"/>
        </w:rPr>
      </w:pPr>
      <w:r>
        <w:rPr>
          <w:rFonts w:eastAsia="Times New Roman"/>
          <w:lang w:val="lt-LT"/>
        </w:rPr>
        <w:t xml:space="preserve"> labai retas (&lt; 1/10 000) ir nežinomas (negali būti apskaičiuotas pagal turimus duomenis).</w:t>
      </w:r>
    </w:p>
    <w:p w14:paraId="3D303AD7" w14:textId="77777777" w:rsidR="00D77CF6" w:rsidRDefault="00D77CF6">
      <w:pPr>
        <w:pStyle w:val="Betarp"/>
        <w:rPr>
          <w:rFonts w:eastAsia="Times New Roman"/>
          <w:u w:val="single"/>
          <w:lang w:val="lt-LT"/>
        </w:rPr>
      </w:pPr>
    </w:p>
    <w:p w14:paraId="7E4E2A76" w14:textId="77777777" w:rsidR="00D77CF6" w:rsidRDefault="00B25D9E">
      <w:pPr>
        <w:pStyle w:val="BTEMEASMCA"/>
        <w:rPr>
          <w:u w:val="single"/>
        </w:rPr>
      </w:pPr>
      <w:r>
        <w:rPr>
          <w:u w:val="single"/>
        </w:rPr>
        <w:t>1 lentelė: Nepageidaujamos reakcijos, stebėtos klinikinių tyrimų metu</w:t>
      </w:r>
    </w:p>
    <w:p w14:paraId="17BFE156" w14:textId="77777777" w:rsidR="00D77CF6" w:rsidRDefault="00D77CF6">
      <w:pPr>
        <w:pStyle w:val="BTEMEASMCA"/>
      </w:pPr>
    </w:p>
    <w:tbl>
      <w:tblPr>
        <w:tblW w:w="9061" w:type="dxa"/>
        <w:tblLook w:val="04A0" w:firstRow="1" w:lastRow="0" w:firstColumn="1" w:lastColumn="0" w:noHBand="0" w:noVBand="1"/>
      </w:tblPr>
      <w:tblGrid>
        <w:gridCol w:w="2254"/>
        <w:gridCol w:w="2270"/>
        <w:gridCol w:w="2263"/>
        <w:gridCol w:w="2274"/>
      </w:tblGrid>
      <w:tr w:rsidR="00D77CF6" w14:paraId="5E142F8E" w14:textId="77777777">
        <w:tc>
          <w:tcPr>
            <w:tcW w:w="2253" w:type="dxa"/>
            <w:tcBorders>
              <w:top w:val="single" w:sz="4" w:space="0" w:color="000000"/>
              <w:left w:val="single" w:sz="4" w:space="0" w:color="000000"/>
              <w:bottom w:val="single" w:sz="4" w:space="0" w:color="000000"/>
              <w:right w:val="single" w:sz="4" w:space="0" w:color="000000"/>
            </w:tcBorders>
            <w:shd w:val="clear" w:color="auto" w:fill="auto"/>
          </w:tcPr>
          <w:p w14:paraId="37346C72" w14:textId="77777777" w:rsidR="00D77CF6" w:rsidRDefault="00B25D9E">
            <w:pPr>
              <w:pStyle w:val="Betarp"/>
              <w:rPr>
                <w:b/>
                <w:lang w:val="lt-LT"/>
              </w:rPr>
            </w:pPr>
            <w:r>
              <w:rPr>
                <w:b/>
                <w:lang w:val="lt-LT"/>
              </w:rPr>
              <w:t>Organų sistemų klasės</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713120D6" w14:textId="77777777" w:rsidR="00D77CF6" w:rsidRDefault="00B25D9E">
            <w:pPr>
              <w:pStyle w:val="Betarp"/>
              <w:rPr>
                <w:b/>
                <w:lang w:val="lt-LT"/>
              </w:rPr>
            </w:pPr>
            <w:r>
              <w:rPr>
                <w:b/>
                <w:lang w:val="lt-LT"/>
              </w:rPr>
              <w:t xml:space="preserve">Labai dažnas </w:t>
            </w:r>
            <w:r>
              <w:rPr>
                <w:rFonts w:eastAsia="Times New Roman"/>
                <w:b/>
                <w:lang w:val="lt-LT"/>
              </w:rPr>
              <w:t>(≥ 1/10)</w:t>
            </w:r>
          </w:p>
        </w:tc>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04C5A044" w14:textId="77777777" w:rsidR="00D77CF6" w:rsidRDefault="00B25D9E">
            <w:pPr>
              <w:pStyle w:val="Betarp"/>
              <w:rPr>
                <w:b/>
                <w:lang w:val="lt-LT"/>
              </w:rPr>
            </w:pPr>
            <w:r>
              <w:rPr>
                <w:b/>
                <w:lang w:val="lt-LT"/>
              </w:rPr>
              <w:t xml:space="preserve">Dažnas </w:t>
            </w:r>
            <w:r>
              <w:rPr>
                <w:rFonts w:eastAsia="Times New Roman"/>
                <w:b/>
                <w:lang w:val="lt-LT"/>
              </w:rPr>
              <w:t>(nuo ≥ 1/100 iki &lt; 1/10)</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14:paraId="2CA2012F" w14:textId="77777777" w:rsidR="00D77CF6" w:rsidRDefault="00B25D9E">
            <w:pPr>
              <w:pStyle w:val="Betarp"/>
              <w:rPr>
                <w:b/>
                <w:lang w:val="lt-LT"/>
              </w:rPr>
            </w:pPr>
            <w:r>
              <w:rPr>
                <w:rFonts w:eastAsia="Times New Roman"/>
                <w:b/>
                <w:lang w:val="lt-LT"/>
              </w:rPr>
              <w:t>Nedažnas (nuo ≥ 1/1000 iki &lt; 1/100)</w:t>
            </w:r>
          </w:p>
        </w:tc>
      </w:tr>
      <w:tr w:rsidR="00D77CF6" w14:paraId="43B2CA8F" w14:textId="77777777">
        <w:tc>
          <w:tcPr>
            <w:tcW w:w="2253" w:type="dxa"/>
            <w:tcBorders>
              <w:top w:val="single" w:sz="4" w:space="0" w:color="000000"/>
              <w:left w:val="single" w:sz="4" w:space="0" w:color="000000"/>
              <w:bottom w:val="single" w:sz="4" w:space="0" w:color="000000"/>
              <w:right w:val="single" w:sz="4" w:space="0" w:color="000000"/>
            </w:tcBorders>
            <w:shd w:val="clear" w:color="auto" w:fill="auto"/>
          </w:tcPr>
          <w:p w14:paraId="47713F5D" w14:textId="77777777" w:rsidR="00D77CF6" w:rsidRDefault="00B25D9E">
            <w:pPr>
              <w:pStyle w:val="Betarp"/>
              <w:rPr>
                <w:lang w:val="lt-LT"/>
              </w:rPr>
            </w:pPr>
            <w:r>
              <w:rPr>
                <w:lang w:val="lt-LT"/>
              </w:rPr>
              <w:t>Nervų sistemos sutrikimai</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5E98B863" w14:textId="77777777" w:rsidR="00D77CF6" w:rsidRDefault="00D77CF6">
            <w:pPr>
              <w:pStyle w:val="Betarp"/>
              <w:rPr>
                <w:lang w:val="lt-LT"/>
              </w:rPr>
            </w:pPr>
          </w:p>
        </w:tc>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23E6937F" w14:textId="77777777" w:rsidR="00D77CF6" w:rsidRDefault="00D77CF6">
            <w:pPr>
              <w:pStyle w:val="Betarp"/>
              <w:rPr>
                <w:lang w:val="lt-LT"/>
              </w:rPr>
            </w:pP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14:paraId="5FB52755" w14:textId="77777777" w:rsidR="00D77CF6" w:rsidRDefault="00B25D9E">
            <w:pPr>
              <w:pStyle w:val="Betarp"/>
              <w:rPr>
                <w:lang w:val="lt-LT"/>
              </w:rPr>
            </w:pPr>
            <w:r>
              <w:rPr>
                <w:lang w:val="lt-LT"/>
              </w:rPr>
              <w:t>Galvos skausmas</w:t>
            </w:r>
          </w:p>
        </w:tc>
      </w:tr>
      <w:tr w:rsidR="00D77CF6" w:rsidRPr="00CA1BDC" w14:paraId="1255030E" w14:textId="77777777">
        <w:tc>
          <w:tcPr>
            <w:tcW w:w="2253" w:type="dxa"/>
            <w:tcBorders>
              <w:top w:val="single" w:sz="4" w:space="0" w:color="000000"/>
              <w:left w:val="single" w:sz="4" w:space="0" w:color="000000"/>
              <w:bottom w:val="single" w:sz="4" w:space="0" w:color="000000"/>
              <w:right w:val="single" w:sz="4" w:space="0" w:color="000000"/>
            </w:tcBorders>
            <w:shd w:val="clear" w:color="auto" w:fill="auto"/>
          </w:tcPr>
          <w:p w14:paraId="3D11B241" w14:textId="77777777" w:rsidR="00D77CF6" w:rsidRDefault="00B25D9E">
            <w:pPr>
              <w:pStyle w:val="Betarp"/>
              <w:rPr>
                <w:lang w:val="lt-LT"/>
              </w:rPr>
            </w:pPr>
            <w:r>
              <w:rPr>
                <w:lang w:val="lt-LT"/>
              </w:rPr>
              <w:t>Akių sutrikimai</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6AF04D70" w14:textId="77777777" w:rsidR="00D77CF6" w:rsidRDefault="00B25D9E">
            <w:pPr>
              <w:pStyle w:val="Betarp"/>
              <w:rPr>
                <w:lang w:val="lt-LT"/>
              </w:rPr>
            </w:pPr>
            <w:r>
              <w:rPr>
                <w:lang w:val="lt-LT"/>
              </w:rPr>
              <w:t>Rainelės pigmentacijos padidėjimas</w:t>
            </w:r>
          </w:p>
        </w:tc>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1FD7BC1F" w14:textId="77777777" w:rsidR="00D77CF6" w:rsidRDefault="00B25D9E">
            <w:pPr>
              <w:pStyle w:val="Betarp"/>
              <w:rPr>
                <w:lang w:val="lt-LT"/>
              </w:rPr>
            </w:pPr>
            <w:r>
              <w:rPr>
                <w:lang w:val="lt-LT"/>
              </w:rPr>
              <w:t>Akies skausmas, akių sudirginimas (įskaitant gėlimą, deginimą, niežėjimą, svetimkūnio pojūtį)</w:t>
            </w: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14:paraId="3258C39C" w14:textId="77777777" w:rsidR="00D77CF6" w:rsidRDefault="00B25D9E">
            <w:pPr>
              <w:pStyle w:val="Betarp"/>
              <w:rPr>
                <w:lang w:val="lt-LT"/>
              </w:rPr>
            </w:pPr>
            <w:r>
              <w:rPr>
                <w:lang w:val="lt-LT"/>
              </w:rPr>
              <w:t>Ragenos sutrikimai, konjuktyvitas, blefaritas, akies hiperemija, neryškus matymas, ašarojimo sustiprėjimas</w:t>
            </w:r>
          </w:p>
        </w:tc>
      </w:tr>
      <w:tr w:rsidR="00D77CF6" w14:paraId="63EAEE56" w14:textId="77777777">
        <w:tc>
          <w:tcPr>
            <w:tcW w:w="2253" w:type="dxa"/>
            <w:tcBorders>
              <w:top w:val="single" w:sz="4" w:space="0" w:color="000000"/>
              <w:left w:val="single" w:sz="4" w:space="0" w:color="000000"/>
              <w:bottom w:val="single" w:sz="4" w:space="0" w:color="000000"/>
              <w:right w:val="single" w:sz="4" w:space="0" w:color="000000"/>
            </w:tcBorders>
            <w:shd w:val="clear" w:color="auto" w:fill="auto"/>
          </w:tcPr>
          <w:p w14:paraId="6262D938" w14:textId="77777777" w:rsidR="00D77CF6" w:rsidRDefault="00B25D9E">
            <w:pPr>
              <w:pStyle w:val="Betarp"/>
              <w:rPr>
                <w:lang w:val="lt-LT"/>
              </w:rPr>
            </w:pPr>
            <w:r>
              <w:rPr>
                <w:lang w:val="lt-LT"/>
              </w:rPr>
              <w:t>Odos ir poodinio audinio sutrikimai</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05342ED6" w14:textId="77777777" w:rsidR="00D77CF6" w:rsidRDefault="00D77CF6">
            <w:pPr>
              <w:pStyle w:val="Betarp"/>
              <w:rPr>
                <w:lang w:val="lt-LT"/>
              </w:rPr>
            </w:pPr>
          </w:p>
        </w:tc>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3DF57406" w14:textId="77777777" w:rsidR="00D77CF6" w:rsidRDefault="00D77CF6">
            <w:pPr>
              <w:pStyle w:val="Betarp"/>
              <w:rPr>
                <w:lang w:val="lt-LT"/>
              </w:rPr>
            </w:pPr>
          </w:p>
        </w:tc>
        <w:tc>
          <w:tcPr>
            <w:tcW w:w="2274" w:type="dxa"/>
            <w:tcBorders>
              <w:top w:val="single" w:sz="4" w:space="0" w:color="000000"/>
              <w:left w:val="single" w:sz="4" w:space="0" w:color="000000"/>
              <w:bottom w:val="single" w:sz="4" w:space="0" w:color="000000"/>
              <w:right w:val="single" w:sz="4" w:space="0" w:color="000000"/>
            </w:tcBorders>
            <w:shd w:val="clear" w:color="auto" w:fill="auto"/>
          </w:tcPr>
          <w:p w14:paraId="0C70F16F" w14:textId="737BFC8B" w:rsidR="00D77CF6" w:rsidRDefault="00B25D9E">
            <w:pPr>
              <w:pStyle w:val="Betarp"/>
              <w:rPr>
                <w:lang w:val="lt-LT"/>
              </w:rPr>
            </w:pPr>
            <w:r>
              <w:rPr>
                <w:lang w:val="lt-LT"/>
              </w:rPr>
              <w:t>Išbėrimas, niežėjimas</w:t>
            </w:r>
          </w:p>
        </w:tc>
      </w:tr>
    </w:tbl>
    <w:p w14:paraId="46C6503A" w14:textId="77777777" w:rsidR="00D77CF6" w:rsidRDefault="00D77CF6">
      <w:pPr>
        <w:pStyle w:val="Betarp"/>
        <w:rPr>
          <w:lang w:val="lt-LT"/>
        </w:rPr>
      </w:pPr>
    </w:p>
    <w:p w14:paraId="4100ABFE" w14:textId="46F41506" w:rsidR="00D77CF6" w:rsidRDefault="00B25D9E">
      <w:pPr>
        <w:pStyle w:val="Betarp"/>
        <w:rPr>
          <w:lang w:val="lt-LT"/>
        </w:rPr>
      </w:pPr>
      <w:r>
        <w:rPr>
          <w:lang w:val="lt-LT"/>
        </w:rPr>
        <w:t>Klinikinių tyrimų metu bei gavus spontaninių pranešimų po vaistinio preparato pasirodymo rinkoje ir peržiūrėjus mokslinę literatūrą gauta duomenų apie papildomus nepageidaujamus reiškinius, susijusius su atskirų Fixopost komponentų vartojimu.</w:t>
      </w:r>
    </w:p>
    <w:p w14:paraId="51D310D4" w14:textId="77777777" w:rsidR="00D77CF6" w:rsidRDefault="00D77CF6">
      <w:pPr>
        <w:pStyle w:val="Betarp"/>
        <w:rPr>
          <w:u w:val="single"/>
          <w:lang w:val="lt-LT"/>
        </w:rPr>
      </w:pPr>
    </w:p>
    <w:p w14:paraId="293981E3" w14:textId="77777777" w:rsidR="00D77CF6" w:rsidRDefault="00B25D9E">
      <w:pPr>
        <w:pStyle w:val="Betarp"/>
        <w:rPr>
          <w:u w:val="single"/>
          <w:lang w:val="lt-LT"/>
        </w:rPr>
      </w:pPr>
      <w:r>
        <w:rPr>
          <w:u w:val="single"/>
          <w:lang w:val="lt-LT"/>
        </w:rPr>
        <w:t>Latanoprostui būdingos reakcijos</w:t>
      </w:r>
    </w:p>
    <w:p w14:paraId="1E38B862" w14:textId="77777777" w:rsidR="00D77CF6" w:rsidRDefault="00D77CF6">
      <w:pPr>
        <w:pStyle w:val="Betarp"/>
        <w:rPr>
          <w:b/>
          <w:i/>
          <w:lang w:val="lt-LT"/>
        </w:rPr>
      </w:pPr>
    </w:p>
    <w:p w14:paraId="0106560E" w14:textId="77777777" w:rsidR="00D77CF6" w:rsidRDefault="00B25D9E">
      <w:pPr>
        <w:pStyle w:val="Betarp"/>
        <w:rPr>
          <w:b/>
          <w:lang w:val="lt-LT"/>
        </w:rPr>
      </w:pPr>
      <w:r>
        <w:rPr>
          <w:b/>
          <w:lang w:val="lt-LT"/>
        </w:rPr>
        <w:t>2 lentelė: Nepageidaujamos reakcijos, latanoprostas</w:t>
      </w:r>
    </w:p>
    <w:tbl>
      <w:tblPr>
        <w:tblW w:w="9061" w:type="dxa"/>
        <w:tblLook w:val="04A0" w:firstRow="1" w:lastRow="0" w:firstColumn="1" w:lastColumn="0" w:noHBand="0" w:noVBand="1"/>
      </w:tblPr>
      <w:tblGrid>
        <w:gridCol w:w="4520"/>
        <w:gridCol w:w="4541"/>
      </w:tblGrid>
      <w:tr w:rsidR="00D77CF6" w14:paraId="7E40D799" w14:textId="77777777">
        <w:tc>
          <w:tcPr>
            <w:tcW w:w="4520" w:type="dxa"/>
            <w:tcBorders>
              <w:top w:val="single" w:sz="4" w:space="0" w:color="000000"/>
              <w:left w:val="single" w:sz="4" w:space="0" w:color="000000"/>
              <w:bottom w:val="single" w:sz="4" w:space="0" w:color="000000"/>
              <w:right w:val="single" w:sz="4" w:space="0" w:color="000000"/>
            </w:tcBorders>
            <w:shd w:val="clear" w:color="auto" w:fill="auto"/>
          </w:tcPr>
          <w:p w14:paraId="6B201161" w14:textId="77777777" w:rsidR="00D77CF6" w:rsidRDefault="00B25D9E">
            <w:pPr>
              <w:pStyle w:val="Betarp"/>
              <w:rPr>
                <w:i/>
                <w:lang w:val="lt-LT"/>
              </w:rPr>
            </w:pPr>
            <w:r>
              <w:rPr>
                <w:b/>
                <w:lang w:val="lt-LT"/>
              </w:rPr>
              <w:t>Organų sistemų klasės</w:t>
            </w: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14:paraId="48479C37" w14:textId="77777777" w:rsidR="00D77CF6" w:rsidRDefault="00B25D9E">
            <w:pPr>
              <w:pStyle w:val="Betarp"/>
              <w:rPr>
                <w:b/>
                <w:lang w:val="lt-LT"/>
              </w:rPr>
            </w:pPr>
            <w:r>
              <w:rPr>
                <w:b/>
                <w:lang w:val="lt-LT"/>
              </w:rPr>
              <w:t>Nepageidaujamos reakcijos</w:t>
            </w:r>
          </w:p>
        </w:tc>
      </w:tr>
      <w:tr w:rsidR="00D77CF6" w14:paraId="0B3B93FA" w14:textId="77777777">
        <w:tc>
          <w:tcPr>
            <w:tcW w:w="4520" w:type="dxa"/>
            <w:tcBorders>
              <w:top w:val="single" w:sz="4" w:space="0" w:color="000000"/>
              <w:left w:val="single" w:sz="4" w:space="0" w:color="000000"/>
              <w:bottom w:val="single" w:sz="4" w:space="0" w:color="000000"/>
              <w:right w:val="single" w:sz="4" w:space="0" w:color="000000"/>
            </w:tcBorders>
            <w:shd w:val="clear" w:color="auto" w:fill="auto"/>
          </w:tcPr>
          <w:p w14:paraId="189BFED2" w14:textId="77777777" w:rsidR="00D77CF6" w:rsidRDefault="00B25D9E">
            <w:pPr>
              <w:pStyle w:val="Betarp"/>
              <w:rPr>
                <w:lang w:val="lt-LT"/>
              </w:rPr>
            </w:pPr>
            <w:r>
              <w:rPr>
                <w:lang w:val="lt-LT"/>
              </w:rPr>
              <w:t>Infekcijos ir infestacijos</w:t>
            </w: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14:paraId="338B8A0B" w14:textId="1CD75BED" w:rsidR="00D77CF6" w:rsidRDefault="00B25D9E">
            <w:pPr>
              <w:pStyle w:val="Betarp"/>
              <w:rPr>
                <w:lang w:val="lt-LT"/>
              </w:rPr>
            </w:pPr>
            <w:r>
              <w:rPr>
                <w:rFonts w:eastAsia="SimSun"/>
                <w:lang w:val="lt-LT"/>
              </w:rPr>
              <w:t>Pūslelinis virusinis keratitas</w:t>
            </w:r>
          </w:p>
        </w:tc>
      </w:tr>
      <w:tr w:rsidR="00D77CF6" w14:paraId="2E029F45" w14:textId="77777777">
        <w:tc>
          <w:tcPr>
            <w:tcW w:w="4520" w:type="dxa"/>
            <w:tcBorders>
              <w:top w:val="single" w:sz="4" w:space="0" w:color="000000"/>
              <w:left w:val="single" w:sz="4" w:space="0" w:color="000000"/>
              <w:bottom w:val="single" w:sz="4" w:space="0" w:color="000000"/>
              <w:right w:val="single" w:sz="4" w:space="0" w:color="000000"/>
            </w:tcBorders>
            <w:shd w:val="clear" w:color="auto" w:fill="auto"/>
          </w:tcPr>
          <w:p w14:paraId="07A89858" w14:textId="77777777" w:rsidR="00D77CF6" w:rsidRDefault="00B25D9E">
            <w:pPr>
              <w:pStyle w:val="Betarp"/>
              <w:rPr>
                <w:lang w:val="lt-LT"/>
              </w:rPr>
            </w:pPr>
            <w:r>
              <w:rPr>
                <w:lang w:val="lt-LT"/>
              </w:rPr>
              <w:t>Nervų sistemos sutrikimai</w:t>
            </w: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14:paraId="69E9161F" w14:textId="77777777" w:rsidR="00D77CF6" w:rsidRDefault="00B25D9E">
            <w:pPr>
              <w:pStyle w:val="Betarp"/>
              <w:rPr>
                <w:lang w:val="lt-LT"/>
              </w:rPr>
            </w:pPr>
            <w:r>
              <w:rPr>
                <w:lang w:val="lt-LT"/>
              </w:rPr>
              <w:t>Svaigulys</w:t>
            </w:r>
          </w:p>
        </w:tc>
      </w:tr>
      <w:tr w:rsidR="00D77CF6" w:rsidRPr="00CA1BDC" w14:paraId="6252D991" w14:textId="77777777">
        <w:tc>
          <w:tcPr>
            <w:tcW w:w="4520" w:type="dxa"/>
            <w:tcBorders>
              <w:top w:val="single" w:sz="4" w:space="0" w:color="000000"/>
              <w:left w:val="single" w:sz="4" w:space="0" w:color="000000"/>
              <w:bottom w:val="single" w:sz="4" w:space="0" w:color="000000"/>
              <w:right w:val="single" w:sz="4" w:space="0" w:color="000000"/>
            </w:tcBorders>
            <w:shd w:val="clear" w:color="auto" w:fill="auto"/>
          </w:tcPr>
          <w:p w14:paraId="35A4E525" w14:textId="77777777" w:rsidR="00D77CF6" w:rsidRDefault="00B25D9E">
            <w:pPr>
              <w:pStyle w:val="Betarp"/>
              <w:rPr>
                <w:lang w:val="lt-LT"/>
              </w:rPr>
            </w:pPr>
            <w:r>
              <w:rPr>
                <w:lang w:val="lt-LT"/>
              </w:rPr>
              <w:t>Akių sutrikimai</w:t>
            </w: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14:paraId="11F7966F" w14:textId="2E974A3C" w:rsidR="00D77CF6" w:rsidRDefault="00B25D9E">
            <w:pPr>
              <w:pStyle w:val="Betarp"/>
              <w:rPr>
                <w:lang w:val="lt-LT"/>
              </w:rPr>
            </w:pPr>
            <w:r>
              <w:rPr>
                <w:lang w:val="lt-LT"/>
              </w:rPr>
              <w:t>Akies voko blakstienų ir plaukelių pokyčiai (pailgėjimas, sustorėjimas, pigmentacija ir blakstienų kiekio padidėjimas), taškinis keratitas, periorbitalinė edema, iritas, uveitas, geltonosios dėmės edema, įskaitant cistoidinę geltonosios dėmės edemą, akių sausumas, keratitas, ragenos edema, ragenos erozija, trichiazė, rainelės cista, fotofobija, periorbitalinės srities ir vokų pokyčiai, sukeliantys vokų plyšio pagilėjimą, akies voko edema, lokali akies vokų odos reakcija, akies junginės pseudopemfigoidas,, palpebralinės odos patamsėjimas</w:t>
            </w:r>
          </w:p>
        </w:tc>
      </w:tr>
      <w:tr w:rsidR="00D77CF6" w:rsidRPr="00CA1BDC" w14:paraId="232EA638" w14:textId="77777777">
        <w:tc>
          <w:tcPr>
            <w:tcW w:w="4520" w:type="dxa"/>
            <w:tcBorders>
              <w:top w:val="single" w:sz="4" w:space="0" w:color="000000"/>
              <w:left w:val="single" w:sz="4" w:space="0" w:color="000000"/>
              <w:bottom w:val="single" w:sz="4" w:space="0" w:color="000000"/>
              <w:right w:val="single" w:sz="4" w:space="0" w:color="000000"/>
            </w:tcBorders>
            <w:shd w:val="clear" w:color="auto" w:fill="auto"/>
          </w:tcPr>
          <w:p w14:paraId="1F718730" w14:textId="77777777" w:rsidR="00D77CF6" w:rsidRDefault="00B25D9E">
            <w:pPr>
              <w:pStyle w:val="Betarp"/>
              <w:rPr>
                <w:lang w:val="lt-LT"/>
              </w:rPr>
            </w:pPr>
            <w:r>
              <w:rPr>
                <w:lang w:val="lt-LT"/>
              </w:rPr>
              <w:t>Širdies sutrikimai</w:t>
            </w: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14:paraId="615C0B69" w14:textId="77777777" w:rsidR="00D77CF6" w:rsidRDefault="00B25D9E">
            <w:pPr>
              <w:pStyle w:val="Betarp"/>
              <w:rPr>
                <w:lang w:val="lt-LT"/>
              </w:rPr>
            </w:pPr>
            <w:r>
              <w:rPr>
                <w:lang w:val="lt-LT"/>
              </w:rPr>
              <w:t>Krūtinės angina, nestabilioji krūtinės angina, širdies plakimai, perplakimai (palpitacijos)</w:t>
            </w:r>
          </w:p>
        </w:tc>
      </w:tr>
      <w:tr w:rsidR="00D77CF6" w14:paraId="7CBF1328" w14:textId="77777777">
        <w:tc>
          <w:tcPr>
            <w:tcW w:w="4520" w:type="dxa"/>
            <w:tcBorders>
              <w:top w:val="single" w:sz="4" w:space="0" w:color="000000"/>
              <w:left w:val="single" w:sz="4" w:space="0" w:color="000000"/>
              <w:bottom w:val="single" w:sz="4" w:space="0" w:color="000000"/>
              <w:right w:val="single" w:sz="4" w:space="0" w:color="000000"/>
            </w:tcBorders>
            <w:shd w:val="clear" w:color="auto" w:fill="auto"/>
          </w:tcPr>
          <w:p w14:paraId="4FAB7B79" w14:textId="77777777" w:rsidR="00D77CF6" w:rsidRDefault="00B25D9E">
            <w:pPr>
              <w:pStyle w:val="Betarp"/>
              <w:rPr>
                <w:lang w:val="lt-LT"/>
              </w:rPr>
            </w:pPr>
            <w:r>
              <w:rPr>
                <w:lang w:val="lt-LT"/>
              </w:rPr>
              <w:t>Kvėpavimo sistemos, krūtinės ląstos ir tarpuplaučio sutrikimai</w:t>
            </w: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14:paraId="00ACB597" w14:textId="77777777" w:rsidR="00D77CF6" w:rsidRDefault="00B25D9E">
            <w:pPr>
              <w:pStyle w:val="Betarp"/>
              <w:rPr>
                <w:lang w:val="lt-LT"/>
              </w:rPr>
            </w:pPr>
            <w:r>
              <w:rPr>
                <w:lang w:val="lt-LT"/>
              </w:rPr>
              <w:t>Astma, astmos pasunkėjimas, dispnėja</w:t>
            </w:r>
          </w:p>
        </w:tc>
      </w:tr>
      <w:tr w:rsidR="00BE1FF4" w14:paraId="2DC948CE" w14:textId="77777777">
        <w:tc>
          <w:tcPr>
            <w:tcW w:w="4520" w:type="dxa"/>
            <w:tcBorders>
              <w:top w:val="single" w:sz="4" w:space="0" w:color="000000"/>
              <w:left w:val="single" w:sz="4" w:space="0" w:color="000000"/>
              <w:bottom w:val="single" w:sz="4" w:space="0" w:color="000000"/>
              <w:right w:val="single" w:sz="4" w:space="0" w:color="000000"/>
            </w:tcBorders>
            <w:shd w:val="clear" w:color="auto" w:fill="auto"/>
          </w:tcPr>
          <w:p w14:paraId="29A67157" w14:textId="1EE104DB" w:rsidR="00BE1FF4" w:rsidRDefault="00BE1FF4">
            <w:pPr>
              <w:pStyle w:val="Betarp"/>
              <w:rPr>
                <w:lang w:val="lt-LT"/>
              </w:rPr>
            </w:pPr>
            <w:r w:rsidRPr="00BE1FF4">
              <w:rPr>
                <w:lang w:val="lt-LT"/>
              </w:rPr>
              <w:t>Virškinimo trakto sutrikimai</w:t>
            </w: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14:paraId="7156E62D" w14:textId="2DF6CAE2" w:rsidR="00BE1FF4" w:rsidRDefault="00BE1FF4">
            <w:pPr>
              <w:pStyle w:val="Betarp"/>
              <w:rPr>
                <w:lang w:val="lt-LT"/>
              </w:rPr>
            </w:pPr>
            <w:r>
              <w:rPr>
                <w:lang w:val="lt-LT"/>
              </w:rPr>
              <w:t>P</w:t>
            </w:r>
            <w:r w:rsidRPr="00BE1FF4">
              <w:rPr>
                <w:lang w:val="lt-LT"/>
              </w:rPr>
              <w:t>ykinimas</w:t>
            </w:r>
            <w:r w:rsidR="007019D8">
              <w:rPr>
                <w:lang w:val="lt-LT"/>
              </w:rPr>
              <w:t>,</w:t>
            </w:r>
            <w:r>
              <w:rPr>
                <w:lang w:val="lt-LT"/>
              </w:rPr>
              <w:t xml:space="preserve"> v</w:t>
            </w:r>
            <w:r w:rsidRPr="00BE1FF4">
              <w:rPr>
                <w:lang w:val="lt-LT"/>
              </w:rPr>
              <w:t>ėmimas</w:t>
            </w:r>
          </w:p>
        </w:tc>
      </w:tr>
      <w:tr w:rsidR="00D77CF6" w14:paraId="41BA8456" w14:textId="77777777">
        <w:tc>
          <w:tcPr>
            <w:tcW w:w="4520" w:type="dxa"/>
            <w:tcBorders>
              <w:top w:val="single" w:sz="4" w:space="0" w:color="000000"/>
              <w:left w:val="single" w:sz="4" w:space="0" w:color="000000"/>
              <w:bottom w:val="single" w:sz="4" w:space="0" w:color="000000"/>
              <w:right w:val="single" w:sz="4" w:space="0" w:color="000000"/>
            </w:tcBorders>
            <w:shd w:val="clear" w:color="auto" w:fill="auto"/>
          </w:tcPr>
          <w:p w14:paraId="494ED34D" w14:textId="77777777" w:rsidR="00D77CF6" w:rsidRDefault="00B25D9E">
            <w:pPr>
              <w:pStyle w:val="Betarp"/>
              <w:rPr>
                <w:lang w:val="lt-LT"/>
              </w:rPr>
            </w:pPr>
            <w:r>
              <w:rPr>
                <w:lang w:val="lt-LT"/>
              </w:rPr>
              <w:t>Skeleto, raumenų ir jungiamojo audinio sutrikimai</w:t>
            </w: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14:paraId="700D1A65" w14:textId="77777777" w:rsidR="00D77CF6" w:rsidRDefault="00B25D9E">
            <w:pPr>
              <w:pStyle w:val="Betarp"/>
              <w:rPr>
                <w:lang w:val="lt-LT"/>
              </w:rPr>
            </w:pPr>
            <w:r>
              <w:rPr>
                <w:lang w:val="lt-LT"/>
              </w:rPr>
              <w:t>Mialgija; artralgija</w:t>
            </w:r>
          </w:p>
        </w:tc>
      </w:tr>
      <w:tr w:rsidR="00D77CF6" w14:paraId="5B8FA30B" w14:textId="77777777">
        <w:tc>
          <w:tcPr>
            <w:tcW w:w="4520" w:type="dxa"/>
            <w:tcBorders>
              <w:top w:val="single" w:sz="4" w:space="0" w:color="000000"/>
              <w:left w:val="single" w:sz="4" w:space="0" w:color="000000"/>
              <w:bottom w:val="single" w:sz="4" w:space="0" w:color="000000"/>
              <w:right w:val="single" w:sz="4" w:space="0" w:color="000000"/>
            </w:tcBorders>
            <w:shd w:val="clear" w:color="auto" w:fill="auto"/>
          </w:tcPr>
          <w:p w14:paraId="2B73A398" w14:textId="77777777" w:rsidR="00D77CF6" w:rsidRDefault="00B25D9E">
            <w:pPr>
              <w:pStyle w:val="Betarp"/>
              <w:rPr>
                <w:lang w:val="lt-LT"/>
              </w:rPr>
            </w:pPr>
            <w:r>
              <w:rPr>
                <w:lang w:val="lt-LT"/>
              </w:rPr>
              <w:t>Bendrieji sutrikimai ir vartojimo vietos pažeidimai</w:t>
            </w:r>
          </w:p>
        </w:tc>
        <w:tc>
          <w:tcPr>
            <w:tcW w:w="4540" w:type="dxa"/>
            <w:tcBorders>
              <w:top w:val="single" w:sz="4" w:space="0" w:color="000000"/>
              <w:left w:val="single" w:sz="4" w:space="0" w:color="000000"/>
              <w:bottom w:val="single" w:sz="4" w:space="0" w:color="000000"/>
              <w:right w:val="single" w:sz="4" w:space="0" w:color="000000"/>
            </w:tcBorders>
            <w:shd w:val="clear" w:color="auto" w:fill="auto"/>
          </w:tcPr>
          <w:p w14:paraId="0E57DB95" w14:textId="77777777" w:rsidR="00D77CF6" w:rsidRDefault="00B25D9E">
            <w:pPr>
              <w:pStyle w:val="Betarp"/>
              <w:rPr>
                <w:lang w:val="lt-LT"/>
              </w:rPr>
            </w:pPr>
            <w:r>
              <w:rPr>
                <w:lang w:val="lt-LT"/>
              </w:rPr>
              <w:t>Krūtinės skausmas</w:t>
            </w:r>
          </w:p>
        </w:tc>
      </w:tr>
    </w:tbl>
    <w:p w14:paraId="306EB483" w14:textId="77777777" w:rsidR="00D77CF6" w:rsidRDefault="00D77CF6">
      <w:pPr>
        <w:pStyle w:val="Betarp"/>
        <w:rPr>
          <w:u w:val="single"/>
          <w:lang w:val="lt-LT"/>
        </w:rPr>
      </w:pPr>
    </w:p>
    <w:p w14:paraId="220FE56D" w14:textId="77777777" w:rsidR="00D77CF6" w:rsidRDefault="00B25D9E">
      <w:pPr>
        <w:pStyle w:val="Betarp"/>
        <w:rPr>
          <w:u w:val="single"/>
          <w:lang w:val="lt-LT"/>
        </w:rPr>
      </w:pPr>
      <w:r>
        <w:rPr>
          <w:u w:val="single"/>
          <w:lang w:val="lt-LT"/>
        </w:rPr>
        <w:t>Timololiui būdingos reakcijos</w:t>
      </w:r>
    </w:p>
    <w:p w14:paraId="56E14649" w14:textId="77777777" w:rsidR="00D77CF6" w:rsidRDefault="00D77CF6">
      <w:pPr>
        <w:pStyle w:val="Betarp"/>
        <w:rPr>
          <w:b/>
          <w:lang w:val="lt-LT"/>
        </w:rPr>
      </w:pPr>
    </w:p>
    <w:p w14:paraId="1B52477F" w14:textId="77777777" w:rsidR="00D77CF6" w:rsidRDefault="00B25D9E">
      <w:pPr>
        <w:pStyle w:val="Betarp"/>
        <w:rPr>
          <w:b/>
          <w:lang w:val="lt-LT"/>
        </w:rPr>
      </w:pPr>
      <w:r>
        <w:rPr>
          <w:b/>
          <w:lang w:val="lt-LT"/>
        </w:rPr>
        <w:t>3 lentelė: Nepageidaujamos reakcijos, timololio maleatas (vartojant ant akių)</w:t>
      </w:r>
    </w:p>
    <w:tbl>
      <w:tblPr>
        <w:tblW w:w="9061" w:type="dxa"/>
        <w:tblLook w:val="04A0" w:firstRow="1" w:lastRow="0" w:firstColumn="1" w:lastColumn="0" w:noHBand="0" w:noVBand="1"/>
      </w:tblPr>
      <w:tblGrid>
        <w:gridCol w:w="4522"/>
        <w:gridCol w:w="4539"/>
      </w:tblGrid>
      <w:tr w:rsidR="00D77CF6" w14:paraId="78DB7E5A" w14:textId="77777777">
        <w:tc>
          <w:tcPr>
            <w:tcW w:w="4522" w:type="dxa"/>
            <w:tcBorders>
              <w:top w:val="single" w:sz="4" w:space="0" w:color="000000"/>
              <w:left w:val="single" w:sz="4" w:space="0" w:color="000000"/>
              <w:bottom w:val="single" w:sz="4" w:space="0" w:color="000000"/>
              <w:right w:val="single" w:sz="4" w:space="0" w:color="000000"/>
            </w:tcBorders>
            <w:shd w:val="clear" w:color="auto" w:fill="auto"/>
          </w:tcPr>
          <w:p w14:paraId="3E8D98F8" w14:textId="77777777" w:rsidR="00D77CF6" w:rsidRDefault="00B25D9E">
            <w:pPr>
              <w:pStyle w:val="Betarp"/>
              <w:rPr>
                <w:i/>
                <w:lang w:val="lt-LT"/>
              </w:rPr>
            </w:pPr>
            <w:r>
              <w:rPr>
                <w:b/>
                <w:lang w:val="lt-LT"/>
              </w:rPr>
              <w:t>Organų sistemų klasės</w:t>
            </w:r>
          </w:p>
        </w:tc>
        <w:tc>
          <w:tcPr>
            <w:tcW w:w="4538" w:type="dxa"/>
            <w:tcBorders>
              <w:top w:val="single" w:sz="4" w:space="0" w:color="000000"/>
              <w:left w:val="single" w:sz="4" w:space="0" w:color="000000"/>
              <w:bottom w:val="single" w:sz="4" w:space="0" w:color="000000"/>
              <w:right w:val="single" w:sz="4" w:space="0" w:color="000000"/>
            </w:tcBorders>
            <w:shd w:val="clear" w:color="auto" w:fill="auto"/>
          </w:tcPr>
          <w:p w14:paraId="59324705" w14:textId="77777777" w:rsidR="00D77CF6" w:rsidRDefault="00B25D9E">
            <w:pPr>
              <w:pStyle w:val="Betarp"/>
              <w:rPr>
                <w:b/>
                <w:lang w:val="lt-LT"/>
              </w:rPr>
            </w:pPr>
            <w:r>
              <w:rPr>
                <w:b/>
                <w:lang w:val="lt-LT"/>
              </w:rPr>
              <w:t>Nepageidaujamos reakcijos</w:t>
            </w:r>
          </w:p>
        </w:tc>
      </w:tr>
      <w:tr w:rsidR="00D77CF6" w:rsidRPr="00CA1BDC" w14:paraId="09B80D50" w14:textId="77777777">
        <w:tc>
          <w:tcPr>
            <w:tcW w:w="4522" w:type="dxa"/>
            <w:tcBorders>
              <w:top w:val="single" w:sz="4" w:space="0" w:color="000000"/>
              <w:left w:val="single" w:sz="4" w:space="0" w:color="000000"/>
              <w:bottom w:val="single" w:sz="4" w:space="0" w:color="000000"/>
              <w:right w:val="single" w:sz="4" w:space="0" w:color="000000"/>
            </w:tcBorders>
            <w:shd w:val="clear" w:color="auto" w:fill="auto"/>
          </w:tcPr>
          <w:p w14:paraId="178B4659" w14:textId="77777777" w:rsidR="00D77CF6" w:rsidRDefault="00B25D9E">
            <w:pPr>
              <w:pStyle w:val="Betarp"/>
              <w:rPr>
                <w:lang w:val="lt-LT"/>
              </w:rPr>
            </w:pPr>
            <w:r>
              <w:rPr>
                <w:lang w:val="lt-LT"/>
              </w:rPr>
              <w:t>Imuninės sistemos sutrikimai</w:t>
            </w:r>
          </w:p>
          <w:p w14:paraId="55167D5A" w14:textId="77777777" w:rsidR="00D77CF6" w:rsidRDefault="00D77CF6">
            <w:pPr>
              <w:pStyle w:val="Betarp"/>
              <w:rPr>
                <w:i/>
                <w:lang w:val="lt-LT"/>
              </w:rPr>
            </w:pPr>
          </w:p>
        </w:tc>
        <w:tc>
          <w:tcPr>
            <w:tcW w:w="4538" w:type="dxa"/>
            <w:tcBorders>
              <w:top w:val="single" w:sz="4" w:space="0" w:color="000000"/>
              <w:left w:val="single" w:sz="4" w:space="0" w:color="000000"/>
              <w:bottom w:val="single" w:sz="4" w:space="0" w:color="000000"/>
              <w:right w:val="single" w:sz="4" w:space="0" w:color="000000"/>
            </w:tcBorders>
            <w:shd w:val="clear" w:color="auto" w:fill="auto"/>
          </w:tcPr>
          <w:p w14:paraId="5AD3C84D" w14:textId="77777777" w:rsidR="00D77CF6" w:rsidRDefault="00B25D9E">
            <w:pPr>
              <w:pStyle w:val="Betarp"/>
              <w:rPr>
                <w:i/>
                <w:lang w:val="lt-LT"/>
              </w:rPr>
            </w:pPr>
            <w:r>
              <w:rPr>
                <w:lang w:val="lt-LT"/>
              </w:rPr>
              <w:t>Sisteminės alerginės reakcijos, įskaitant anafilaksinę reakciją, angioneurozinę edemą, dilgėlinę bei lokalizuotą ir išplitusį išbėrimą, niežėjimą</w:t>
            </w:r>
          </w:p>
        </w:tc>
      </w:tr>
      <w:tr w:rsidR="00D77CF6" w14:paraId="0E663ACC" w14:textId="77777777">
        <w:tc>
          <w:tcPr>
            <w:tcW w:w="4522" w:type="dxa"/>
            <w:tcBorders>
              <w:top w:val="single" w:sz="4" w:space="0" w:color="000000"/>
              <w:left w:val="single" w:sz="4" w:space="0" w:color="000000"/>
              <w:bottom w:val="single" w:sz="4" w:space="0" w:color="000000"/>
              <w:right w:val="single" w:sz="4" w:space="0" w:color="000000"/>
            </w:tcBorders>
            <w:shd w:val="clear" w:color="auto" w:fill="auto"/>
          </w:tcPr>
          <w:p w14:paraId="74E379A5" w14:textId="77777777" w:rsidR="00D77CF6" w:rsidRDefault="00B25D9E">
            <w:pPr>
              <w:pStyle w:val="Betarp"/>
              <w:rPr>
                <w:i/>
                <w:lang w:val="lt-LT"/>
              </w:rPr>
            </w:pPr>
            <w:r>
              <w:rPr>
                <w:lang w:val="lt-LT"/>
              </w:rPr>
              <w:t>Metabolizmo ir mitybos sutrikimai</w:t>
            </w:r>
          </w:p>
        </w:tc>
        <w:tc>
          <w:tcPr>
            <w:tcW w:w="4538" w:type="dxa"/>
            <w:tcBorders>
              <w:top w:val="single" w:sz="4" w:space="0" w:color="000000"/>
              <w:left w:val="single" w:sz="4" w:space="0" w:color="000000"/>
              <w:bottom w:val="single" w:sz="4" w:space="0" w:color="000000"/>
              <w:right w:val="single" w:sz="4" w:space="0" w:color="000000"/>
            </w:tcBorders>
            <w:shd w:val="clear" w:color="auto" w:fill="auto"/>
          </w:tcPr>
          <w:p w14:paraId="55BEA900" w14:textId="77777777" w:rsidR="00D77CF6" w:rsidRDefault="00B25D9E">
            <w:pPr>
              <w:pStyle w:val="Betarp"/>
              <w:rPr>
                <w:i/>
                <w:lang w:val="lt-LT"/>
              </w:rPr>
            </w:pPr>
            <w:r>
              <w:rPr>
                <w:lang w:val="lt-LT"/>
              </w:rPr>
              <w:t>Hipoglikemija</w:t>
            </w:r>
          </w:p>
        </w:tc>
      </w:tr>
      <w:tr w:rsidR="00D77CF6" w:rsidRPr="00CA1BDC" w14:paraId="0D88C661" w14:textId="77777777">
        <w:tc>
          <w:tcPr>
            <w:tcW w:w="4522" w:type="dxa"/>
            <w:tcBorders>
              <w:top w:val="single" w:sz="4" w:space="0" w:color="000000"/>
              <w:left w:val="single" w:sz="4" w:space="0" w:color="000000"/>
              <w:bottom w:val="single" w:sz="4" w:space="0" w:color="000000"/>
              <w:right w:val="single" w:sz="4" w:space="0" w:color="000000"/>
            </w:tcBorders>
            <w:shd w:val="clear" w:color="auto" w:fill="auto"/>
          </w:tcPr>
          <w:p w14:paraId="02EA56C4" w14:textId="77777777" w:rsidR="00D77CF6" w:rsidRDefault="00B25D9E">
            <w:pPr>
              <w:pStyle w:val="Betarp"/>
              <w:rPr>
                <w:lang w:val="lt-LT"/>
              </w:rPr>
            </w:pPr>
            <w:r>
              <w:rPr>
                <w:lang w:val="lt-LT"/>
              </w:rPr>
              <w:t>Psichikos sutrikimai</w:t>
            </w:r>
          </w:p>
          <w:p w14:paraId="730F4895" w14:textId="77777777" w:rsidR="00D77CF6" w:rsidRDefault="00D77CF6">
            <w:pPr>
              <w:pStyle w:val="Betarp"/>
              <w:rPr>
                <w:i/>
                <w:lang w:val="lt-LT"/>
              </w:rPr>
            </w:pPr>
          </w:p>
        </w:tc>
        <w:tc>
          <w:tcPr>
            <w:tcW w:w="4538" w:type="dxa"/>
            <w:tcBorders>
              <w:top w:val="single" w:sz="4" w:space="0" w:color="000000"/>
              <w:left w:val="single" w:sz="4" w:space="0" w:color="000000"/>
              <w:bottom w:val="single" w:sz="4" w:space="0" w:color="000000"/>
              <w:right w:val="single" w:sz="4" w:space="0" w:color="000000"/>
            </w:tcBorders>
            <w:shd w:val="clear" w:color="auto" w:fill="auto"/>
          </w:tcPr>
          <w:p w14:paraId="2C6082DB" w14:textId="77777777" w:rsidR="00D77CF6" w:rsidRDefault="00B25D9E">
            <w:pPr>
              <w:pStyle w:val="Betarp"/>
              <w:rPr>
                <w:i/>
                <w:lang w:val="lt-LT"/>
              </w:rPr>
            </w:pPr>
            <w:r>
              <w:rPr>
                <w:lang w:val="lt-LT"/>
              </w:rPr>
              <w:t>Atminties netekimas, nemiga, depresija, košmariški sapnai, haliucinacijos</w:t>
            </w:r>
          </w:p>
        </w:tc>
      </w:tr>
      <w:tr w:rsidR="00D77CF6" w:rsidRPr="00CA1BDC" w14:paraId="79075634" w14:textId="77777777">
        <w:tc>
          <w:tcPr>
            <w:tcW w:w="4522" w:type="dxa"/>
            <w:tcBorders>
              <w:top w:val="single" w:sz="4" w:space="0" w:color="000000"/>
              <w:left w:val="single" w:sz="4" w:space="0" w:color="000000"/>
              <w:bottom w:val="single" w:sz="4" w:space="0" w:color="000000"/>
              <w:right w:val="single" w:sz="4" w:space="0" w:color="000000"/>
            </w:tcBorders>
            <w:shd w:val="clear" w:color="auto" w:fill="auto"/>
          </w:tcPr>
          <w:p w14:paraId="532F4144" w14:textId="77777777" w:rsidR="00D77CF6" w:rsidRDefault="00B25D9E">
            <w:pPr>
              <w:pStyle w:val="Betarp"/>
              <w:rPr>
                <w:lang w:val="lt-LT"/>
              </w:rPr>
            </w:pPr>
            <w:r>
              <w:rPr>
                <w:lang w:val="lt-LT"/>
              </w:rPr>
              <w:t>Nervų sistemos sutrikimai</w:t>
            </w:r>
          </w:p>
          <w:p w14:paraId="56E7B939" w14:textId="77777777" w:rsidR="00D77CF6" w:rsidRDefault="00D77CF6">
            <w:pPr>
              <w:pStyle w:val="Betarp"/>
              <w:rPr>
                <w:i/>
                <w:lang w:val="lt-LT"/>
              </w:rPr>
            </w:pPr>
          </w:p>
        </w:tc>
        <w:tc>
          <w:tcPr>
            <w:tcW w:w="4538" w:type="dxa"/>
            <w:tcBorders>
              <w:top w:val="single" w:sz="4" w:space="0" w:color="000000"/>
              <w:left w:val="single" w:sz="4" w:space="0" w:color="000000"/>
              <w:bottom w:val="single" w:sz="4" w:space="0" w:color="000000"/>
              <w:right w:val="single" w:sz="4" w:space="0" w:color="000000"/>
            </w:tcBorders>
            <w:shd w:val="clear" w:color="auto" w:fill="auto"/>
          </w:tcPr>
          <w:p w14:paraId="12B9B2A6" w14:textId="77777777" w:rsidR="00D77CF6" w:rsidRDefault="00B25D9E">
            <w:pPr>
              <w:pStyle w:val="Betarp"/>
              <w:rPr>
                <w:i/>
                <w:lang w:val="lt-LT"/>
              </w:rPr>
            </w:pPr>
            <w:r>
              <w:rPr>
                <w:rFonts w:eastAsia="SimSun"/>
                <w:lang w:val="lt-LT"/>
              </w:rPr>
              <w:t>Smegenų kraujagyslių sutrikimai, smegenų išemija, svaigulys, generalizuotos miastenijos (</w:t>
            </w:r>
            <w:r>
              <w:rPr>
                <w:rFonts w:eastAsia="SimSun"/>
                <w:i/>
                <w:lang w:val="lt-LT"/>
              </w:rPr>
              <w:t>myasthenia gravis</w:t>
            </w:r>
            <w:r>
              <w:rPr>
                <w:rFonts w:eastAsia="SimSun"/>
                <w:lang w:val="lt-LT"/>
              </w:rPr>
              <w:t>) požymių ir simptomų pasunkėjimas, parestezija, galvos skausmas, sinkopė</w:t>
            </w:r>
          </w:p>
        </w:tc>
      </w:tr>
      <w:tr w:rsidR="00D77CF6" w:rsidRPr="00CA1BDC" w14:paraId="5A9BD29B" w14:textId="77777777">
        <w:tc>
          <w:tcPr>
            <w:tcW w:w="4522" w:type="dxa"/>
            <w:tcBorders>
              <w:top w:val="single" w:sz="4" w:space="0" w:color="000000"/>
              <w:left w:val="single" w:sz="4" w:space="0" w:color="000000"/>
              <w:bottom w:val="single" w:sz="4" w:space="0" w:color="000000"/>
              <w:right w:val="single" w:sz="4" w:space="0" w:color="000000"/>
            </w:tcBorders>
            <w:shd w:val="clear" w:color="auto" w:fill="auto"/>
          </w:tcPr>
          <w:p w14:paraId="2983092B" w14:textId="77777777" w:rsidR="00D77CF6" w:rsidRDefault="00B25D9E">
            <w:pPr>
              <w:pStyle w:val="Betarp"/>
              <w:rPr>
                <w:i/>
                <w:lang w:val="lt-LT"/>
              </w:rPr>
            </w:pPr>
            <w:r>
              <w:rPr>
                <w:lang w:val="lt-LT"/>
              </w:rPr>
              <w:t>Akių sutrikimai</w:t>
            </w:r>
          </w:p>
        </w:tc>
        <w:tc>
          <w:tcPr>
            <w:tcW w:w="4538" w:type="dxa"/>
            <w:tcBorders>
              <w:top w:val="single" w:sz="4" w:space="0" w:color="000000"/>
              <w:left w:val="single" w:sz="4" w:space="0" w:color="000000"/>
              <w:bottom w:val="single" w:sz="4" w:space="0" w:color="000000"/>
              <w:right w:val="single" w:sz="4" w:space="0" w:color="000000"/>
            </w:tcBorders>
            <w:shd w:val="clear" w:color="auto" w:fill="auto"/>
          </w:tcPr>
          <w:p w14:paraId="23038F43" w14:textId="2C9A51B1" w:rsidR="00D77CF6" w:rsidRDefault="00B25D9E">
            <w:pPr>
              <w:pStyle w:val="Betarp"/>
              <w:rPr>
                <w:i/>
                <w:lang w:val="lt-LT"/>
              </w:rPr>
            </w:pPr>
            <w:r>
              <w:rPr>
                <w:lang w:val="lt-LT"/>
              </w:rPr>
              <w:t>Gyslainės atšokimas po filtravimo operacijų (žr.</w:t>
            </w:r>
            <w:r>
              <w:rPr>
                <w:rFonts w:eastAsia="Times New Roman"/>
                <w:lang w:val="lt-LT"/>
              </w:rPr>
              <w:t> </w:t>
            </w:r>
            <w:r>
              <w:rPr>
                <w:lang w:val="lt-LT"/>
              </w:rPr>
              <w:t>4.4 skyrių), ragenos erozija, keratitas, diplopija, ragenos jautrumo sumažėjimas, akių dirginimo požymiai ir simptomai (pvz., deginimas, gėlimas, niežėjimas, ašarojimas, paraudimas), akių sausumas, ptozė, blefaritas, neryškus matymas</w:t>
            </w:r>
          </w:p>
        </w:tc>
      </w:tr>
      <w:tr w:rsidR="00D77CF6" w14:paraId="150F4322" w14:textId="77777777">
        <w:tc>
          <w:tcPr>
            <w:tcW w:w="4522" w:type="dxa"/>
            <w:tcBorders>
              <w:top w:val="single" w:sz="4" w:space="0" w:color="000000"/>
              <w:left w:val="single" w:sz="4" w:space="0" w:color="000000"/>
              <w:bottom w:val="single" w:sz="4" w:space="0" w:color="000000"/>
              <w:right w:val="single" w:sz="4" w:space="0" w:color="000000"/>
            </w:tcBorders>
            <w:shd w:val="clear" w:color="auto" w:fill="auto"/>
          </w:tcPr>
          <w:p w14:paraId="26EB7946" w14:textId="77777777" w:rsidR="00D77CF6" w:rsidRDefault="00B25D9E">
            <w:pPr>
              <w:pStyle w:val="Betarp"/>
              <w:rPr>
                <w:i/>
                <w:lang w:val="lt-LT"/>
              </w:rPr>
            </w:pPr>
            <w:r>
              <w:rPr>
                <w:lang w:val="lt-LT"/>
              </w:rPr>
              <w:t>Ausų ir labirintų sutrikimai</w:t>
            </w:r>
          </w:p>
        </w:tc>
        <w:tc>
          <w:tcPr>
            <w:tcW w:w="4538" w:type="dxa"/>
            <w:tcBorders>
              <w:top w:val="single" w:sz="4" w:space="0" w:color="000000"/>
              <w:left w:val="single" w:sz="4" w:space="0" w:color="000000"/>
              <w:bottom w:val="single" w:sz="4" w:space="0" w:color="000000"/>
              <w:right w:val="single" w:sz="4" w:space="0" w:color="000000"/>
            </w:tcBorders>
            <w:shd w:val="clear" w:color="auto" w:fill="auto"/>
          </w:tcPr>
          <w:p w14:paraId="32983AA9" w14:textId="373CAD12" w:rsidR="00D77CF6" w:rsidRDefault="00B25D9E">
            <w:pPr>
              <w:pStyle w:val="Betarp"/>
              <w:rPr>
                <w:i/>
                <w:lang w:val="lt-LT"/>
              </w:rPr>
            </w:pPr>
            <w:r>
              <w:rPr>
                <w:lang w:val="lt-LT"/>
              </w:rPr>
              <w:t>Ūžesys (</w:t>
            </w:r>
            <w:r>
              <w:rPr>
                <w:i/>
                <w:iCs/>
                <w:lang w:val="lt-LT"/>
              </w:rPr>
              <w:t>tinnitus</w:t>
            </w:r>
            <w:r>
              <w:rPr>
                <w:lang w:val="lt-LT"/>
              </w:rPr>
              <w:t>)</w:t>
            </w:r>
          </w:p>
        </w:tc>
      </w:tr>
      <w:tr w:rsidR="00D77CF6" w:rsidRPr="00CA1BDC" w14:paraId="7263D1DE" w14:textId="77777777">
        <w:tc>
          <w:tcPr>
            <w:tcW w:w="4522" w:type="dxa"/>
            <w:tcBorders>
              <w:top w:val="single" w:sz="4" w:space="0" w:color="000000"/>
              <w:left w:val="single" w:sz="4" w:space="0" w:color="000000"/>
              <w:bottom w:val="single" w:sz="4" w:space="0" w:color="000000"/>
              <w:right w:val="single" w:sz="4" w:space="0" w:color="000000"/>
            </w:tcBorders>
            <w:shd w:val="clear" w:color="auto" w:fill="auto"/>
          </w:tcPr>
          <w:p w14:paraId="058F2BBF" w14:textId="77777777" w:rsidR="00D77CF6" w:rsidRDefault="00B25D9E">
            <w:pPr>
              <w:pStyle w:val="Betarp"/>
              <w:rPr>
                <w:lang w:val="lt-LT"/>
              </w:rPr>
            </w:pPr>
            <w:r>
              <w:rPr>
                <w:lang w:val="lt-LT"/>
              </w:rPr>
              <w:t>Širdies sutrikimai</w:t>
            </w:r>
          </w:p>
          <w:p w14:paraId="608E014C" w14:textId="77777777" w:rsidR="00D77CF6" w:rsidRDefault="00D77CF6">
            <w:pPr>
              <w:pStyle w:val="Betarp"/>
              <w:rPr>
                <w:i/>
                <w:lang w:val="lt-LT"/>
              </w:rPr>
            </w:pPr>
          </w:p>
        </w:tc>
        <w:tc>
          <w:tcPr>
            <w:tcW w:w="4538" w:type="dxa"/>
            <w:tcBorders>
              <w:top w:val="single" w:sz="4" w:space="0" w:color="000000"/>
              <w:left w:val="single" w:sz="4" w:space="0" w:color="000000"/>
              <w:bottom w:val="single" w:sz="4" w:space="0" w:color="000000"/>
              <w:right w:val="single" w:sz="4" w:space="0" w:color="000000"/>
            </w:tcBorders>
            <w:shd w:val="clear" w:color="auto" w:fill="auto"/>
          </w:tcPr>
          <w:p w14:paraId="42D4A251" w14:textId="77777777" w:rsidR="00D77CF6" w:rsidRDefault="00B25D9E">
            <w:pPr>
              <w:pStyle w:val="Betarp"/>
              <w:rPr>
                <w:i/>
                <w:lang w:val="lt-LT"/>
              </w:rPr>
            </w:pPr>
            <w:r>
              <w:rPr>
                <w:rFonts w:eastAsia="SimSun"/>
                <w:lang w:val="lt-LT"/>
              </w:rPr>
              <w:t>Širdies sustojimas, širdies nepankamumas, atrioventrikulinė blokada, stazinis širdies nepakankamumas, krūtinės skausmas, aritmija, bradikardija, edema, širdies plakimai, perplakimai (palpitacijos)</w:t>
            </w:r>
          </w:p>
        </w:tc>
      </w:tr>
      <w:tr w:rsidR="00D77CF6" w:rsidRPr="00CA1BDC" w14:paraId="41E8C125" w14:textId="77777777">
        <w:tc>
          <w:tcPr>
            <w:tcW w:w="4522" w:type="dxa"/>
            <w:tcBorders>
              <w:top w:val="single" w:sz="4" w:space="0" w:color="000000"/>
              <w:left w:val="single" w:sz="4" w:space="0" w:color="000000"/>
              <w:bottom w:val="single" w:sz="4" w:space="0" w:color="000000"/>
              <w:right w:val="single" w:sz="4" w:space="0" w:color="000000"/>
            </w:tcBorders>
            <w:shd w:val="clear" w:color="auto" w:fill="auto"/>
          </w:tcPr>
          <w:p w14:paraId="7A7726AF" w14:textId="77777777" w:rsidR="00D77CF6" w:rsidRDefault="00B25D9E">
            <w:pPr>
              <w:pStyle w:val="Betarp"/>
              <w:rPr>
                <w:i/>
                <w:lang w:val="lt-LT"/>
              </w:rPr>
            </w:pPr>
            <w:r>
              <w:rPr>
                <w:lang w:val="lt-LT"/>
              </w:rPr>
              <w:t>Kraujagyslių sutrikimai</w:t>
            </w:r>
          </w:p>
        </w:tc>
        <w:tc>
          <w:tcPr>
            <w:tcW w:w="4538" w:type="dxa"/>
            <w:tcBorders>
              <w:top w:val="single" w:sz="4" w:space="0" w:color="000000"/>
              <w:left w:val="single" w:sz="4" w:space="0" w:color="000000"/>
              <w:bottom w:val="single" w:sz="4" w:space="0" w:color="000000"/>
              <w:right w:val="single" w:sz="4" w:space="0" w:color="000000"/>
            </w:tcBorders>
            <w:shd w:val="clear" w:color="auto" w:fill="auto"/>
          </w:tcPr>
          <w:p w14:paraId="4813FD49" w14:textId="7C2828EF" w:rsidR="00D77CF6" w:rsidRDefault="00B25D9E">
            <w:pPr>
              <w:pStyle w:val="Betarp"/>
              <w:rPr>
                <w:i/>
                <w:lang w:val="lt-LT"/>
              </w:rPr>
            </w:pPr>
            <w:r>
              <w:rPr>
                <w:lang w:val="lt-LT"/>
              </w:rPr>
              <w:t>Rankų ir pėdų šalimas, hipotenzija, Reino (</w:t>
            </w:r>
            <w:r>
              <w:rPr>
                <w:rFonts w:eastAsia="SimSun"/>
                <w:i/>
                <w:lang w:val="lt-LT"/>
              </w:rPr>
              <w:t>Raynaud</w:t>
            </w:r>
            <w:r>
              <w:rPr>
                <w:rFonts w:eastAsia="SimSun"/>
                <w:lang w:val="lt-LT"/>
              </w:rPr>
              <w:t>) fenomenas</w:t>
            </w:r>
          </w:p>
        </w:tc>
      </w:tr>
      <w:tr w:rsidR="00D77CF6" w:rsidRPr="00CA1BDC" w14:paraId="6F8641B4" w14:textId="77777777">
        <w:tc>
          <w:tcPr>
            <w:tcW w:w="4522" w:type="dxa"/>
            <w:tcBorders>
              <w:top w:val="single" w:sz="4" w:space="0" w:color="000000"/>
              <w:left w:val="single" w:sz="4" w:space="0" w:color="000000"/>
              <w:bottom w:val="single" w:sz="4" w:space="0" w:color="000000"/>
              <w:right w:val="single" w:sz="4" w:space="0" w:color="000000"/>
            </w:tcBorders>
            <w:shd w:val="clear" w:color="auto" w:fill="auto"/>
          </w:tcPr>
          <w:p w14:paraId="19468A4D" w14:textId="77777777" w:rsidR="00D77CF6" w:rsidRDefault="00B25D9E">
            <w:pPr>
              <w:pStyle w:val="Betarp"/>
              <w:rPr>
                <w:i/>
                <w:lang w:val="lt-LT"/>
              </w:rPr>
            </w:pPr>
            <w:r>
              <w:rPr>
                <w:lang w:val="lt-LT"/>
              </w:rPr>
              <w:t>Kvėpavimo sistemos, krūtinės ląstos ir tarpuplaučio sutrikimai</w:t>
            </w:r>
          </w:p>
        </w:tc>
        <w:tc>
          <w:tcPr>
            <w:tcW w:w="4538" w:type="dxa"/>
            <w:tcBorders>
              <w:top w:val="single" w:sz="4" w:space="0" w:color="000000"/>
              <w:left w:val="single" w:sz="4" w:space="0" w:color="000000"/>
              <w:bottom w:val="single" w:sz="4" w:space="0" w:color="000000"/>
              <w:right w:val="single" w:sz="4" w:space="0" w:color="000000"/>
            </w:tcBorders>
            <w:shd w:val="clear" w:color="auto" w:fill="auto"/>
          </w:tcPr>
          <w:p w14:paraId="423467FE" w14:textId="77777777" w:rsidR="00D77CF6" w:rsidRDefault="00B25D9E">
            <w:pPr>
              <w:pStyle w:val="Betarp"/>
              <w:rPr>
                <w:i/>
                <w:lang w:val="lt-LT"/>
              </w:rPr>
            </w:pPr>
            <w:r>
              <w:rPr>
                <w:lang w:val="lt-LT"/>
              </w:rPr>
              <w:t>Bronchų spazmas (dažniausiai pacientams, jau sirgusiems su bronchų spazmu susijusia liga), kosulys,dispnėja</w:t>
            </w:r>
          </w:p>
        </w:tc>
      </w:tr>
      <w:tr w:rsidR="00D77CF6" w:rsidRPr="00CA1BDC" w14:paraId="5CEAFBB1" w14:textId="77777777">
        <w:tc>
          <w:tcPr>
            <w:tcW w:w="4522" w:type="dxa"/>
            <w:tcBorders>
              <w:top w:val="single" w:sz="4" w:space="0" w:color="000000"/>
              <w:left w:val="single" w:sz="4" w:space="0" w:color="000000"/>
              <w:bottom w:val="single" w:sz="4" w:space="0" w:color="000000"/>
              <w:right w:val="single" w:sz="4" w:space="0" w:color="000000"/>
            </w:tcBorders>
            <w:shd w:val="clear" w:color="auto" w:fill="auto"/>
          </w:tcPr>
          <w:p w14:paraId="0C938CB5" w14:textId="77777777" w:rsidR="00D77CF6" w:rsidRDefault="00B25D9E">
            <w:pPr>
              <w:pStyle w:val="Betarp"/>
              <w:rPr>
                <w:lang w:val="lt-LT"/>
              </w:rPr>
            </w:pPr>
            <w:r>
              <w:rPr>
                <w:lang w:val="lt-LT"/>
              </w:rPr>
              <w:t>Virškinimo trakto sutrikimai</w:t>
            </w:r>
          </w:p>
          <w:p w14:paraId="1389A80A" w14:textId="77777777" w:rsidR="00D77CF6" w:rsidRDefault="00D77CF6">
            <w:pPr>
              <w:pStyle w:val="Betarp"/>
              <w:rPr>
                <w:i/>
                <w:lang w:val="lt-LT"/>
              </w:rPr>
            </w:pPr>
          </w:p>
        </w:tc>
        <w:tc>
          <w:tcPr>
            <w:tcW w:w="4538" w:type="dxa"/>
            <w:tcBorders>
              <w:top w:val="single" w:sz="4" w:space="0" w:color="000000"/>
              <w:left w:val="single" w:sz="4" w:space="0" w:color="000000"/>
              <w:bottom w:val="single" w:sz="4" w:space="0" w:color="000000"/>
              <w:right w:val="single" w:sz="4" w:space="0" w:color="000000"/>
            </w:tcBorders>
            <w:shd w:val="clear" w:color="auto" w:fill="auto"/>
          </w:tcPr>
          <w:p w14:paraId="23004886" w14:textId="77777777" w:rsidR="00D77CF6" w:rsidRDefault="00B25D9E">
            <w:pPr>
              <w:pStyle w:val="Betarp"/>
              <w:rPr>
                <w:i/>
                <w:lang w:val="lt-LT"/>
              </w:rPr>
            </w:pPr>
            <w:r>
              <w:rPr>
                <w:lang w:val="lt-LT"/>
              </w:rPr>
              <w:t>Pilvo skausmas, vėmimas, viduriavimas, burnos džiūvimas, disgeuzija, dispepsija, pykinimas</w:t>
            </w:r>
          </w:p>
        </w:tc>
      </w:tr>
      <w:tr w:rsidR="00D77CF6" w:rsidRPr="00CA1BDC" w14:paraId="7F436B9B" w14:textId="77777777">
        <w:tc>
          <w:tcPr>
            <w:tcW w:w="4522" w:type="dxa"/>
            <w:tcBorders>
              <w:top w:val="single" w:sz="4" w:space="0" w:color="000000"/>
              <w:left w:val="single" w:sz="4" w:space="0" w:color="000000"/>
              <w:bottom w:val="single" w:sz="4" w:space="0" w:color="000000"/>
              <w:right w:val="single" w:sz="4" w:space="0" w:color="000000"/>
            </w:tcBorders>
            <w:shd w:val="clear" w:color="auto" w:fill="auto"/>
          </w:tcPr>
          <w:p w14:paraId="3DC6AC4A" w14:textId="77777777" w:rsidR="00D77CF6" w:rsidRDefault="00B25D9E">
            <w:pPr>
              <w:pStyle w:val="Betarp"/>
              <w:rPr>
                <w:i/>
                <w:lang w:val="lt-LT"/>
              </w:rPr>
            </w:pPr>
            <w:r>
              <w:rPr>
                <w:lang w:val="lt-LT"/>
              </w:rPr>
              <w:t>Odos ir poodinio audinio sutrikimai</w:t>
            </w:r>
          </w:p>
        </w:tc>
        <w:tc>
          <w:tcPr>
            <w:tcW w:w="4538" w:type="dxa"/>
            <w:tcBorders>
              <w:top w:val="single" w:sz="4" w:space="0" w:color="000000"/>
              <w:left w:val="single" w:sz="4" w:space="0" w:color="000000"/>
              <w:bottom w:val="single" w:sz="4" w:space="0" w:color="000000"/>
              <w:right w:val="single" w:sz="4" w:space="0" w:color="000000"/>
            </w:tcBorders>
            <w:shd w:val="clear" w:color="auto" w:fill="auto"/>
          </w:tcPr>
          <w:p w14:paraId="09CC5772" w14:textId="31193329" w:rsidR="00D77CF6" w:rsidRDefault="00B25D9E">
            <w:pPr>
              <w:pStyle w:val="Betarp"/>
              <w:rPr>
                <w:i/>
                <w:lang w:val="lt-LT"/>
              </w:rPr>
            </w:pPr>
            <w:r>
              <w:rPr>
                <w:lang w:val="lt-LT"/>
              </w:rPr>
              <w:t>Odos išbėrimas, psoriaziforminis išbėrimas, psoriazės paūmėjimas, alopecija</w:t>
            </w:r>
          </w:p>
        </w:tc>
      </w:tr>
      <w:tr w:rsidR="00D77CF6" w14:paraId="512B73CF" w14:textId="77777777">
        <w:tc>
          <w:tcPr>
            <w:tcW w:w="4522" w:type="dxa"/>
            <w:tcBorders>
              <w:top w:val="single" w:sz="4" w:space="0" w:color="000000"/>
              <w:left w:val="single" w:sz="4" w:space="0" w:color="000000"/>
              <w:bottom w:val="single" w:sz="4" w:space="0" w:color="000000"/>
              <w:right w:val="single" w:sz="4" w:space="0" w:color="000000"/>
            </w:tcBorders>
            <w:shd w:val="clear" w:color="auto" w:fill="auto"/>
          </w:tcPr>
          <w:p w14:paraId="5884062E" w14:textId="77777777" w:rsidR="00D77CF6" w:rsidRDefault="00B25D9E">
            <w:pPr>
              <w:pStyle w:val="Betarp"/>
              <w:rPr>
                <w:i/>
                <w:lang w:val="lt-LT"/>
              </w:rPr>
            </w:pPr>
            <w:r>
              <w:rPr>
                <w:lang w:val="lt-LT"/>
              </w:rPr>
              <w:t>Skeleto, raumenų ir jungiamojo audinio sutrikimai</w:t>
            </w:r>
          </w:p>
        </w:tc>
        <w:tc>
          <w:tcPr>
            <w:tcW w:w="4538" w:type="dxa"/>
            <w:tcBorders>
              <w:top w:val="single" w:sz="4" w:space="0" w:color="000000"/>
              <w:left w:val="single" w:sz="4" w:space="0" w:color="000000"/>
              <w:bottom w:val="single" w:sz="4" w:space="0" w:color="000000"/>
              <w:right w:val="single" w:sz="4" w:space="0" w:color="000000"/>
            </w:tcBorders>
            <w:shd w:val="clear" w:color="auto" w:fill="auto"/>
          </w:tcPr>
          <w:p w14:paraId="5BEDE9B4" w14:textId="77777777" w:rsidR="00D77CF6" w:rsidRDefault="00B25D9E">
            <w:pPr>
              <w:pStyle w:val="Betarp"/>
              <w:rPr>
                <w:i/>
                <w:lang w:val="lt-LT"/>
              </w:rPr>
            </w:pPr>
            <w:r>
              <w:rPr>
                <w:lang w:val="lt-LT"/>
              </w:rPr>
              <w:t>Mialgija</w:t>
            </w:r>
          </w:p>
        </w:tc>
      </w:tr>
      <w:tr w:rsidR="00D77CF6" w:rsidRPr="00CA1BDC" w14:paraId="7BFF30C9" w14:textId="77777777">
        <w:tc>
          <w:tcPr>
            <w:tcW w:w="4522" w:type="dxa"/>
            <w:tcBorders>
              <w:top w:val="single" w:sz="4" w:space="0" w:color="000000"/>
              <w:left w:val="single" w:sz="4" w:space="0" w:color="000000"/>
              <w:bottom w:val="single" w:sz="4" w:space="0" w:color="000000"/>
              <w:right w:val="single" w:sz="4" w:space="0" w:color="000000"/>
            </w:tcBorders>
            <w:shd w:val="clear" w:color="auto" w:fill="auto"/>
          </w:tcPr>
          <w:p w14:paraId="0B06A8BD" w14:textId="77777777" w:rsidR="00D77CF6" w:rsidRDefault="00B25D9E">
            <w:pPr>
              <w:pStyle w:val="Betarp"/>
              <w:rPr>
                <w:i/>
                <w:lang w:val="lt-LT"/>
              </w:rPr>
            </w:pPr>
            <w:r>
              <w:rPr>
                <w:lang w:val="lt-LT"/>
              </w:rPr>
              <w:t>Lytinės sistemos ir krūties sutrikimai</w:t>
            </w:r>
          </w:p>
        </w:tc>
        <w:tc>
          <w:tcPr>
            <w:tcW w:w="4538" w:type="dxa"/>
            <w:tcBorders>
              <w:top w:val="single" w:sz="4" w:space="0" w:color="000000"/>
              <w:left w:val="single" w:sz="4" w:space="0" w:color="000000"/>
              <w:bottom w:val="single" w:sz="4" w:space="0" w:color="000000"/>
              <w:right w:val="single" w:sz="4" w:space="0" w:color="000000"/>
            </w:tcBorders>
            <w:shd w:val="clear" w:color="auto" w:fill="auto"/>
          </w:tcPr>
          <w:p w14:paraId="19841AA7" w14:textId="77777777" w:rsidR="00D77CF6" w:rsidRDefault="00B25D9E">
            <w:pPr>
              <w:pStyle w:val="Betarp"/>
              <w:rPr>
                <w:i/>
                <w:lang w:val="lt-LT"/>
              </w:rPr>
            </w:pPr>
            <w:r>
              <w:rPr>
                <w:lang w:val="lt-LT"/>
              </w:rPr>
              <w:t>Lytinės funkcijos sutrikimas, lytinio potraukio susilpnėjimas</w:t>
            </w:r>
          </w:p>
        </w:tc>
      </w:tr>
      <w:tr w:rsidR="00D77CF6" w14:paraId="07A06CE6" w14:textId="77777777">
        <w:tc>
          <w:tcPr>
            <w:tcW w:w="4522" w:type="dxa"/>
            <w:tcBorders>
              <w:top w:val="single" w:sz="4" w:space="0" w:color="000000"/>
              <w:left w:val="single" w:sz="4" w:space="0" w:color="000000"/>
              <w:bottom w:val="single" w:sz="4" w:space="0" w:color="000000"/>
              <w:right w:val="single" w:sz="4" w:space="0" w:color="000000"/>
            </w:tcBorders>
            <w:shd w:val="clear" w:color="auto" w:fill="auto"/>
          </w:tcPr>
          <w:p w14:paraId="07FF9119" w14:textId="77777777" w:rsidR="00D77CF6" w:rsidRDefault="00B25D9E">
            <w:pPr>
              <w:pStyle w:val="Betarp"/>
              <w:rPr>
                <w:i/>
                <w:lang w:val="lt-LT"/>
              </w:rPr>
            </w:pPr>
            <w:r>
              <w:rPr>
                <w:lang w:val="lt-LT"/>
              </w:rPr>
              <w:t>Bendrieji sutrikimai ir vartojimo vietos pažeidimai</w:t>
            </w:r>
          </w:p>
        </w:tc>
        <w:tc>
          <w:tcPr>
            <w:tcW w:w="4538" w:type="dxa"/>
            <w:tcBorders>
              <w:top w:val="single" w:sz="4" w:space="0" w:color="000000"/>
              <w:left w:val="single" w:sz="4" w:space="0" w:color="000000"/>
              <w:bottom w:val="single" w:sz="4" w:space="0" w:color="000000"/>
              <w:right w:val="single" w:sz="4" w:space="0" w:color="000000"/>
            </w:tcBorders>
            <w:shd w:val="clear" w:color="auto" w:fill="auto"/>
          </w:tcPr>
          <w:p w14:paraId="726E2C25" w14:textId="77777777" w:rsidR="00D77CF6" w:rsidRDefault="00B25D9E">
            <w:pPr>
              <w:pStyle w:val="Betarp"/>
              <w:rPr>
                <w:i/>
                <w:lang w:val="lt-LT"/>
              </w:rPr>
            </w:pPr>
            <w:r>
              <w:rPr>
                <w:lang w:val="lt-LT"/>
              </w:rPr>
              <w:t>Astenija, nuovargis</w:t>
            </w:r>
          </w:p>
        </w:tc>
      </w:tr>
    </w:tbl>
    <w:p w14:paraId="307E64EF" w14:textId="77777777" w:rsidR="00D77CF6" w:rsidRDefault="00D77CF6">
      <w:pPr>
        <w:pStyle w:val="Betarp"/>
        <w:rPr>
          <w:i/>
          <w:u w:val="single"/>
          <w:lang w:val="lt-LT"/>
        </w:rPr>
      </w:pPr>
    </w:p>
    <w:p w14:paraId="7BF2F332" w14:textId="77777777" w:rsidR="00D77CF6" w:rsidRDefault="00B25D9E">
      <w:pPr>
        <w:pStyle w:val="Betarp"/>
        <w:rPr>
          <w:u w:val="single"/>
          <w:lang w:val="lt-LT"/>
        </w:rPr>
      </w:pPr>
      <w:r>
        <w:rPr>
          <w:u w:val="single"/>
          <w:lang w:val="lt-LT"/>
        </w:rPr>
        <w:t>Pranešimas apie įtariamas nepageidaujamas reakcijas</w:t>
      </w:r>
    </w:p>
    <w:p w14:paraId="3268C538" w14:textId="77777777" w:rsidR="00D77CF6" w:rsidRPr="00D7535D" w:rsidRDefault="00B25D9E">
      <w:pPr>
        <w:pStyle w:val="Betarp"/>
        <w:rPr>
          <w:lang w:val="lt-LT"/>
        </w:rPr>
      </w:pPr>
      <w:r>
        <w:rPr>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0">
        <w:r>
          <w:rPr>
            <w:rStyle w:val="Internetosaitas"/>
            <w:rFonts w:eastAsia="SimSun"/>
            <w:lang w:val="lt-LT"/>
          </w:rPr>
          <w:t>www.vvkt.lt</w:t>
        </w:r>
      </w:hyperlink>
      <w:r>
        <w:rPr>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r>
          <w:rPr>
            <w:rStyle w:val="Internetosaitas"/>
            <w:rFonts w:eastAsia="SimSun"/>
            <w:lang w:val="lt-LT"/>
          </w:rPr>
          <w:t>NepageidaujamaR@vvkt.lt</w:t>
        </w:r>
      </w:hyperlink>
      <w:r>
        <w:rPr>
          <w:lang w:val="lt-LT"/>
        </w:rPr>
        <w:t xml:space="preserve">), per interneto svetainę (adresu </w:t>
      </w:r>
      <w:hyperlink r:id="rId12">
        <w:r>
          <w:rPr>
            <w:rStyle w:val="Internetosaitas"/>
            <w:lang w:val="lt-LT"/>
          </w:rPr>
          <w:t>http://www.vvkt.lt</w:t>
        </w:r>
      </w:hyperlink>
      <w:r>
        <w:rPr>
          <w:lang w:val="lt-LT"/>
        </w:rPr>
        <w:t xml:space="preserve"> ).</w:t>
      </w:r>
    </w:p>
    <w:p w14:paraId="7862B927" w14:textId="77777777" w:rsidR="00D77CF6" w:rsidRDefault="00D77CF6">
      <w:pPr>
        <w:pStyle w:val="Betarp"/>
        <w:rPr>
          <w:bCs/>
          <w:lang w:val="lt-LT"/>
        </w:rPr>
      </w:pPr>
    </w:p>
    <w:p w14:paraId="7E65F5C4" w14:textId="77777777" w:rsidR="00D77CF6" w:rsidRDefault="00B25D9E">
      <w:pPr>
        <w:pStyle w:val="Betarp"/>
        <w:rPr>
          <w:b/>
          <w:lang w:val="lt-LT"/>
        </w:rPr>
      </w:pPr>
      <w:bookmarkStart w:id="27" w:name="_Toc129243235"/>
      <w:bookmarkStart w:id="28" w:name="_Toc129243110"/>
      <w:r>
        <w:rPr>
          <w:b/>
          <w:lang w:val="lt-LT"/>
        </w:rPr>
        <w:t>4.9</w:t>
      </w:r>
      <w:r>
        <w:rPr>
          <w:b/>
          <w:lang w:val="lt-LT"/>
        </w:rPr>
        <w:tab/>
        <w:t>Perdozavimas</w:t>
      </w:r>
      <w:bookmarkEnd w:id="27"/>
      <w:bookmarkEnd w:id="28"/>
    </w:p>
    <w:p w14:paraId="28924FEC" w14:textId="77777777" w:rsidR="00D77CF6" w:rsidRDefault="00D77CF6">
      <w:pPr>
        <w:pStyle w:val="Betarp"/>
        <w:rPr>
          <w:lang w:val="lt-LT"/>
        </w:rPr>
      </w:pPr>
    </w:p>
    <w:p w14:paraId="1010E3FC" w14:textId="77777777" w:rsidR="00D77CF6" w:rsidRDefault="00B25D9E">
      <w:pPr>
        <w:pStyle w:val="Betarp"/>
        <w:rPr>
          <w:lang w:val="lt-LT"/>
        </w:rPr>
      </w:pPr>
      <w:r>
        <w:rPr>
          <w:lang w:val="lt-LT"/>
        </w:rPr>
        <w:t>Duomenų apie Fixopost perdozavimą žmonėms nėra.</w:t>
      </w:r>
    </w:p>
    <w:p w14:paraId="7306E674" w14:textId="77777777" w:rsidR="00D77CF6" w:rsidRDefault="00D77CF6">
      <w:pPr>
        <w:pStyle w:val="Betarp"/>
        <w:rPr>
          <w:u w:val="single"/>
          <w:lang w:val="lt-LT"/>
        </w:rPr>
      </w:pPr>
    </w:p>
    <w:p w14:paraId="6AC3DAE9" w14:textId="77777777" w:rsidR="00D77CF6" w:rsidRDefault="00B25D9E">
      <w:pPr>
        <w:pStyle w:val="Betarp"/>
        <w:rPr>
          <w:lang w:val="lt-LT"/>
        </w:rPr>
      </w:pPr>
      <w:r>
        <w:rPr>
          <w:u w:val="single"/>
          <w:lang w:val="lt-LT"/>
        </w:rPr>
        <w:t>Simptomai</w:t>
      </w:r>
    </w:p>
    <w:p w14:paraId="76B216B3" w14:textId="77777777" w:rsidR="00D77CF6" w:rsidRDefault="00B25D9E">
      <w:pPr>
        <w:pStyle w:val="Betarp"/>
        <w:rPr>
          <w:lang w:val="lt-LT"/>
        </w:rPr>
      </w:pPr>
      <w:r>
        <w:rPr>
          <w:lang w:val="lt-LT"/>
        </w:rPr>
        <w:t>Sisteminio timololio perdozavimo simptomai yra bradikardija, hipotenzija, bronchų spazmas ir širdies sustojimas.</w:t>
      </w:r>
    </w:p>
    <w:p w14:paraId="291DCD1C" w14:textId="77777777" w:rsidR="00D77CF6" w:rsidRDefault="00B25D9E">
      <w:pPr>
        <w:pStyle w:val="Betarp"/>
        <w:rPr>
          <w:lang w:val="lt-LT"/>
        </w:rPr>
      </w:pPr>
      <w:r>
        <w:rPr>
          <w:lang w:val="lt-LT"/>
        </w:rPr>
        <w:t>Išskyrus akių dirginimą ir junginės hiperemiją, duomenų apie kitokį akių ar sisteminį nepageidaujamą poveikį, atsirandantį perdozavus latanoprosto, nėra.</w:t>
      </w:r>
    </w:p>
    <w:p w14:paraId="77527D37" w14:textId="77777777" w:rsidR="00D77CF6" w:rsidRDefault="00D77CF6">
      <w:pPr>
        <w:pStyle w:val="Betarp"/>
        <w:rPr>
          <w:u w:val="single"/>
          <w:lang w:val="lt-LT"/>
        </w:rPr>
      </w:pPr>
    </w:p>
    <w:p w14:paraId="329AA336" w14:textId="77777777" w:rsidR="00D77CF6" w:rsidRDefault="00B25D9E">
      <w:pPr>
        <w:pStyle w:val="Betarp"/>
        <w:rPr>
          <w:u w:val="single"/>
          <w:lang w:val="lt-LT"/>
        </w:rPr>
      </w:pPr>
      <w:r>
        <w:rPr>
          <w:u w:val="single"/>
          <w:lang w:val="lt-LT"/>
        </w:rPr>
        <w:t>Gydymas</w:t>
      </w:r>
    </w:p>
    <w:p w14:paraId="71742EBF" w14:textId="77777777" w:rsidR="00D77CF6" w:rsidRDefault="00B25D9E">
      <w:pPr>
        <w:pStyle w:val="Betarp"/>
        <w:rPr>
          <w:lang w:val="lt-LT"/>
        </w:rPr>
      </w:pPr>
      <w:r>
        <w:rPr>
          <w:lang w:val="lt-LT"/>
        </w:rPr>
        <w:t>Jei perdozavimo simptomų atsiranda, taikomas simptominis ir palaikomasis gydymas.</w:t>
      </w:r>
    </w:p>
    <w:p w14:paraId="11325751" w14:textId="77777777" w:rsidR="00D77CF6" w:rsidRDefault="00B25D9E">
      <w:pPr>
        <w:pStyle w:val="Betarp"/>
        <w:rPr>
          <w:lang w:val="lt-LT"/>
        </w:rPr>
      </w:pPr>
      <w:r>
        <w:rPr>
          <w:lang w:val="lt-LT"/>
        </w:rPr>
        <w:t>Jei netyčia nuryjama, gali būti naudinga toliau pateikta informacija.</w:t>
      </w:r>
    </w:p>
    <w:p w14:paraId="534C70B4" w14:textId="77777777" w:rsidR="00D77CF6" w:rsidRDefault="00B25D9E">
      <w:pPr>
        <w:pStyle w:val="Betarp"/>
        <w:rPr>
          <w:lang w:val="lt-LT"/>
        </w:rPr>
      </w:pPr>
      <w:r>
        <w:rPr>
          <w:lang w:val="lt-LT"/>
        </w:rPr>
        <w:t>Tyrimų metu nustatyta, kad, taikant dializę, timololis nėra lengvai pašalinamas.</w:t>
      </w:r>
    </w:p>
    <w:p w14:paraId="368C7EA9" w14:textId="77777777" w:rsidR="00D77CF6" w:rsidRDefault="00B25D9E">
      <w:pPr>
        <w:pStyle w:val="Betarp"/>
        <w:rPr>
          <w:lang w:val="lt-LT"/>
        </w:rPr>
      </w:pPr>
      <w:r>
        <w:rPr>
          <w:lang w:val="lt-LT"/>
        </w:rPr>
        <w:t>Jei reikia, plaunamas skrandis.</w:t>
      </w:r>
    </w:p>
    <w:p w14:paraId="46E3E7FF" w14:textId="7D060244" w:rsidR="00D77CF6" w:rsidRDefault="00B25D9E">
      <w:pPr>
        <w:pStyle w:val="Betarp"/>
        <w:spacing w:after="60"/>
        <w:rPr>
          <w:lang w:val="lt-LT"/>
        </w:rPr>
      </w:pPr>
      <w:r>
        <w:rPr>
          <w:lang w:val="lt-LT"/>
        </w:rPr>
        <w:t>Latanoprostas ekstensyviai metabolizuojamas pirmojo prasiskverbimo per kepenis metu. Sveikiems savanoriams į veną infuzuota 3 µg/kg kūno svorio dozė simptomų nesukėlė, tačiau 5,5</w:t>
      </w:r>
      <w:r>
        <w:rPr>
          <w:lang w:val="lt-LT"/>
        </w:rPr>
        <w:noBreakHyphen/>
        <w:t>10 µg/kg kūno svorio dozė sukėlė pykinimą, pilvo skausmą, svaigulį, nuovargį, karščio pylimą ir prakaitavimą. Tokie poveikiai paprastai būdavo lengvi ar vidutinio sunkumo ir nutraukus infuzavimą per 4 valandas praeidavo negydomi.</w:t>
      </w:r>
    </w:p>
    <w:p w14:paraId="3047E9DE" w14:textId="77777777" w:rsidR="00D77CF6" w:rsidRDefault="00D77CF6">
      <w:pPr>
        <w:pStyle w:val="Betarp"/>
        <w:rPr>
          <w:lang w:val="lt-LT"/>
        </w:rPr>
      </w:pPr>
    </w:p>
    <w:p w14:paraId="51E3C762" w14:textId="77777777" w:rsidR="00D77CF6" w:rsidRDefault="00D77CF6">
      <w:pPr>
        <w:pStyle w:val="Betarp"/>
        <w:rPr>
          <w:bCs/>
          <w:lang w:val="lt-LT"/>
        </w:rPr>
      </w:pPr>
    </w:p>
    <w:p w14:paraId="2A64DD5C" w14:textId="77777777" w:rsidR="00D77CF6" w:rsidRDefault="00B25D9E">
      <w:pPr>
        <w:pStyle w:val="Betarp"/>
        <w:rPr>
          <w:b/>
          <w:lang w:val="lt-LT"/>
        </w:rPr>
      </w:pPr>
      <w:bookmarkStart w:id="29" w:name="_Toc129243236"/>
      <w:bookmarkStart w:id="30" w:name="_Toc129243111"/>
      <w:r>
        <w:rPr>
          <w:b/>
          <w:lang w:val="lt-LT"/>
        </w:rPr>
        <w:t>5.</w:t>
      </w:r>
      <w:r>
        <w:rPr>
          <w:b/>
          <w:lang w:val="lt-LT"/>
        </w:rPr>
        <w:tab/>
        <w:t>FARMAKOLOGINĖS SAVYBĖS</w:t>
      </w:r>
      <w:bookmarkEnd w:id="29"/>
      <w:bookmarkEnd w:id="30"/>
    </w:p>
    <w:p w14:paraId="7A8CD554" w14:textId="77777777" w:rsidR="00D77CF6" w:rsidRDefault="00D77CF6">
      <w:pPr>
        <w:pStyle w:val="Betarp"/>
        <w:rPr>
          <w:bCs/>
          <w:lang w:val="lt-LT"/>
        </w:rPr>
      </w:pPr>
    </w:p>
    <w:p w14:paraId="07E0FF97" w14:textId="77777777" w:rsidR="00D77CF6" w:rsidRDefault="00B25D9E">
      <w:pPr>
        <w:pStyle w:val="Betarp"/>
        <w:rPr>
          <w:b/>
          <w:lang w:val="lt-LT"/>
        </w:rPr>
      </w:pPr>
      <w:bookmarkStart w:id="31" w:name="_Toc129243237"/>
      <w:bookmarkStart w:id="32" w:name="_Toc129243112"/>
      <w:r>
        <w:rPr>
          <w:b/>
          <w:lang w:val="lt-LT"/>
        </w:rPr>
        <w:t>5.1</w:t>
      </w:r>
      <w:r>
        <w:rPr>
          <w:b/>
          <w:lang w:val="lt-LT"/>
        </w:rPr>
        <w:tab/>
        <w:t>Farmakodinaminės savybės</w:t>
      </w:r>
      <w:bookmarkEnd w:id="31"/>
      <w:bookmarkEnd w:id="32"/>
    </w:p>
    <w:p w14:paraId="5DB9F1EF" w14:textId="77777777" w:rsidR="00D77CF6" w:rsidRDefault="00D77CF6">
      <w:pPr>
        <w:pStyle w:val="Betarp"/>
        <w:rPr>
          <w:lang w:val="lt-LT"/>
        </w:rPr>
      </w:pPr>
    </w:p>
    <w:p w14:paraId="418352DD" w14:textId="77777777" w:rsidR="00D77CF6" w:rsidRDefault="00B25D9E">
      <w:pPr>
        <w:pStyle w:val="Betarp"/>
        <w:rPr>
          <w:lang w:val="lt-LT"/>
        </w:rPr>
      </w:pPr>
      <w:r>
        <w:rPr>
          <w:lang w:val="lt-LT"/>
        </w:rPr>
        <w:t>Farmakoterapinė grupė – oftalmologiniai beta adrenoreceptorius blokuojantys vaistiniai preparatai, timololis, deriniai, ATC kodas – S01ED51</w:t>
      </w:r>
    </w:p>
    <w:p w14:paraId="660EB77B" w14:textId="77777777" w:rsidR="00D77CF6" w:rsidRDefault="00D77CF6">
      <w:pPr>
        <w:pStyle w:val="Betarp"/>
        <w:rPr>
          <w:u w:val="single"/>
          <w:lang w:val="lt-LT"/>
        </w:rPr>
      </w:pPr>
    </w:p>
    <w:p w14:paraId="5DA1E9A9" w14:textId="77777777" w:rsidR="00D77CF6" w:rsidRDefault="00B25D9E">
      <w:pPr>
        <w:pStyle w:val="Betarp"/>
        <w:rPr>
          <w:u w:val="single"/>
          <w:lang w:val="lt-LT"/>
        </w:rPr>
      </w:pPr>
      <w:r>
        <w:rPr>
          <w:u w:val="single"/>
          <w:lang w:val="lt-LT"/>
        </w:rPr>
        <w:t>Veikimo mechanizmas</w:t>
      </w:r>
    </w:p>
    <w:p w14:paraId="278DDB87" w14:textId="77777777" w:rsidR="00D77CF6" w:rsidRDefault="00B25D9E">
      <w:pPr>
        <w:pStyle w:val="Betarp"/>
        <w:rPr>
          <w:lang w:val="lt-LT"/>
        </w:rPr>
      </w:pPr>
      <w:r>
        <w:rPr>
          <w:lang w:val="fr-FR"/>
        </w:rPr>
        <w:t>Fixopost</w:t>
      </w:r>
      <w:r>
        <w:rPr>
          <w:lang w:val="lt-LT"/>
        </w:rPr>
        <w:t xml:space="preserve"> sudėtyje yra du komponentai: latanoprostas ir timololio maleatas. Šie du komponentai mažina padidėjusį akispūdį skirtingais veikimo mechanizmais. Dėl kombinuotojo poveikio akispūdis sumažėja labiau negu kiekvieno komponento vartojant atskirai.</w:t>
      </w:r>
    </w:p>
    <w:p w14:paraId="082B8970" w14:textId="6A91F698" w:rsidR="00D77CF6" w:rsidRDefault="00B25D9E">
      <w:pPr>
        <w:pStyle w:val="Betarp"/>
        <w:rPr>
          <w:rFonts w:eastAsia="Times New Roman"/>
          <w:iCs/>
          <w:kern w:val="2"/>
          <w:lang w:val="lt-LT"/>
        </w:rPr>
      </w:pPr>
      <w:r>
        <w:rPr>
          <w:lang w:val="lt-LT"/>
        </w:rPr>
        <w:t xml:space="preserve">Latanoprostas yra prostaglandino F </w:t>
      </w:r>
      <w:r>
        <w:rPr>
          <w:rFonts w:ascii="Segoe UI" w:hAnsi="Segoe UI" w:cs="Segoe UI"/>
          <w:color w:val="000000"/>
          <w:sz w:val="12"/>
          <w:szCs w:val="12"/>
          <w:lang w:val="fr-FR" w:eastAsia="fr-FR"/>
        </w:rPr>
        <w:t>2α</w:t>
      </w:r>
      <w:r>
        <w:rPr>
          <w:vertAlign w:val="subscript"/>
          <w:lang w:val="lt-LT"/>
        </w:rPr>
        <w:t xml:space="preserve"> </w:t>
      </w:r>
      <w:r>
        <w:rPr>
          <w:lang w:val="lt-LT"/>
        </w:rPr>
        <w:t xml:space="preserve"> analogas, selektyvaus poveikio prostanoidų FP receptorių agonistas, kuris didina akies skysčio nutekėjimą, todėl mažina akispūdį. Pagrindinis jo veikimo mechanizmas yra padidėjęs uveosklerinis skysčio nutekėjimas. Be to, žmogaus akyje šiek tiek pagerėja nutekamoji geba (sumažėja trabekulių pasipriešinimas nutekėjimui). </w:t>
      </w:r>
      <w:r>
        <w:rPr>
          <w:rFonts w:eastAsia="Times New Roman"/>
          <w:iCs/>
          <w:kern w:val="2"/>
          <w:lang w:val="lt-LT"/>
        </w:rPr>
        <w:t>Reikšmingo poveikio akies skysčio gamybai, kraujo ir skysčio barjerui ar akių kraujotakai latanoprostas nedaro. Nuolat latanoprostu gydant beždžionių akis po atliktos ekstrakapsulinės lęšių ekstrakcijos, poveikio tinklainės kraujagyslėms, vertinant fluoresceino angiografijos tyrimu, nepasireiškė. Trumpalaikio gydymo metu latanoprostas nesukėlė fluoresceino nutekėjimo į žmogaus, kuriam yra pseudofakija, akies užpakalinį segmentą.</w:t>
      </w:r>
    </w:p>
    <w:p w14:paraId="0944346E" w14:textId="77777777" w:rsidR="00D77CF6" w:rsidRDefault="00B25D9E">
      <w:pPr>
        <w:pStyle w:val="Betarp"/>
        <w:rPr>
          <w:lang w:val="lt-LT"/>
        </w:rPr>
      </w:pPr>
      <w:r>
        <w:rPr>
          <w:lang w:val="lt-LT"/>
        </w:rPr>
        <w:t>Timololis yra beta1 ir beta2 (neselektyvus poveikio) adrenerginių receptorių blokatorius. Jis neturi reikšmingo vidinio simpatomimetinio, tiesioginio miokardą slopinančio ar membranas stabilizuojančio poveikio. Timololis akispūdį mažina, slopindamas akių skysčio gamybą krumplyno epitelyje.</w:t>
      </w:r>
    </w:p>
    <w:p w14:paraId="189C0FEB" w14:textId="7CAE03DA" w:rsidR="00D77CF6" w:rsidRDefault="00B25D9E">
      <w:pPr>
        <w:pStyle w:val="Betarp"/>
        <w:rPr>
          <w:lang w:val="lt-LT"/>
        </w:rPr>
      </w:pPr>
      <w:r>
        <w:rPr>
          <w:lang w:val="lt-LT"/>
        </w:rPr>
        <w:t>Tikslus timololio veikimo mechanizmas nėra nustatytas, tačiau tikriausiai jis slopina endogeninės beta adrenerginės stimuliacijos sukeltą pagreitėjusią ciklinio AMF sintezę. Reikšmingos timololio įtakos kraujo ir akies skysčio barjero laidumui kraujo plazmos baltymams nenustatyta. Ilgai vartojamas timololis regioninės triušio akies kraujotakos neveikė.</w:t>
      </w:r>
    </w:p>
    <w:p w14:paraId="361B6770" w14:textId="77777777" w:rsidR="00D77CF6" w:rsidRDefault="00B25D9E">
      <w:pPr>
        <w:pStyle w:val="Betarp"/>
        <w:rPr>
          <w:lang w:val="lt-LT"/>
        </w:rPr>
      </w:pPr>
      <w:r>
        <w:rPr>
          <w:lang w:val="lt-LT"/>
        </w:rPr>
        <w:t>Fixopost yra akių lašai (tirpalas) be konservantų, tiekiamas daugiadoziame buteliuke su pompa.</w:t>
      </w:r>
    </w:p>
    <w:p w14:paraId="545C0EF3" w14:textId="77777777" w:rsidR="00D77CF6" w:rsidRDefault="00D77CF6">
      <w:pPr>
        <w:pStyle w:val="Betarp"/>
        <w:rPr>
          <w:lang w:val="lt-LT"/>
        </w:rPr>
      </w:pPr>
    </w:p>
    <w:p w14:paraId="6AB66341" w14:textId="77777777" w:rsidR="00D77CF6" w:rsidRDefault="00B25D9E">
      <w:pPr>
        <w:pStyle w:val="Betarp"/>
        <w:rPr>
          <w:rFonts w:eastAsia="Times New Roman"/>
          <w:i/>
          <w:iCs/>
          <w:kern w:val="2"/>
          <w:lang w:val="lt-LT"/>
        </w:rPr>
      </w:pPr>
      <w:r>
        <w:rPr>
          <w:rFonts w:eastAsia="Times New Roman"/>
          <w:iCs/>
          <w:kern w:val="2"/>
          <w:u w:val="single"/>
          <w:lang w:val="lt-LT"/>
        </w:rPr>
        <w:t>Farmakodinaminis poveikis</w:t>
      </w:r>
    </w:p>
    <w:p w14:paraId="720AB2CA" w14:textId="77777777" w:rsidR="00D77CF6" w:rsidRDefault="00B25D9E">
      <w:pPr>
        <w:pStyle w:val="Betarp"/>
        <w:rPr>
          <w:i/>
          <w:lang w:val="lt-LT"/>
        </w:rPr>
      </w:pPr>
      <w:r>
        <w:rPr>
          <w:i/>
          <w:lang w:val="lt-LT"/>
        </w:rPr>
        <w:t>Klinikinis poveikis</w:t>
      </w:r>
    </w:p>
    <w:p w14:paraId="1F79EB17" w14:textId="42233E57" w:rsidR="00D77CF6" w:rsidRDefault="00B25D9E">
      <w:pPr>
        <w:pStyle w:val="Betarp"/>
        <w:rPr>
          <w:lang w:val="lt-LT"/>
        </w:rPr>
      </w:pPr>
      <w:r>
        <w:rPr>
          <w:rFonts w:eastAsia="SimSun"/>
          <w:iCs/>
          <w:lang w:val="lt-LT"/>
        </w:rPr>
        <w:t xml:space="preserve">Dozės nustatymo tyrimų metu </w:t>
      </w:r>
      <w:r>
        <w:rPr>
          <w:lang w:val="lt-LT" w:eastAsia="fr-FR"/>
        </w:rPr>
        <w:t>konservantų sudėtyje turintis</w:t>
      </w:r>
      <w:r>
        <w:rPr>
          <w:rFonts w:eastAsia="SimSun"/>
          <w:iCs/>
          <w:lang w:val="lt-LT"/>
        </w:rPr>
        <w:t xml:space="preserve"> latanoprosto ir timololio derinio </w:t>
      </w:r>
      <w:r>
        <w:rPr>
          <w:lang w:val="lt-LT" w:eastAsia="fr-FR"/>
        </w:rPr>
        <w:t xml:space="preserve">referencinis vaistinis preparatas </w:t>
      </w:r>
      <w:r>
        <w:rPr>
          <w:rFonts w:eastAsia="SimSun"/>
          <w:iCs/>
          <w:lang w:val="lt-LT"/>
        </w:rPr>
        <w:t xml:space="preserve">vidutinį akispūdį paros laikotarpiu mažino reikšmingai daugiau, negu kartą per parą vartojami vien latanoprostas arba timololis. Dviejų gerai kontroliuojamų, dvigubai koduotų 6 mėnesių trukmės klinikinių tyrimų metu buvo lygintas gydymo </w:t>
      </w:r>
      <w:r>
        <w:rPr>
          <w:lang w:val="lt-LT" w:eastAsia="fr-FR"/>
        </w:rPr>
        <w:t>konservantų sudėtyje turinčio</w:t>
      </w:r>
      <w:r>
        <w:rPr>
          <w:rFonts w:eastAsia="SimSun"/>
          <w:iCs/>
          <w:lang w:val="lt-LT"/>
        </w:rPr>
        <w:t xml:space="preserve"> latanoprosto ir timololio derinio </w:t>
      </w:r>
      <w:r>
        <w:rPr>
          <w:lang w:val="lt-LT" w:eastAsia="fr-FR"/>
        </w:rPr>
        <w:t>referencinio vaistinio preparato</w:t>
      </w:r>
      <w:r>
        <w:rPr>
          <w:rFonts w:eastAsia="SimSun"/>
          <w:iCs/>
          <w:lang w:val="lt-LT"/>
        </w:rPr>
        <w:t xml:space="preserve"> ir gydymo vien latanoprostu ar timololiu veiksmingumas pacientams, kurių akispūdis buvo 25 mm Hg arba didesnis. Po pradinio 2–4</w:t>
      </w:r>
      <w:r>
        <w:rPr>
          <w:rFonts w:eastAsia="Times New Roman"/>
          <w:lang w:val="lt-LT"/>
        </w:rPr>
        <w:t> </w:t>
      </w:r>
      <w:r>
        <w:rPr>
          <w:rFonts w:eastAsia="SimSun"/>
          <w:iCs/>
          <w:lang w:val="lt-LT"/>
        </w:rPr>
        <w:t xml:space="preserve">savaičių gydymo vien timololiu (vidutinis akispūdis, palyginti su buvusiu prieš pradedant gydyti, sumažėjo 5 mm Hg), vidutinis akispūdis paros laikotarpiu papildomai sumažėjo 3,1 mm Hg, 2,0 mm Hg ir 0,6 mm Hg po 6 mėnesių gydymo atitinkamai </w:t>
      </w:r>
      <w:r>
        <w:rPr>
          <w:lang w:val="lt-LT" w:eastAsia="fr-FR"/>
        </w:rPr>
        <w:t>konservantų sudėtyje turinčiu</w:t>
      </w:r>
      <w:r>
        <w:rPr>
          <w:rFonts w:eastAsia="SimSun"/>
          <w:iCs/>
          <w:lang w:val="lt-LT"/>
        </w:rPr>
        <w:t xml:space="preserve"> latanoprosto ir timololio derinio </w:t>
      </w:r>
      <w:r>
        <w:rPr>
          <w:lang w:val="lt-LT" w:eastAsia="fr-FR"/>
        </w:rPr>
        <w:t>referenciniu vaistiniu preparatu</w:t>
      </w:r>
      <w:r>
        <w:rPr>
          <w:rFonts w:eastAsia="SimSun"/>
          <w:iCs/>
          <w:lang w:val="lt-LT"/>
        </w:rPr>
        <w:t xml:space="preserve">, du kartus per parą vartojamu latanoprostu arba du kartus per parą vartojamu timololiu. 6 mėnesių trukmės atvirų tyrimų pratesimų metu </w:t>
      </w:r>
      <w:r>
        <w:rPr>
          <w:lang w:val="lt-LT" w:eastAsia="fr-FR"/>
        </w:rPr>
        <w:t>konservantų sudėtyje turinčio</w:t>
      </w:r>
      <w:r>
        <w:rPr>
          <w:rFonts w:eastAsia="SimSun"/>
          <w:iCs/>
          <w:lang w:val="lt-LT"/>
        </w:rPr>
        <w:t xml:space="preserve"> latanoprosto ir timololio derinio </w:t>
      </w:r>
      <w:r>
        <w:rPr>
          <w:lang w:val="lt-LT" w:eastAsia="fr-FR"/>
        </w:rPr>
        <w:t xml:space="preserve">referencinio vaistinio preparato </w:t>
      </w:r>
      <w:r>
        <w:rPr>
          <w:rFonts w:eastAsia="SimSun"/>
          <w:iCs/>
          <w:lang w:val="lt-LT"/>
        </w:rPr>
        <w:t>akispūdį mažinantis poveikis išliko.</w:t>
      </w:r>
    </w:p>
    <w:p w14:paraId="233CA700" w14:textId="77777777" w:rsidR="00D77CF6" w:rsidRDefault="00B25D9E">
      <w:pPr>
        <w:pStyle w:val="Betarp"/>
        <w:rPr>
          <w:rFonts w:eastAsia="SimSun"/>
          <w:iCs/>
          <w:lang w:val="lt-LT"/>
        </w:rPr>
      </w:pPr>
      <w:r>
        <w:rPr>
          <w:rFonts w:eastAsia="SimSun"/>
          <w:iCs/>
          <w:lang w:val="lt-LT"/>
        </w:rPr>
        <w:t>Turimi duomenys rodo, kad akispūdžiui mažinti vakare vartojamas vaistinis preparatas gali būti veiksmingesnis už vartojamą ryte. Vis dėlto, vaistinio preparato rekomenduojant vartoti ryte arba vakare, reikia pakankamai įvertinti paciento gyvenimo būdą ir tikėtiną gydymo nurodymų vykdymą.</w:t>
      </w:r>
    </w:p>
    <w:p w14:paraId="68DF7613" w14:textId="77777777" w:rsidR="00D77CF6" w:rsidRDefault="00B25D9E">
      <w:pPr>
        <w:pStyle w:val="Betarp"/>
        <w:rPr>
          <w:rFonts w:eastAsia="SimSun"/>
          <w:iCs/>
          <w:lang w:val="lt-LT"/>
        </w:rPr>
      </w:pPr>
      <w:r>
        <w:rPr>
          <w:rFonts w:eastAsia="SimSun"/>
          <w:iCs/>
          <w:lang w:val="lt-LT"/>
        </w:rPr>
        <w:t>Reikia turėti omenyje, kad tuo atveju, kai fiksuoto derinio veiksmingumas yra nepakankamas, nefiksuoto derinio pavidalu du kartus per parą vartojamas timololis ir kartą per parą vartojamas latanoprostas vis dar gali būti veiksmingi (remiamasi tyrimų duomenimis).</w:t>
      </w:r>
    </w:p>
    <w:p w14:paraId="5FC1B741" w14:textId="5D1B7462" w:rsidR="00D77CF6" w:rsidRDefault="00B25D9E">
      <w:pPr>
        <w:pStyle w:val="Betarp"/>
        <w:rPr>
          <w:iCs/>
          <w:lang w:val="lt-LT"/>
        </w:rPr>
      </w:pPr>
      <w:r>
        <w:rPr>
          <w:lang w:val="lt-LT" w:eastAsia="fr-FR"/>
        </w:rPr>
        <w:t>Konservantų sudėtyje turintis</w:t>
      </w:r>
      <w:r>
        <w:rPr>
          <w:iCs/>
          <w:lang w:val="lt-LT"/>
        </w:rPr>
        <w:t xml:space="preserve"> latanoprosto ir timololio derinio </w:t>
      </w:r>
      <w:r>
        <w:rPr>
          <w:lang w:val="lt-LT" w:eastAsia="fr-FR"/>
        </w:rPr>
        <w:t>referencinis vaistinis preparatas</w:t>
      </w:r>
      <w:r>
        <w:rPr>
          <w:iCs/>
          <w:lang w:val="lt-LT"/>
        </w:rPr>
        <w:t xml:space="preserve"> pradeda veikti per vieną valandą, stipriausias poveikis pasireiškia per 6–8 val. Vartojant kartotines dozes, pakankamai akispūdis mažinamas 24 valandas po dozės pavartojimo.</w:t>
      </w:r>
    </w:p>
    <w:p w14:paraId="25A01839" w14:textId="77777777" w:rsidR="00D77CF6" w:rsidRDefault="00D77CF6">
      <w:pPr>
        <w:pStyle w:val="Betarp"/>
        <w:rPr>
          <w:u w:val="single"/>
          <w:lang w:val="lt-LT"/>
        </w:rPr>
      </w:pPr>
    </w:p>
    <w:p w14:paraId="09CE13DC" w14:textId="77777777" w:rsidR="00D77CF6" w:rsidRDefault="00B25D9E">
      <w:pPr>
        <w:pStyle w:val="Betarp"/>
        <w:rPr>
          <w:u w:val="single"/>
          <w:lang w:val="lt-LT"/>
        </w:rPr>
      </w:pPr>
      <w:r>
        <w:rPr>
          <w:u w:val="single"/>
          <w:lang w:val="lt-LT"/>
        </w:rPr>
        <w:t>Klinikinis veiksmingumas ir saugumas</w:t>
      </w:r>
    </w:p>
    <w:p w14:paraId="41DC8789" w14:textId="0A1D222F" w:rsidR="00D77CF6" w:rsidRDefault="00B25D9E">
      <w:pPr>
        <w:pStyle w:val="Betarp"/>
        <w:rPr>
          <w:lang w:val="lt-LT" w:eastAsia="fr-FR"/>
        </w:rPr>
      </w:pPr>
      <w:r>
        <w:rPr>
          <w:lang w:val="lt-LT" w:eastAsia="fr-FR"/>
        </w:rPr>
        <w:t>Konservantų sudėtyje neturintis</w:t>
      </w:r>
      <w:r>
        <w:rPr>
          <w:lang w:val="lt-LT"/>
        </w:rPr>
        <w:t xml:space="preserve"> Fixopost, </w:t>
      </w:r>
      <w:r>
        <w:rPr>
          <w:lang w:val="lt-LT" w:eastAsia="fr-FR"/>
        </w:rPr>
        <w:t xml:space="preserve">buvo vertinamas 3 mėnesių trukmės, atsitiktinių imčių, klinikinio tyrimo, kuriam buvo taikomas tyrėjo maskavimas, metu. </w:t>
      </w:r>
      <w:r>
        <w:rPr>
          <w:lang w:val="lt-LT"/>
        </w:rPr>
        <w:t xml:space="preserve">Fixopost </w:t>
      </w:r>
      <w:r>
        <w:rPr>
          <w:lang w:val="lt-LT" w:eastAsia="fr-FR"/>
        </w:rPr>
        <w:t xml:space="preserve">buvo lyginamas su konservantų sudėtyje turinčiu </w:t>
      </w:r>
      <w:r>
        <w:rPr>
          <w:lang w:val="lt-LT"/>
        </w:rPr>
        <w:t>50 µg/5 mg/ml</w:t>
      </w:r>
      <w:r>
        <w:rPr>
          <w:lang w:val="lt-LT" w:eastAsia="fr-FR"/>
        </w:rPr>
        <w:t xml:space="preserve"> latanoprosto ir timololio referenciniu vaistiniu preparatu 242 pacientams, sergantiems akies hipertenzija ar atviro kampo glaukoma ir kurių būklė buvo nepakankamai kontroliuojama monoterapija. Prieš pradedant tyrimą, pacientai buvo gydomi ir kontroliuojami referenciniu ar generiniu vaistiniu preparatu (konservantų sudėtyje turinčiais</w:t>
      </w:r>
      <w:r>
        <w:rPr>
          <w:rFonts w:eastAsia="SimSun"/>
          <w:iCs/>
          <w:lang w:val="lt-LT"/>
        </w:rPr>
        <w:t xml:space="preserve"> fiksuoto derinio </w:t>
      </w:r>
      <w:r>
        <w:rPr>
          <w:lang w:val="lt-LT" w:eastAsia="fr-FR"/>
        </w:rPr>
        <w:t>latanoprosto ir timololio</w:t>
      </w:r>
      <w:r>
        <w:rPr>
          <w:lang w:val="lt-LT"/>
        </w:rPr>
        <w:t xml:space="preserve"> 50 µg/5 mg/ml akių lašais) mažiausiai 2 mėnesius.</w:t>
      </w:r>
    </w:p>
    <w:p w14:paraId="4448577B" w14:textId="77777777" w:rsidR="00D77CF6" w:rsidRDefault="00B25D9E">
      <w:pPr>
        <w:pStyle w:val="Betarp"/>
        <w:rPr>
          <w:lang w:val="lt-LT" w:eastAsia="fr-FR"/>
        </w:rPr>
      </w:pPr>
      <w:r>
        <w:rPr>
          <w:iCs/>
          <w:lang w:val="lt-LT"/>
        </w:rPr>
        <w:t>Pirminė veiksmingumo vertinamoji baigtis buvo akispūdžio</w:t>
      </w:r>
      <w:r>
        <w:rPr>
          <w:lang w:val="lt-LT" w:eastAsia="fr-FR"/>
        </w:rPr>
        <w:t xml:space="preserve"> sumažėjimas 84-ą gydymo parą, palyginti su pradiniu.</w:t>
      </w:r>
    </w:p>
    <w:p w14:paraId="2650D2D1" w14:textId="31983E18" w:rsidR="00D77CF6" w:rsidRDefault="00B25D9E">
      <w:pPr>
        <w:pStyle w:val="Betarp"/>
        <w:rPr>
          <w:lang w:val="lt-LT" w:eastAsia="fr-FR"/>
        </w:rPr>
      </w:pPr>
      <w:r>
        <w:rPr>
          <w:lang w:val="lt-LT" w:eastAsia="fr-FR"/>
        </w:rPr>
        <w:t xml:space="preserve">84-ą gydymo parą, </w:t>
      </w:r>
      <w:r>
        <w:rPr>
          <w:lang w:val="lt-LT"/>
        </w:rPr>
        <w:t>Fixopost</w:t>
      </w:r>
      <w:r>
        <w:rPr>
          <w:lang w:val="lt-LT" w:eastAsia="fr-FR"/>
        </w:rPr>
        <w:t xml:space="preserve"> sąlygotas </w:t>
      </w:r>
      <w:r>
        <w:rPr>
          <w:iCs/>
          <w:lang w:val="lt-LT"/>
        </w:rPr>
        <w:t>akispūdžio</w:t>
      </w:r>
      <w:r>
        <w:rPr>
          <w:lang w:val="lt-LT" w:eastAsia="fr-FR"/>
        </w:rPr>
        <w:t xml:space="preserve"> sumažėjimas vidutiniškai buvo 0,49 mmHg ir panašus į konservantų sudėtyje turinčio </w:t>
      </w:r>
      <w:r>
        <w:rPr>
          <w:lang w:val="lt-LT"/>
        </w:rPr>
        <w:t>50 µgų/5 mg/ml</w:t>
      </w:r>
      <w:r>
        <w:rPr>
          <w:lang w:val="lt-LT" w:eastAsia="fr-FR"/>
        </w:rPr>
        <w:t xml:space="preserve"> latanoprosto ir timololio referencinio vaistinio preparato.</w:t>
      </w:r>
    </w:p>
    <w:p w14:paraId="05B45A32" w14:textId="77777777" w:rsidR="00D77CF6" w:rsidRDefault="00D77CF6">
      <w:pPr>
        <w:pStyle w:val="Betarp"/>
        <w:rPr>
          <w:lang w:val="lt-LT" w:eastAsia="fr-FR"/>
        </w:rPr>
      </w:pPr>
    </w:p>
    <w:tbl>
      <w:tblPr>
        <w:tblW w:w="9061" w:type="dxa"/>
        <w:tblLook w:val="04A0" w:firstRow="1" w:lastRow="0" w:firstColumn="1" w:lastColumn="0" w:noHBand="0" w:noVBand="1"/>
      </w:tblPr>
      <w:tblGrid>
        <w:gridCol w:w="2268"/>
        <w:gridCol w:w="2264"/>
        <w:gridCol w:w="2258"/>
        <w:gridCol w:w="2271"/>
      </w:tblGrid>
      <w:tr w:rsidR="00D77CF6" w14:paraId="4E6DDFC0" w14:textId="77777777">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72F4E177" w14:textId="77777777" w:rsidR="00D77CF6" w:rsidRDefault="00B25D9E">
            <w:pPr>
              <w:pStyle w:val="Betarp"/>
              <w:rPr>
                <w:b/>
                <w:lang w:val="lt-LT" w:eastAsia="fr-FR"/>
              </w:rPr>
            </w:pPr>
            <w:r>
              <w:rPr>
                <w:b/>
                <w:lang w:val="lt-LT" w:eastAsia="fr-FR"/>
              </w:rPr>
              <w:t>Blogiau matanti akis</w:t>
            </w:r>
          </w:p>
          <w:p w14:paraId="377A8000" w14:textId="77777777" w:rsidR="00D77CF6" w:rsidRDefault="00B25D9E">
            <w:pPr>
              <w:pStyle w:val="Betarp"/>
              <w:rPr>
                <w:lang w:val="lt-LT" w:eastAsia="fr-FR"/>
              </w:rPr>
            </w:pPr>
            <w:r>
              <w:rPr>
                <w:b/>
                <w:lang w:val="lt-LT" w:eastAsia="fr-FR"/>
              </w:rPr>
              <w:t>(</w:t>
            </w:r>
            <w:r>
              <w:rPr>
                <w:b/>
                <w:iCs/>
                <w:lang w:val="lt-LT" w:eastAsia="fr-FR"/>
              </w:rPr>
              <w:t>mITT populiacija</w:t>
            </w:r>
            <w:r>
              <w:rPr>
                <w:b/>
                <w:lang w:val="lt-LT" w:eastAsia="fr-FR"/>
              </w:rPr>
              <w:t>)</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718D5DE2" w14:textId="77777777" w:rsidR="00D77CF6" w:rsidRDefault="00D77CF6">
            <w:pPr>
              <w:pStyle w:val="Betarp"/>
              <w:rPr>
                <w:lang w:val="lt-LT" w:eastAsia="fr-FR"/>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575797CB" w14:textId="77777777" w:rsidR="00D77CF6" w:rsidRDefault="00B25D9E">
            <w:pPr>
              <w:pStyle w:val="Betarp"/>
              <w:rPr>
                <w:b/>
                <w:lang w:val="lt-LT" w:eastAsia="fr-FR"/>
              </w:rPr>
            </w:pPr>
            <w:r>
              <w:rPr>
                <w:b/>
              </w:rPr>
              <w:t>Fixopost</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14:paraId="566727C7" w14:textId="3892DFC2" w:rsidR="00D77CF6" w:rsidRDefault="00B25D9E">
            <w:pPr>
              <w:pStyle w:val="Betarp"/>
              <w:rPr>
                <w:lang w:val="lt-LT" w:eastAsia="fr-FR"/>
              </w:rPr>
            </w:pPr>
            <w:r>
              <w:rPr>
                <w:b/>
                <w:lang w:val="lt-LT" w:eastAsia="fr-FR"/>
              </w:rPr>
              <w:t>Referencinis vaistinis preparatas</w:t>
            </w:r>
          </w:p>
        </w:tc>
      </w:tr>
      <w:tr w:rsidR="00D77CF6" w14:paraId="37776573" w14:textId="77777777">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682D9626" w14:textId="77777777" w:rsidR="00D77CF6" w:rsidRDefault="00B25D9E">
            <w:pPr>
              <w:pStyle w:val="Betarp"/>
              <w:rPr>
                <w:lang w:val="lt-LT" w:eastAsia="fr-FR"/>
              </w:rPr>
            </w:pPr>
            <w:r>
              <w:rPr>
                <w:lang w:val="lt-LT" w:eastAsia="fr-FR"/>
              </w:rPr>
              <w:t>Pradinis (0 gydymo para)</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37E621FF" w14:textId="77777777" w:rsidR="00D77CF6" w:rsidRDefault="00B25D9E">
            <w:pPr>
              <w:pStyle w:val="Betarp"/>
              <w:rPr>
                <w:lang w:val="lt-LT" w:eastAsia="fr-FR"/>
              </w:rPr>
            </w:pPr>
            <w:r>
              <w:rPr>
                <w:lang w:val="lt-LT" w:eastAsia="fr-FR"/>
              </w:rPr>
              <w:t>n</w:t>
            </w:r>
          </w:p>
          <w:p w14:paraId="12B30696" w14:textId="77777777" w:rsidR="00D77CF6" w:rsidRDefault="00B25D9E">
            <w:pPr>
              <w:pStyle w:val="Betarp"/>
              <w:rPr>
                <w:lang w:val="lt-LT" w:eastAsia="fr-FR"/>
              </w:rPr>
            </w:pPr>
            <w:r>
              <w:rPr>
                <w:lang w:val="lt-LT" w:eastAsia="fr-FR"/>
              </w:rPr>
              <w:t>Vidutinis ± SN</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79105EE3" w14:textId="77777777" w:rsidR="00D77CF6" w:rsidRDefault="00B25D9E">
            <w:pPr>
              <w:pStyle w:val="Betarp"/>
              <w:rPr>
                <w:color w:val="000000"/>
                <w:lang w:val="lt-LT" w:eastAsia="fr-FR"/>
              </w:rPr>
            </w:pPr>
            <w:r>
              <w:rPr>
                <w:color w:val="000000"/>
                <w:lang w:val="lt-LT" w:eastAsia="fr-FR"/>
              </w:rPr>
              <w:t>124</w:t>
            </w:r>
          </w:p>
          <w:p w14:paraId="041525BA" w14:textId="77777777" w:rsidR="00D77CF6" w:rsidRDefault="00B25D9E">
            <w:pPr>
              <w:pStyle w:val="Betarp"/>
              <w:rPr>
                <w:color w:val="000000"/>
                <w:lang w:val="lt-LT" w:eastAsia="fr-FR"/>
              </w:rPr>
            </w:pPr>
            <w:r>
              <w:rPr>
                <w:color w:val="000000"/>
                <w:lang w:val="lt-LT" w:eastAsia="fr-FR"/>
              </w:rPr>
              <w:t>15,6 ± 2,1</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14:paraId="3A54FC67" w14:textId="77777777" w:rsidR="00D77CF6" w:rsidRDefault="00B25D9E">
            <w:pPr>
              <w:pStyle w:val="Betarp"/>
              <w:rPr>
                <w:color w:val="000000"/>
                <w:lang w:val="lt-LT" w:eastAsia="fr-FR"/>
              </w:rPr>
            </w:pPr>
            <w:r>
              <w:rPr>
                <w:color w:val="000000"/>
                <w:lang w:val="lt-LT" w:eastAsia="fr-FR"/>
              </w:rPr>
              <w:t>112</w:t>
            </w:r>
          </w:p>
          <w:p w14:paraId="6963DF38" w14:textId="77777777" w:rsidR="00D77CF6" w:rsidRDefault="00B25D9E">
            <w:pPr>
              <w:pStyle w:val="Betarp"/>
              <w:rPr>
                <w:color w:val="000000"/>
                <w:lang w:val="lt-LT" w:eastAsia="fr-FR"/>
              </w:rPr>
            </w:pPr>
            <w:r>
              <w:rPr>
                <w:color w:val="000000"/>
                <w:lang w:val="lt-LT" w:eastAsia="fr-FR"/>
              </w:rPr>
              <w:t>15,7 ± 2,1</w:t>
            </w:r>
          </w:p>
        </w:tc>
      </w:tr>
      <w:tr w:rsidR="00D77CF6" w14:paraId="280AFB8F" w14:textId="77777777">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7A7BBB26" w14:textId="77777777" w:rsidR="00D77CF6" w:rsidRDefault="00B25D9E">
            <w:pPr>
              <w:pStyle w:val="Betarp"/>
              <w:rPr>
                <w:lang w:val="lt-LT" w:eastAsia="fr-FR"/>
              </w:rPr>
            </w:pPr>
            <w:r>
              <w:rPr>
                <w:lang w:val="lt-LT" w:eastAsia="fr-FR"/>
              </w:rPr>
              <w:t>84-a gydymo para</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77C7A0DB" w14:textId="77777777" w:rsidR="00D77CF6" w:rsidRDefault="00B25D9E">
            <w:pPr>
              <w:pStyle w:val="Betarp"/>
              <w:rPr>
                <w:lang w:val="lt-LT" w:eastAsia="fr-FR"/>
              </w:rPr>
            </w:pPr>
            <w:r>
              <w:rPr>
                <w:lang w:val="lt-LT" w:eastAsia="fr-FR"/>
              </w:rPr>
              <w:t>n</w:t>
            </w:r>
          </w:p>
          <w:p w14:paraId="4072DBBB" w14:textId="77777777" w:rsidR="00D77CF6" w:rsidRDefault="00B25D9E">
            <w:pPr>
              <w:pStyle w:val="Betarp"/>
              <w:rPr>
                <w:lang w:val="lt-LT" w:eastAsia="fr-FR"/>
              </w:rPr>
            </w:pPr>
            <w:r>
              <w:rPr>
                <w:lang w:val="lt-LT" w:eastAsia="fr-FR"/>
              </w:rPr>
              <w:t>Vidutinis ± SN</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11647D9D" w14:textId="77777777" w:rsidR="00D77CF6" w:rsidRDefault="00B25D9E">
            <w:pPr>
              <w:pStyle w:val="Betarp"/>
              <w:rPr>
                <w:color w:val="000000"/>
                <w:lang w:val="lt-LT" w:eastAsia="fr-FR"/>
              </w:rPr>
            </w:pPr>
            <w:r>
              <w:rPr>
                <w:color w:val="000000"/>
                <w:lang w:val="lt-LT" w:eastAsia="fr-FR"/>
              </w:rPr>
              <w:t>122</w:t>
            </w:r>
          </w:p>
          <w:p w14:paraId="573399FE" w14:textId="77777777" w:rsidR="00D77CF6" w:rsidRDefault="00B25D9E">
            <w:pPr>
              <w:pStyle w:val="Betarp"/>
              <w:rPr>
                <w:color w:val="000000"/>
                <w:lang w:val="lt-LT" w:eastAsia="fr-FR"/>
              </w:rPr>
            </w:pPr>
            <w:r>
              <w:rPr>
                <w:color w:val="000000"/>
                <w:lang w:val="lt-LT" w:eastAsia="fr-FR"/>
              </w:rPr>
              <w:t>15,1 ± 2.4</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14:paraId="71A79AAF" w14:textId="77777777" w:rsidR="00D77CF6" w:rsidRDefault="00B25D9E">
            <w:pPr>
              <w:pStyle w:val="Betarp"/>
              <w:rPr>
                <w:color w:val="000000"/>
                <w:lang w:val="lt-LT" w:eastAsia="fr-FR"/>
              </w:rPr>
            </w:pPr>
            <w:r>
              <w:rPr>
                <w:color w:val="000000"/>
                <w:lang w:val="lt-LT" w:eastAsia="fr-FR"/>
              </w:rPr>
              <w:t>110</w:t>
            </w:r>
          </w:p>
          <w:p w14:paraId="45E61D9D" w14:textId="77777777" w:rsidR="00D77CF6" w:rsidRDefault="00B25D9E">
            <w:pPr>
              <w:pStyle w:val="Betarp"/>
              <w:rPr>
                <w:color w:val="000000"/>
                <w:lang w:val="lt-LT" w:eastAsia="fr-FR"/>
              </w:rPr>
            </w:pPr>
            <w:r>
              <w:rPr>
                <w:color w:val="000000"/>
                <w:lang w:val="lt-LT" w:eastAsia="fr-FR"/>
              </w:rPr>
              <w:t>15,2 ± 2,2</w:t>
            </w:r>
          </w:p>
        </w:tc>
      </w:tr>
      <w:tr w:rsidR="00D77CF6" w14:paraId="4FEA4F7B" w14:textId="77777777">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48616987" w14:textId="77777777" w:rsidR="00D77CF6" w:rsidRDefault="00B25D9E">
            <w:pPr>
              <w:pStyle w:val="Betarp"/>
              <w:rPr>
                <w:lang w:val="lt-LT" w:eastAsia="fr-FR"/>
              </w:rPr>
            </w:pPr>
            <w:r>
              <w:rPr>
                <w:lang w:val="lt-LT" w:eastAsia="fr-FR"/>
              </w:rPr>
              <w:t>Vidutinis pokytis</w:t>
            </w:r>
          </w:p>
          <w:p w14:paraId="5C1A2BF2" w14:textId="77777777" w:rsidR="00D77CF6" w:rsidRDefault="00B25D9E">
            <w:pPr>
              <w:pStyle w:val="Betarp"/>
              <w:rPr>
                <w:lang w:val="lt-LT" w:eastAsia="fr-FR"/>
              </w:rPr>
            </w:pPr>
            <w:r>
              <w:rPr>
                <w:lang w:val="lt-LT" w:eastAsia="fr-FR"/>
              </w:rPr>
              <w:t>(0–84-a gydymo para)</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7314BCD3" w14:textId="77777777" w:rsidR="00D77CF6" w:rsidRDefault="00B25D9E">
            <w:pPr>
              <w:pStyle w:val="Betarp"/>
              <w:rPr>
                <w:lang w:val="lt-LT" w:eastAsia="fr-FR"/>
              </w:rPr>
            </w:pPr>
            <w:r>
              <w:rPr>
                <w:lang w:val="lt-LT" w:eastAsia="fr-FR"/>
              </w:rPr>
              <w:t>n</w:t>
            </w:r>
          </w:p>
          <w:p w14:paraId="7D9CE9A7" w14:textId="77777777" w:rsidR="00D77CF6" w:rsidRDefault="00B25D9E">
            <w:pPr>
              <w:pStyle w:val="Betarp"/>
              <w:rPr>
                <w:lang w:val="lt-LT" w:eastAsia="fr-FR"/>
              </w:rPr>
            </w:pPr>
            <w:r>
              <w:rPr>
                <w:lang w:val="lt-LT" w:eastAsia="fr-FR"/>
              </w:rPr>
              <w:t>Vidutinis ± SN</w:t>
            </w:r>
          </w:p>
          <w:p w14:paraId="07BCA761" w14:textId="77777777" w:rsidR="00D77CF6" w:rsidRDefault="00B25D9E">
            <w:pPr>
              <w:pStyle w:val="Betarp"/>
              <w:rPr>
                <w:lang w:val="lt-LT" w:eastAsia="fr-FR"/>
              </w:rPr>
            </w:pPr>
            <w:r>
              <w:rPr>
                <w:lang w:val="lt-LT" w:eastAsia="fr-FR"/>
              </w:rPr>
              <w:t>[95 % PI]</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6B6DE384" w14:textId="77777777" w:rsidR="00D77CF6" w:rsidRDefault="00B25D9E">
            <w:pPr>
              <w:pStyle w:val="Betarp"/>
              <w:rPr>
                <w:color w:val="000000"/>
                <w:lang w:val="lt-LT" w:eastAsia="fr-FR"/>
              </w:rPr>
            </w:pPr>
            <w:r>
              <w:rPr>
                <w:color w:val="000000"/>
                <w:lang w:val="lt-LT" w:eastAsia="fr-FR"/>
              </w:rPr>
              <w:t>122</w:t>
            </w:r>
          </w:p>
          <w:p w14:paraId="71BE3064" w14:textId="77777777" w:rsidR="00D77CF6" w:rsidRDefault="00B25D9E">
            <w:pPr>
              <w:pStyle w:val="Betarp"/>
              <w:rPr>
                <w:color w:val="000000"/>
                <w:lang w:val="lt-LT" w:eastAsia="fr-FR"/>
              </w:rPr>
            </w:pPr>
            <w:r>
              <w:rPr>
                <w:b/>
                <w:color w:val="000000"/>
                <w:lang w:val="lt-LT" w:eastAsia="fr-FR"/>
              </w:rPr>
              <w:t>-0,49 ± 1,80</w:t>
            </w:r>
          </w:p>
          <w:p w14:paraId="28536CD5" w14:textId="77777777" w:rsidR="00D77CF6" w:rsidRDefault="00B25D9E">
            <w:pPr>
              <w:pStyle w:val="Betarp"/>
              <w:rPr>
                <w:color w:val="000000"/>
                <w:lang w:val="lt-LT" w:eastAsia="fr-FR"/>
              </w:rPr>
            </w:pPr>
            <w:r>
              <w:rPr>
                <w:color w:val="000000"/>
                <w:lang w:val="lt-LT" w:eastAsia="fr-FR"/>
              </w:rPr>
              <w:t>[-0,81; -0,17]</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14:paraId="2382EEA3" w14:textId="77777777" w:rsidR="00D77CF6" w:rsidRDefault="00B25D9E">
            <w:pPr>
              <w:pStyle w:val="Betarp"/>
              <w:rPr>
                <w:color w:val="000000"/>
                <w:lang w:val="lt-LT" w:eastAsia="fr-FR"/>
              </w:rPr>
            </w:pPr>
            <w:r>
              <w:rPr>
                <w:color w:val="000000"/>
                <w:lang w:val="lt-LT" w:eastAsia="fr-FR"/>
              </w:rPr>
              <w:t>110</w:t>
            </w:r>
          </w:p>
          <w:p w14:paraId="7109B316" w14:textId="77777777" w:rsidR="00D77CF6" w:rsidRDefault="00B25D9E">
            <w:pPr>
              <w:pStyle w:val="Betarp"/>
              <w:rPr>
                <w:color w:val="000000"/>
                <w:lang w:val="lt-LT" w:eastAsia="fr-FR"/>
              </w:rPr>
            </w:pPr>
            <w:r>
              <w:rPr>
                <w:b/>
                <w:color w:val="000000"/>
                <w:lang w:val="lt-LT" w:eastAsia="fr-FR"/>
              </w:rPr>
              <w:t>-0,49 ± 2,25</w:t>
            </w:r>
          </w:p>
          <w:p w14:paraId="1C2844F6" w14:textId="77777777" w:rsidR="00D77CF6" w:rsidRDefault="00B25D9E">
            <w:pPr>
              <w:pStyle w:val="Betarp"/>
              <w:rPr>
                <w:color w:val="000000"/>
                <w:lang w:val="lt-LT" w:eastAsia="fr-FR"/>
              </w:rPr>
            </w:pPr>
            <w:r>
              <w:rPr>
                <w:color w:val="000000"/>
                <w:lang w:val="lt-LT" w:eastAsia="fr-FR"/>
              </w:rPr>
              <w:t>[-0,92; -0,07]</w:t>
            </w:r>
          </w:p>
        </w:tc>
      </w:tr>
      <w:tr w:rsidR="00D77CF6" w14:paraId="60B93D93" w14:textId="77777777">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6AF811C6" w14:textId="77777777" w:rsidR="00D77CF6" w:rsidRDefault="00B25D9E">
            <w:pPr>
              <w:pStyle w:val="Betarp"/>
              <w:rPr>
                <w:lang w:val="lt-LT" w:eastAsia="fr-FR"/>
              </w:rPr>
            </w:pPr>
            <w:r>
              <w:rPr>
                <w:lang w:val="lt-LT" w:eastAsia="fr-FR"/>
              </w:rPr>
              <w:t>Statistinė analizė</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49CECEF1" w14:textId="77777777" w:rsidR="00D77CF6" w:rsidRDefault="00B25D9E">
            <w:pPr>
              <w:pStyle w:val="Betarp"/>
              <w:rPr>
                <w:lang w:val="lt-LT" w:eastAsia="fr-FR"/>
              </w:rPr>
            </w:pPr>
            <w:r>
              <w:rPr>
                <w:lang w:val="lt-LT" w:eastAsia="fr-FR"/>
              </w:rPr>
              <w:t>Koreguotas vidutinis skirtumas E (SP)</w:t>
            </w:r>
          </w:p>
          <w:p w14:paraId="1DE5D0B0" w14:textId="77777777" w:rsidR="00D77CF6" w:rsidRDefault="00B25D9E">
            <w:pPr>
              <w:pStyle w:val="Betarp"/>
              <w:rPr>
                <w:lang w:val="lt-LT" w:eastAsia="fr-FR"/>
              </w:rPr>
            </w:pPr>
            <w:r>
              <w:rPr>
                <w:lang w:val="lt-LT" w:eastAsia="fr-FR"/>
              </w:rPr>
              <w:t>[95 %PI]</w:t>
            </w:r>
          </w:p>
        </w:tc>
        <w:tc>
          <w:tcPr>
            <w:tcW w:w="2258" w:type="dxa"/>
            <w:tcBorders>
              <w:top w:val="single" w:sz="4" w:space="0" w:color="000000"/>
              <w:left w:val="single" w:sz="4" w:space="0" w:color="000000"/>
              <w:bottom w:val="single" w:sz="4" w:space="0" w:color="000000"/>
              <w:right w:val="single" w:sz="4" w:space="0" w:color="FFFFFF"/>
            </w:tcBorders>
            <w:shd w:val="clear" w:color="auto" w:fill="auto"/>
          </w:tcPr>
          <w:p w14:paraId="1483C150" w14:textId="77777777" w:rsidR="00D77CF6" w:rsidRDefault="00B25D9E">
            <w:pPr>
              <w:pStyle w:val="Betarp"/>
              <w:rPr>
                <w:color w:val="000000"/>
                <w:lang w:val="lt-LT" w:eastAsia="fr-FR"/>
              </w:rPr>
            </w:pPr>
            <w:r>
              <w:rPr>
                <w:b/>
                <w:color w:val="000000"/>
                <w:lang w:val="lt-LT" w:eastAsia="fr-FR"/>
              </w:rPr>
              <w:t>0.01 ± 0.25</w:t>
            </w:r>
          </w:p>
          <w:p w14:paraId="1D9BD795" w14:textId="77777777" w:rsidR="00D77CF6" w:rsidRDefault="00B25D9E">
            <w:pPr>
              <w:pStyle w:val="Betarp"/>
              <w:rPr>
                <w:lang w:val="lt-LT" w:eastAsia="fr-FR"/>
              </w:rPr>
            </w:pPr>
            <w:r>
              <w:rPr>
                <w:b/>
                <w:color w:val="000000"/>
                <w:lang w:val="lt-LT" w:eastAsia="fr-FR"/>
              </w:rPr>
              <w:t>[-0.48; 0.50]</w:t>
            </w:r>
          </w:p>
        </w:tc>
        <w:tc>
          <w:tcPr>
            <w:tcW w:w="2271" w:type="dxa"/>
            <w:tcBorders>
              <w:top w:val="single" w:sz="4" w:space="0" w:color="000000"/>
              <w:left w:val="single" w:sz="4" w:space="0" w:color="FFFFFF"/>
              <w:bottom w:val="single" w:sz="4" w:space="0" w:color="000000"/>
              <w:right w:val="single" w:sz="4" w:space="0" w:color="000000"/>
            </w:tcBorders>
            <w:shd w:val="clear" w:color="auto" w:fill="auto"/>
          </w:tcPr>
          <w:p w14:paraId="7EAA2779" w14:textId="77777777" w:rsidR="00D77CF6" w:rsidRDefault="00D77CF6">
            <w:pPr>
              <w:pStyle w:val="Betarp"/>
              <w:rPr>
                <w:lang w:val="lt-LT" w:eastAsia="fr-FR"/>
              </w:rPr>
            </w:pPr>
          </w:p>
        </w:tc>
      </w:tr>
    </w:tbl>
    <w:p w14:paraId="3D7C0A8B" w14:textId="77777777" w:rsidR="00D77CF6" w:rsidRDefault="00B25D9E">
      <w:pPr>
        <w:pStyle w:val="Betarp"/>
        <w:rPr>
          <w:lang w:val="lt-LT" w:eastAsia="fr-FR"/>
        </w:rPr>
      </w:pPr>
      <w:r w:rsidRPr="00B85156">
        <w:rPr>
          <w:lang w:val="lt-LT" w:eastAsia="fr-FR"/>
        </w:rPr>
        <w:t>CI=pasikliautinas intervalas; N=pacientų skaičius gydymo grupėje; mITT=</w:t>
      </w:r>
      <w:r w:rsidRPr="00B85156">
        <w:rPr>
          <w:iCs/>
          <w:lang w:val="lt-LT" w:eastAsia="fr-FR"/>
        </w:rPr>
        <w:t>modifikuota</w:t>
      </w:r>
      <w:r w:rsidRPr="00B85156">
        <w:rPr>
          <w:lang w:val="lt-LT" w:eastAsia="fr-FR"/>
        </w:rPr>
        <w:t xml:space="preserve"> ketinamų gydyti </w:t>
      </w:r>
      <w:r w:rsidRPr="00B85156">
        <w:rPr>
          <w:iCs/>
          <w:lang w:val="lt-LT" w:eastAsia="fr-FR"/>
        </w:rPr>
        <w:t>pacientų populiacija; n</w:t>
      </w:r>
      <w:r w:rsidRPr="00B85156">
        <w:rPr>
          <w:lang w:val="lt-LT" w:eastAsia="fr-FR"/>
        </w:rPr>
        <w:t>=duomenų apie pacientų skaičius; SE=standartinė paklaida; SD=standartinis nuokrypis</w:t>
      </w:r>
    </w:p>
    <w:p w14:paraId="5AAD3DAD" w14:textId="77777777" w:rsidR="00D77CF6" w:rsidRDefault="00D77CF6">
      <w:pPr>
        <w:pStyle w:val="Betarp"/>
        <w:rPr>
          <w:lang w:val="lt-LT" w:eastAsia="fr-FR"/>
        </w:rPr>
      </w:pPr>
    </w:p>
    <w:p w14:paraId="4324051E" w14:textId="759EE26D" w:rsidR="00D77CF6" w:rsidRDefault="00B25D9E">
      <w:pPr>
        <w:pStyle w:val="Betarp"/>
        <w:rPr>
          <w:lang w:val="lt-LT" w:eastAsia="fr-FR"/>
        </w:rPr>
      </w:pPr>
      <w:r>
        <w:rPr>
          <w:lang w:val="lt-LT" w:eastAsia="fr-FR"/>
        </w:rPr>
        <w:t xml:space="preserve">Šis trijų mėnesių trukmės tyrimas parodė, kad vartojant </w:t>
      </w:r>
      <w:r>
        <w:rPr>
          <w:lang w:val="lt-LT"/>
        </w:rPr>
        <w:t>Fixopost</w:t>
      </w:r>
      <w:r>
        <w:rPr>
          <w:lang w:val="lt-LT" w:eastAsia="fr-FR"/>
        </w:rPr>
        <w:t xml:space="preserve"> nepasireiškė jokių akių nepageidaujamų reiškinių, išskyrus tuos, kurie jau buvo aprašyti vartojant BAK-konservantų sudėtyje turinčio latanoprosto ir timololio referencinio vaistinio preparato. 84-ą gydymo parą po įlašinimo, </w:t>
      </w:r>
      <w:r>
        <w:rPr>
          <w:lang w:val="lt-LT"/>
        </w:rPr>
        <w:t>Fixopost</w:t>
      </w:r>
      <w:r>
        <w:rPr>
          <w:lang w:val="lt-LT" w:eastAsia="fr-FR"/>
        </w:rPr>
        <w:t xml:space="preserve"> sukėlė mažiau subjektyvių simptomų (dirginimas, deginimas, gėlimas: 20,5 </w:t>
      </w:r>
      <w:r>
        <w:rPr>
          <w:lang w:val="lt-LT"/>
        </w:rPr>
        <w:t>% lyginant su 41,8 %, p&lt;0,001; niežėjimas: 4,9 % lyginant su 13,9 %, p</w:t>
      </w:r>
      <w:r>
        <w:rPr>
          <w:lang w:val="lt-LT" w:eastAsia="fr-FR"/>
        </w:rPr>
        <w:t>=0,010) taip pat ir subjektyvių simptomų per visą dieną nepriklausomai nuo įlašinimo (dirginimas, deginimas, gėlimas: 7,4 </w:t>
      </w:r>
      <w:r>
        <w:rPr>
          <w:lang w:val="lt-LT"/>
        </w:rPr>
        <w:t>% lyginant su 12,7 %, p</w:t>
      </w:r>
      <w:r>
        <w:rPr>
          <w:lang w:val="lt-LT" w:eastAsia="fr-FR"/>
        </w:rPr>
        <w:t>=</w:t>
      </w:r>
      <w:r>
        <w:rPr>
          <w:lang w:val="lt-LT"/>
        </w:rPr>
        <w:t>0,094; niežėjimas: 1,6 % lyginant su 13,6 %, p</w:t>
      </w:r>
      <w:r>
        <w:rPr>
          <w:lang w:val="lt-LT" w:eastAsia="fr-FR"/>
        </w:rPr>
        <w:t>&lt;0,010) lyginant su referenciniu vaistiniu preparatu.</w:t>
      </w:r>
    </w:p>
    <w:p w14:paraId="57E51F9F" w14:textId="6B615E57" w:rsidR="00D77CF6" w:rsidRDefault="00B25D9E">
      <w:pPr>
        <w:pStyle w:val="Betarp"/>
        <w:rPr>
          <w:lang w:val="lt-LT" w:eastAsia="fr-FR"/>
        </w:rPr>
      </w:pPr>
      <w:r>
        <w:rPr>
          <w:lang w:val="lt-LT" w:eastAsia="fr-FR"/>
        </w:rPr>
        <w:t>Vartojant konservantų sudėtyje turintį latanoprosto ir timololio referencinį vaistinį preparatą nedažnai pasireiškė kelios sisteminės nepageidaujamos reakcijos (dizgeuzija, aritmija ir nuovargis), kurias sukelia timololis, bet nestebėtos klinikinių tyrimų metu (žr. 4.8 skyrių).</w:t>
      </w:r>
    </w:p>
    <w:p w14:paraId="0BFAFACB" w14:textId="77777777" w:rsidR="00D77CF6" w:rsidRDefault="00D77CF6">
      <w:pPr>
        <w:pStyle w:val="Betarp"/>
        <w:rPr>
          <w:b/>
          <w:lang w:val="lt-LT"/>
        </w:rPr>
      </w:pPr>
    </w:p>
    <w:p w14:paraId="36740408" w14:textId="77777777" w:rsidR="00D77CF6" w:rsidRDefault="00B25D9E">
      <w:pPr>
        <w:pStyle w:val="Betarp"/>
        <w:rPr>
          <w:b/>
          <w:lang w:val="lt-LT"/>
        </w:rPr>
      </w:pPr>
      <w:bookmarkStart w:id="33" w:name="_Toc129243238"/>
      <w:bookmarkStart w:id="34" w:name="_Toc129243113"/>
      <w:r>
        <w:rPr>
          <w:b/>
          <w:lang w:val="lt-LT"/>
        </w:rPr>
        <w:t>5.2</w:t>
      </w:r>
      <w:r>
        <w:rPr>
          <w:b/>
          <w:lang w:val="lt-LT"/>
        </w:rPr>
        <w:tab/>
        <w:t>Farmakokinetinės savybės</w:t>
      </w:r>
      <w:bookmarkEnd w:id="33"/>
      <w:bookmarkEnd w:id="34"/>
    </w:p>
    <w:p w14:paraId="1BCB68EC" w14:textId="77777777" w:rsidR="00D77CF6" w:rsidRDefault="00D77CF6">
      <w:pPr>
        <w:pStyle w:val="Betarp"/>
        <w:rPr>
          <w:u w:val="single"/>
          <w:lang w:val="lt-LT"/>
        </w:rPr>
      </w:pPr>
    </w:p>
    <w:p w14:paraId="6584DA2F" w14:textId="77777777" w:rsidR="00D77CF6" w:rsidRDefault="00B25D9E">
      <w:pPr>
        <w:pStyle w:val="Betarp"/>
        <w:rPr>
          <w:u w:val="single"/>
          <w:lang w:val="lt-LT"/>
        </w:rPr>
      </w:pPr>
      <w:r>
        <w:rPr>
          <w:u w:val="single"/>
          <w:lang w:val="lt-LT"/>
        </w:rPr>
        <w:t>Latanoprostas</w:t>
      </w:r>
    </w:p>
    <w:p w14:paraId="34B31C9C" w14:textId="77777777" w:rsidR="00D77CF6" w:rsidRDefault="00B25D9E">
      <w:pPr>
        <w:pStyle w:val="Betarp"/>
        <w:spacing w:after="60"/>
        <w:rPr>
          <w:i/>
          <w:iCs/>
          <w:lang w:val="lt-LT"/>
        </w:rPr>
      </w:pPr>
      <w:r>
        <w:rPr>
          <w:i/>
          <w:iCs/>
          <w:lang w:val="lt-LT"/>
        </w:rPr>
        <w:t>Absorbcija</w:t>
      </w:r>
    </w:p>
    <w:p w14:paraId="565D56DA" w14:textId="77777777" w:rsidR="00D77CF6" w:rsidRDefault="00B25D9E">
      <w:pPr>
        <w:pStyle w:val="Betarp"/>
        <w:rPr>
          <w:lang w:val="lt-LT"/>
        </w:rPr>
      </w:pPr>
      <w:r>
        <w:rPr>
          <w:lang w:val="lt-LT"/>
        </w:rPr>
        <w:t>Latanoprostas yra provaistas izopropilo esteris. Jis pats neaktyvus, bet biologiškai aktyviu tampa vykstant hidrolizei į latanoprosto rūgštį (reakciją katalizuoja ragenos esterazės). Provaistas gerai absorbuojamas per rageną. Prasiskverbimo per rageną metu hidrolizuojamas visas į akių skystį patekęs vaistinis preparatas.</w:t>
      </w:r>
    </w:p>
    <w:p w14:paraId="55D9BC4A" w14:textId="77777777" w:rsidR="00D77CF6" w:rsidRDefault="00D77CF6">
      <w:pPr>
        <w:pStyle w:val="Betarp"/>
        <w:rPr>
          <w:lang w:val="lt-LT"/>
        </w:rPr>
      </w:pPr>
    </w:p>
    <w:p w14:paraId="1D194D95" w14:textId="77777777" w:rsidR="00D77CF6" w:rsidRDefault="00B25D9E">
      <w:pPr>
        <w:pStyle w:val="Betarp"/>
        <w:spacing w:after="60"/>
        <w:rPr>
          <w:i/>
          <w:iCs/>
          <w:lang w:val="lt-LT"/>
        </w:rPr>
      </w:pPr>
      <w:r>
        <w:rPr>
          <w:i/>
          <w:iCs/>
          <w:lang w:val="lt-LT"/>
        </w:rPr>
        <w:t>Pasiskirstymas</w:t>
      </w:r>
    </w:p>
    <w:p w14:paraId="6EC219C7" w14:textId="77777777" w:rsidR="00D77CF6" w:rsidRDefault="00B25D9E">
      <w:pPr>
        <w:pStyle w:val="Betarp"/>
        <w:jc w:val="both"/>
        <w:rPr>
          <w:lang w:val="lt-LT"/>
        </w:rPr>
      </w:pPr>
      <w:r>
        <w:rPr>
          <w:lang w:val="lt-LT"/>
        </w:rPr>
        <w:t>Tyrimų su žmonėmis duomenys rodo, kad lokaliai pavartojus tik latanoprosto, didžiausia jo koncentracija (apie 15</w:t>
      </w:r>
      <w:r>
        <w:rPr>
          <w:lang w:val="lt-LT"/>
        </w:rPr>
        <w:noBreakHyphen/>
        <w:t>30 ng/ml) akies skystyje susidaro maždaug po 2 val. Ant beždžionių akių pavartotas latanoprostas daugiausia pasiskirsto priekiniame akies segmente, junginėje ir akių vokuose.</w:t>
      </w:r>
    </w:p>
    <w:p w14:paraId="2763E087" w14:textId="21C20D20" w:rsidR="00D77CF6" w:rsidRDefault="00B25D9E">
      <w:pPr>
        <w:pStyle w:val="Betarp"/>
        <w:rPr>
          <w:lang w:val="lt-LT"/>
        </w:rPr>
      </w:pPr>
      <w:r>
        <w:rPr>
          <w:lang w:val="lt-LT"/>
        </w:rPr>
        <w:t>Latanoprosto rūgšties klirensas plazmoje yra 0,40 l/val./kg, o pasiskirstymo tūris yra mažas (0,16 l/kg kūno svorio), todėl pusinis eliminacijos laikas plazmoje yra trumpas – 17 min. Vartojant lokaliai (ant akių), latanoprosto rūgšties biologinis prieinamumas yra 45 %. 87 % latanoprosto rūgšties prisijungia prie kraujo plazmos baltymų.</w:t>
      </w:r>
    </w:p>
    <w:p w14:paraId="3DA970FC" w14:textId="77777777" w:rsidR="00D77CF6" w:rsidRDefault="00D77CF6">
      <w:pPr>
        <w:pStyle w:val="Betarp"/>
        <w:rPr>
          <w:lang w:val="lt-LT"/>
        </w:rPr>
      </w:pPr>
    </w:p>
    <w:p w14:paraId="28605A80" w14:textId="77777777" w:rsidR="00D77CF6" w:rsidRDefault="00B25D9E">
      <w:pPr>
        <w:pStyle w:val="Betarp"/>
        <w:spacing w:after="60"/>
        <w:rPr>
          <w:i/>
          <w:iCs/>
          <w:lang w:val="lt-LT"/>
        </w:rPr>
      </w:pPr>
      <w:r>
        <w:rPr>
          <w:i/>
          <w:iCs/>
          <w:lang w:val="lt-LT"/>
        </w:rPr>
        <w:t>Biotransformacija ir eliminacija</w:t>
      </w:r>
    </w:p>
    <w:p w14:paraId="137CAA02" w14:textId="77777777" w:rsidR="00D77CF6" w:rsidRDefault="00B25D9E">
      <w:pPr>
        <w:pStyle w:val="Betarp"/>
        <w:jc w:val="both"/>
        <w:rPr>
          <w:lang w:val="lt-LT"/>
        </w:rPr>
      </w:pPr>
      <w:r>
        <w:rPr>
          <w:lang w:val="lt-LT"/>
        </w:rPr>
        <w:t>Latanoprosto rūgštis akyje beveik nemetabolizuojama, daugiausia jos metabolizuojama kepenyse. Tyrimų su gyvūnais metu svarbiausių metabolitų, t. y. 1,2-dinormetabolito ir 1,2,3,4-tetranormetabolito, biologinis aktyvumas buvo silpnas arba jo visai nebuvo, iš organizmo metabolitai išsiskyrė daugiausia su šlapimu.</w:t>
      </w:r>
    </w:p>
    <w:p w14:paraId="3092C979" w14:textId="77777777" w:rsidR="00D77CF6" w:rsidRDefault="00D77CF6">
      <w:pPr>
        <w:pStyle w:val="Betarp"/>
        <w:rPr>
          <w:u w:val="single"/>
          <w:lang w:val="lt-LT"/>
        </w:rPr>
      </w:pPr>
    </w:p>
    <w:p w14:paraId="0A47EA05" w14:textId="77777777" w:rsidR="00D77CF6" w:rsidRDefault="00B25D9E">
      <w:pPr>
        <w:pStyle w:val="Betarp"/>
        <w:rPr>
          <w:u w:val="single"/>
          <w:lang w:val="lt-LT"/>
        </w:rPr>
      </w:pPr>
      <w:r>
        <w:rPr>
          <w:u w:val="single"/>
          <w:lang w:val="lt-LT"/>
        </w:rPr>
        <w:t>Timololis</w:t>
      </w:r>
    </w:p>
    <w:p w14:paraId="03E98B1A" w14:textId="77777777" w:rsidR="00D77CF6" w:rsidRDefault="00B25D9E">
      <w:pPr>
        <w:pStyle w:val="Betarp"/>
        <w:spacing w:after="60"/>
        <w:rPr>
          <w:i/>
          <w:iCs/>
          <w:lang w:val="lt-LT"/>
        </w:rPr>
      </w:pPr>
      <w:r>
        <w:rPr>
          <w:i/>
          <w:iCs/>
          <w:lang w:val="lt-LT"/>
        </w:rPr>
        <w:t>Absorbcija ir pasiskirstymas</w:t>
      </w:r>
    </w:p>
    <w:p w14:paraId="318A0A49" w14:textId="2C7E4703" w:rsidR="00D77CF6" w:rsidRDefault="00B25D9E">
      <w:pPr>
        <w:pStyle w:val="Betarp"/>
        <w:rPr>
          <w:lang w:val="lt-LT"/>
        </w:rPr>
      </w:pPr>
      <w:r>
        <w:rPr>
          <w:lang w:val="lt-LT"/>
        </w:rPr>
        <w:t>Lokaliai pavartojus akių lašų, didžiausia timololio koncentracija akies skystyje susidaro maždaug po 1 val. Vartojant po vieną lašą (300 µg per parą) ant abiejų akių vieną kartą per parą, dalis dozės absorbuojama į sisteminę kraujotaką, didžiausia koncentracija kraujo plazmoje (1 ng/ml) susidaro po 10–20 min.</w:t>
      </w:r>
    </w:p>
    <w:p w14:paraId="17B961F2" w14:textId="77777777" w:rsidR="00D77CF6" w:rsidRDefault="00D77CF6">
      <w:pPr>
        <w:pStyle w:val="Betarp"/>
        <w:jc w:val="both"/>
        <w:rPr>
          <w:lang w:val="lt-LT"/>
        </w:rPr>
      </w:pPr>
    </w:p>
    <w:p w14:paraId="3DEF4912" w14:textId="77777777" w:rsidR="00D77CF6" w:rsidRDefault="00B25D9E">
      <w:pPr>
        <w:pStyle w:val="Betarp"/>
        <w:spacing w:after="60"/>
        <w:jc w:val="both"/>
        <w:rPr>
          <w:i/>
          <w:iCs/>
          <w:lang w:val="lt-LT"/>
        </w:rPr>
      </w:pPr>
      <w:r>
        <w:rPr>
          <w:i/>
          <w:iCs/>
          <w:lang w:val="lt-LT"/>
        </w:rPr>
        <w:t>Biotransformacija</w:t>
      </w:r>
    </w:p>
    <w:p w14:paraId="1FD30E4F" w14:textId="03771563" w:rsidR="00D77CF6" w:rsidRDefault="00B25D9E">
      <w:pPr>
        <w:pStyle w:val="Betarp"/>
        <w:rPr>
          <w:lang w:val="lt-LT"/>
        </w:rPr>
      </w:pPr>
      <w:r>
        <w:rPr>
          <w:lang w:val="lt-LT"/>
        </w:rPr>
        <w:t>Timololio pusinės eliminacijos iš kraujo plazmos laikas yra apie 6</w:t>
      </w:r>
      <w:r>
        <w:rPr>
          <w:lang w:val="lt-LT" w:eastAsia="sv-SE"/>
        </w:rPr>
        <w:t> </w:t>
      </w:r>
      <w:r>
        <w:rPr>
          <w:lang w:val="lt-LT"/>
        </w:rPr>
        <w:t>val. Timololis ekstensyviai metabolizuojamas kepenyse.</w:t>
      </w:r>
    </w:p>
    <w:p w14:paraId="7ED8AD35" w14:textId="77777777" w:rsidR="00D77CF6" w:rsidRDefault="00D77CF6">
      <w:pPr>
        <w:pStyle w:val="Betarp"/>
        <w:jc w:val="both"/>
        <w:rPr>
          <w:lang w:val="lt-LT"/>
        </w:rPr>
      </w:pPr>
    </w:p>
    <w:p w14:paraId="5979D984" w14:textId="77777777" w:rsidR="00D77CF6" w:rsidRDefault="00B25D9E">
      <w:pPr>
        <w:pStyle w:val="Betarp"/>
        <w:spacing w:after="60"/>
        <w:jc w:val="both"/>
        <w:rPr>
          <w:i/>
          <w:iCs/>
          <w:lang w:val="lt-LT"/>
        </w:rPr>
      </w:pPr>
      <w:r>
        <w:rPr>
          <w:i/>
          <w:iCs/>
          <w:lang w:val="lt-LT"/>
        </w:rPr>
        <w:t>Eliminacija</w:t>
      </w:r>
    </w:p>
    <w:p w14:paraId="329A822F" w14:textId="77777777" w:rsidR="00D77CF6" w:rsidRDefault="00B25D9E">
      <w:pPr>
        <w:pStyle w:val="Betarp"/>
        <w:jc w:val="both"/>
        <w:rPr>
          <w:lang w:val="lt-LT"/>
        </w:rPr>
      </w:pPr>
      <w:r>
        <w:rPr>
          <w:lang w:val="lt-LT"/>
        </w:rPr>
        <w:t>Metabolitai ir dalis nepakitusio timololio išsiskiria su šlapimu.</w:t>
      </w:r>
    </w:p>
    <w:p w14:paraId="6C8107C2" w14:textId="77777777" w:rsidR="00D77CF6" w:rsidRDefault="00D77CF6">
      <w:pPr>
        <w:pStyle w:val="Betarp"/>
        <w:rPr>
          <w:u w:val="single"/>
          <w:lang w:val="lt-LT"/>
        </w:rPr>
      </w:pPr>
    </w:p>
    <w:p w14:paraId="2D1390A5" w14:textId="0A7C1B89" w:rsidR="00D77CF6" w:rsidRDefault="00B25D9E">
      <w:pPr>
        <w:pStyle w:val="Betarp"/>
        <w:spacing w:after="60"/>
        <w:rPr>
          <w:u w:val="single"/>
          <w:lang w:val="lt-LT" w:eastAsia="fr-FR"/>
        </w:rPr>
      </w:pPr>
      <w:r>
        <w:rPr>
          <w:u w:val="single"/>
          <w:lang w:val="lt-LT" w:eastAsia="fr-FR"/>
        </w:rPr>
        <w:t>Konservantų sudėtyje turintis latanoprosto ir timololio referencinis vaistinis preparatas</w:t>
      </w:r>
    </w:p>
    <w:p w14:paraId="62A0C475" w14:textId="77777777" w:rsidR="00D77CF6" w:rsidRDefault="00B25D9E">
      <w:pPr>
        <w:pStyle w:val="Betarp"/>
        <w:spacing w:after="60"/>
        <w:rPr>
          <w:i/>
          <w:iCs/>
          <w:lang w:val="lt-LT"/>
        </w:rPr>
      </w:pPr>
      <w:r>
        <w:rPr>
          <w:i/>
          <w:iCs/>
          <w:lang w:val="lt-LT" w:eastAsia="fr-FR"/>
        </w:rPr>
        <w:t>Santykis tarp farmakokinetikos ir farmakodinamikos</w:t>
      </w:r>
    </w:p>
    <w:p w14:paraId="4C9DB763" w14:textId="5638FC75" w:rsidR="00D77CF6" w:rsidRDefault="00B25D9E">
      <w:pPr>
        <w:pStyle w:val="Betarp"/>
        <w:jc w:val="both"/>
        <w:rPr>
          <w:bCs/>
          <w:lang w:val="lt-LT"/>
        </w:rPr>
      </w:pPr>
      <w:r>
        <w:rPr>
          <w:lang w:val="lt-LT"/>
        </w:rPr>
        <w:t xml:space="preserve">Farmakokinetinės sąveikos tarp latanoprosto ir timololio nepastebėta, nors praėjus 1–4 val. po </w:t>
      </w:r>
      <w:r>
        <w:rPr>
          <w:lang w:val="lt-LT" w:eastAsia="fr-FR"/>
        </w:rPr>
        <w:t>konservantų sudėtyje turinčio latanoprosto ir timololio referencinio vaistinio preparato</w:t>
      </w:r>
      <w:r>
        <w:rPr>
          <w:lang w:val="lt-LT"/>
        </w:rPr>
        <w:t xml:space="preserve"> įlašinimo, latanoprosto rūgšties koncentracija akių skystyje buvo 2 kartus didesnė, negu po latanoprosto akių lašų įlašinimo.</w:t>
      </w:r>
    </w:p>
    <w:p w14:paraId="5991269B" w14:textId="77777777" w:rsidR="00D77CF6" w:rsidRDefault="00D77CF6">
      <w:pPr>
        <w:pStyle w:val="Betarp"/>
        <w:rPr>
          <w:bCs/>
          <w:lang w:val="lt-LT"/>
        </w:rPr>
      </w:pPr>
    </w:p>
    <w:p w14:paraId="3082F9C0" w14:textId="77777777" w:rsidR="00D77CF6" w:rsidRDefault="00B25D9E">
      <w:pPr>
        <w:pStyle w:val="Betarp"/>
        <w:rPr>
          <w:b/>
          <w:lang w:val="lt-LT"/>
        </w:rPr>
      </w:pPr>
      <w:bookmarkStart w:id="35" w:name="_Toc129243239"/>
      <w:bookmarkStart w:id="36" w:name="_Toc129243114"/>
      <w:r>
        <w:rPr>
          <w:b/>
          <w:lang w:val="lt-LT"/>
        </w:rPr>
        <w:t>5.3</w:t>
      </w:r>
      <w:r>
        <w:rPr>
          <w:b/>
          <w:lang w:val="lt-LT"/>
        </w:rPr>
        <w:tab/>
        <w:t>Ikiklinikinių saugumo tyrimų duomenys</w:t>
      </w:r>
      <w:bookmarkEnd w:id="35"/>
      <w:bookmarkEnd w:id="36"/>
    </w:p>
    <w:p w14:paraId="2BB414BE" w14:textId="77777777" w:rsidR="00D77CF6" w:rsidRDefault="00D77CF6">
      <w:pPr>
        <w:pStyle w:val="Betarp"/>
        <w:rPr>
          <w:lang w:val="lt-LT"/>
        </w:rPr>
      </w:pPr>
    </w:p>
    <w:p w14:paraId="368C7645" w14:textId="77777777" w:rsidR="00D77CF6" w:rsidRDefault="00B25D9E">
      <w:pPr>
        <w:pStyle w:val="Betarp"/>
        <w:rPr>
          <w:rFonts w:eastAsia="Times New Roman"/>
          <w:kern w:val="2"/>
          <w:lang w:val="lt-LT"/>
        </w:rPr>
      </w:pPr>
      <w:r>
        <w:rPr>
          <w:rFonts w:eastAsia="Times New Roman"/>
          <w:kern w:val="2"/>
          <w:lang w:val="lt-LT"/>
        </w:rPr>
        <w:t xml:space="preserve">Kiekvienos medžiagos, pavartotos ant akių ar sisteminiu būdu, saugumas yra gerai ištirtas. Triušiams, lokaliai vartojami fiksuoto latanoprosto ir timololio derinio akių lašai arba </w:t>
      </w:r>
      <w:r>
        <w:rPr>
          <w:lang w:val="lt-LT"/>
        </w:rPr>
        <w:t>atskirų latanoprosto ir timololio akių tirpalai</w:t>
      </w:r>
      <w:r>
        <w:rPr>
          <w:rFonts w:eastAsia="Times New Roman"/>
          <w:kern w:val="2"/>
          <w:lang w:val="lt-LT"/>
        </w:rPr>
        <w:t>, nepageidaujamo poveikio akims ar sisteminio nepageidaujamo poveikio nesukėlė. Įprastų farmakologinio saugumo, genotoksiškumo ir galimo kancerogeniškumo ikiklinikinių tyrimų duomenys specifinio pavojaus žmogui nerodo. Triušių ragenos žaizdų gijimui latanoprostas poveikio nedarė, o timololis, vartojamas dažniau negu kartą per parą, triušių ir beždžionių akyse šį procesą slopino.</w:t>
      </w:r>
    </w:p>
    <w:p w14:paraId="45A20637" w14:textId="6339FC5A" w:rsidR="00D77CF6" w:rsidRDefault="00B25D9E">
      <w:pPr>
        <w:pStyle w:val="Betarp"/>
        <w:rPr>
          <w:rFonts w:eastAsia="Times New Roman"/>
          <w:kern w:val="2"/>
          <w:lang w:val="lt-LT"/>
        </w:rPr>
      </w:pPr>
      <w:r>
        <w:rPr>
          <w:rFonts w:eastAsia="Times New Roman"/>
          <w:kern w:val="2"/>
          <w:lang w:val="lt-LT"/>
        </w:rPr>
        <w:t>Žiurkių patinų ir patelių vaisingumo latanoprostas neveikė, teratogeninio poveikio žiurkėms ir triušiams nesukėlė. Žiurkėms į veną leidžiamos ne didesnės kaip 250 µg/kg kūno svorio paros dozės toksinio poveikio jų embrionui nesukėlė, tačiau vaikingoms triušių patelėms į veną leidžiamos 5 mg/kg kūno svorio latanoprosto paros dozės (jos yra maždaug 100 kartų didesnės už gydomąją dozę, rekomenduojamą vartoti žmogui) arba didesnės sukėlė toksinį poveikį jų embrionui ir vaisiui, pasireiškusį vėlyvąja rezorbcija, abortu bei vaisiaus svorio sumažėjimu. Timololis žiurkių patinų ir patelių vaisingumui poveikio nedarė, pelėms, žiurkėms ir triušiams teratogeninio poveikio nesukėlė.</w:t>
      </w:r>
    </w:p>
    <w:p w14:paraId="73D53AF4" w14:textId="77777777" w:rsidR="00D77CF6" w:rsidRDefault="00D77CF6">
      <w:pPr>
        <w:pStyle w:val="Betarp"/>
        <w:rPr>
          <w:i/>
          <w:lang w:val="lt-LT"/>
        </w:rPr>
      </w:pPr>
    </w:p>
    <w:p w14:paraId="56438DB6" w14:textId="77777777" w:rsidR="00D77CF6" w:rsidRDefault="00B25D9E">
      <w:pPr>
        <w:pStyle w:val="Betarp"/>
        <w:rPr>
          <w:i/>
          <w:lang w:val="lt-LT"/>
        </w:rPr>
      </w:pPr>
      <w:r>
        <w:rPr>
          <w:i/>
          <w:lang w:val="lt-LT"/>
        </w:rPr>
        <w:t>Toksiškumas akims</w:t>
      </w:r>
    </w:p>
    <w:p w14:paraId="78A06EAF" w14:textId="77777777" w:rsidR="00D77CF6" w:rsidRDefault="00B25D9E">
      <w:pPr>
        <w:pStyle w:val="Betarp"/>
        <w:rPr>
          <w:lang w:val="lt-LT"/>
        </w:rPr>
      </w:pPr>
      <w:r>
        <w:rPr>
          <w:lang w:val="lt-LT"/>
        </w:rPr>
        <w:t>Su gyvūnais atliekamų tyrimų metu, ant akių 2 kartus per parą 28 paras vartojami Fixopost akių lašai vietinio ar sisteminio toksiškumo neparodė.</w:t>
      </w:r>
    </w:p>
    <w:p w14:paraId="3DC31B2C" w14:textId="77777777" w:rsidR="00D77CF6" w:rsidRDefault="00D77CF6">
      <w:pPr>
        <w:pStyle w:val="Betarp"/>
        <w:rPr>
          <w:lang w:val="lt-LT"/>
        </w:rPr>
      </w:pPr>
    </w:p>
    <w:p w14:paraId="00F63A89" w14:textId="77777777" w:rsidR="00D77CF6" w:rsidRDefault="00D77CF6">
      <w:pPr>
        <w:pStyle w:val="Betarp"/>
        <w:rPr>
          <w:bCs/>
          <w:lang w:val="lt-LT"/>
        </w:rPr>
      </w:pPr>
    </w:p>
    <w:p w14:paraId="01303B31" w14:textId="77777777" w:rsidR="00D77CF6" w:rsidRDefault="00B25D9E">
      <w:pPr>
        <w:pStyle w:val="Betarp"/>
        <w:rPr>
          <w:b/>
          <w:lang w:val="lt-LT"/>
        </w:rPr>
      </w:pPr>
      <w:bookmarkStart w:id="37" w:name="_Toc129243240"/>
      <w:bookmarkStart w:id="38" w:name="_Toc129243115"/>
      <w:r>
        <w:rPr>
          <w:b/>
          <w:lang w:val="lt-LT"/>
        </w:rPr>
        <w:t>6.</w:t>
      </w:r>
      <w:r>
        <w:rPr>
          <w:b/>
          <w:lang w:val="lt-LT"/>
        </w:rPr>
        <w:tab/>
        <w:t>FARMACINĖ INFORMACIJA</w:t>
      </w:r>
      <w:bookmarkEnd w:id="37"/>
      <w:bookmarkEnd w:id="38"/>
    </w:p>
    <w:p w14:paraId="325B7ABA" w14:textId="77777777" w:rsidR="00D77CF6" w:rsidRDefault="00D77CF6">
      <w:pPr>
        <w:pStyle w:val="Betarp"/>
        <w:rPr>
          <w:bCs/>
          <w:lang w:val="lt-LT"/>
        </w:rPr>
      </w:pPr>
    </w:p>
    <w:p w14:paraId="7A80122F" w14:textId="77777777" w:rsidR="00D77CF6" w:rsidRDefault="00B25D9E">
      <w:pPr>
        <w:pStyle w:val="Betarp"/>
        <w:rPr>
          <w:b/>
          <w:lang w:val="lt-LT"/>
        </w:rPr>
      </w:pPr>
      <w:bookmarkStart w:id="39" w:name="_Toc129243241"/>
      <w:bookmarkStart w:id="40" w:name="_Toc129243116"/>
      <w:r>
        <w:rPr>
          <w:b/>
          <w:lang w:val="lt-LT"/>
        </w:rPr>
        <w:t>6.1</w:t>
      </w:r>
      <w:r>
        <w:rPr>
          <w:b/>
          <w:lang w:val="lt-LT"/>
        </w:rPr>
        <w:tab/>
        <w:t>Pagalbinių medžiagų sąrašas</w:t>
      </w:r>
      <w:bookmarkEnd w:id="39"/>
      <w:bookmarkEnd w:id="40"/>
    </w:p>
    <w:p w14:paraId="1E469A1D" w14:textId="77777777" w:rsidR="00D77CF6" w:rsidRDefault="00D77CF6">
      <w:pPr>
        <w:pStyle w:val="Betarp"/>
        <w:rPr>
          <w:lang w:val="lt-LT"/>
        </w:rPr>
      </w:pPr>
    </w:p>
    <w:p w14:paraId="1592FE2A" w14:textId="77777777" w:rsidR="00D77CF6" w:rsidRDefault="00B25D9E">
      <w:pPr>
        <w:pStyle w:val="Betarp"/>
        <w:rPr>
          <w:lang w:val="lt-LT"/>
        </w:rPr>
      </w:pPr>
      <w:r>
        <w:rPr>
          <w:lang w:val="lt-LT"/>
        </w:rPr>
        <w:t>Makrogolglicerolio hidroksistearatas</w:t>
      </w:r>
    </w:p>
    <w:p w14:paraId="432D4A81" w14:textId="77777777" w:rsidR="00D77CF6" w:rsidRDefault="00B25D9E">
      <w:pPr>
        <w:pStyle w:val="Betarp"/>
        <w:rPr>
          <w:lang w:val="lt-LT"/>
        </w:rPr>
      </w:pPr>
      <w:r>
        <w:rPr>
          <w:lang w:val="lt-LT"/>
        </w:rPr>
        <w:t>Sorbitolis</w:t>
      </w:r>
    </w:p>
    <w:p w14:paraId="3B900803" w14:textId="77777777" w:rsidR="00D77CF6" w:rsidRDefault="00B25D9E">
      <w:pPr>
        <w:pStyle w:val="Betarp"/>
        <w:rPr>
          <w:lang w:val="lt-LT"/>
        </w:rPr>
      </w:pPr>
      <w:r>
        <w:rPr>
          <w:lang w:val="lt-LT"/>
        </w:rPr>
        <w:t>Makrogolis</w:t>
      </w:r>
    </w:p>
    <w:p w14:paraId="1F902A11" w14:textId="77777777" w:rsidR="00D77CF6" w:rsidRDefault="00B25D9E">
      <w:pPr>
        <w:pStyle w:val="Betarp"/>
        <w:rPr>
          <w:lang w:val="lt-LT"/>
        </w:rPr>
      </w:pPr>
      <w:r>
        <w:rPr>
          <w:lang w:val="lt-LT"/>
        </w:rPr>
        <w:t>Karbomeras</w:t>
      </w:r>
    </w:p>
    <w:p w14:paraId="78AA92E2" w14:textId="77777777" w:rsidR="00D77CF6" w:rsidRDefault="00B25D9E">
      <w:pPr>
        <w:pStyle w:val="Betarp"/>
        <w:rPr>
          <w:lang w:val="lt-LT"/>
        </w:rPr>
      </w:pPr>
      <w:r>
        <w:rPr>
          <w:lang w:val="lt-LT"/>
        </w:rPr>
        <w:t>Dinatrio edetatas</w:t>
      </w:r>
    </w:p>
    <w:p w14:paraId="42D1D798" w14:textId="77777777" w:rsidR="00D77CF6" w:rsidRDefault="00B25D9E">
      <w:pPr>
        <w:pStyle w:val="Betarp"/>
        <w:rPr>
          <w:lang w:val="lt-LT"/>
        </w:rPr>
      </w:pPr>
      <w:r>
        <w:rPr>
          <w:lang w:val="lt-LT"/>
        </w:rPr>
        <w:t>Natrio hidroksidas (pH koreguoti)</w:t>
      </w:r>
    </w:p>
    <w:p w14:paraId="0748C6DA" w14:textId="77777777" w:rsidR="00D77CF6" w:rsidRDefault="00B25D9E">
      <w:pPr>
        <w:pStyle w:val="Betarp"/>
        <w:rPr>
          <w:lang w:val="lt-LT"/>
        </w:rPr>
      </w:pPr>
      <w:r>
        <w:rPr>
          <w:lang w:val="lt-LT"/>
        </w:rPr>
        <w:t>Vanduo</w:t>
      </w:r>
    </w:p>
    <w:p w14:paraId="0E014A80" w14:textId="77777777" w:rsidR="00D77CF6" w:rsidRDefault="00D77CF6">
      <w:pPr>
        <w:pStyle w:val="Betarp"/>
        <w:rPr>
          <w:b/>
          <w:lang w:val="lt-LT"/>
        </w:rPr>
      </w:pPr>
    </w:p>
    <w:p w14:paraId="6293D7E8" w14:textId="77777777" w:rsidR="00D77CF6" w:rsidRDefault="00B25D9E">
      <w:pPr>
        <w:pStyle w:val="Betarp"/>
        <w:rPr>
          <w:b/>
          <w:lang w:val="lt-LT"/>
        </w:rPr>
      </w:pPr>
      <w:bookmarkStart w:id="41" w:name="_Toc129243242"/>
      <w:bookmarkStart w:id="42" w:name="_Toc129243117"/>
      <w:r>
        <w:rPr>
          <w:b/>
          <w:lang w:val="lt-LT"/>
        </w:rPr>
        <w:t>6.2</w:t>
      </w:r>
      <w:r>
        <w:rPr>
          <w:b/>
          <w:lang w:val="lt-LT"/>
        </w:rPr>
        <w:tab/>
        <w:t>Nesuderinamumas</w:t>
      </w:r>
      <w:bookmarkEnd w:id="41"/>
      <w:bookmarkEnd w:id="42"/>
    </w:p>
    <w:p w14:paraId="5CCEBD17" w14:textId="77777777" w:rsidR="00D77CF6" w:rsidRDefault="00D77CF6">
      <w:pPr>
        <w:pStyle w:val="Betarp"/>
        <w:rPr>
          <w:lang w:val="lt-LT"/>
        </w:rPr>
      </w:pPr>
    </w:p>
    <w:p w14:paraId="02390515" w14:textId="77777777" w:rsidR="00D77CF6" w:rsidRDefault="00B25D9E">
      <w:pPr>
        <w:pStyle w:val="Betarp"/>
        <w:rPr>
          <w:lang w:val="lt-LT"/>
        </w:rPr>
      </w:pPr>
      <w:r>
        <w:rPr>
          <w:lang w:val="lt-LT"/>
        </w:rPr>
        <w:t>Suderinamumo tyrimų neatlikta, todėl šio vaistinio preparato maišyti su kitais negalima.</w:t>
      </w:r>
    </w:p>
    <w:p w14:paraId="6084B56B" w14:textId="77777777" w:rsidR="00D77CF6" w:rsidRDefault="00D77CF6">
      <w:pPr>
        <w:pStyle w:val="Betarp"/>
        <w:rPr>
          <w:b/>
          <w:lang w:val="lt-LT"/>
        </w:rPr>
      </w:pPr>
    </w:p>
    <w:p w14:paraId="5E30ABF4" w14:textId="77777777" w:rsidR="00D77CF6" w:rsidRDefault="00B25D9E">
      <w:pPr>
        <w:pStyle w:val="Betarp"/>
        <w:rPr>
          <w:b/>
          <w:lang w:val="lt-LT"/>
        </w:rPr>
      </w:pPr>
      <w:bookmarkStart w:id="43" w:name="_Toc129243243"/>
      <w:bookmarkStart w:id="44" w:name="_Toc129243118"/>
      <w:r>
        <w:rPr>
          <w:b/>
          <w:lang w:val="lt-LT"/>
        </w:rPr>
        <w:t>6.3</w:t>
      </w:r>
      <w:r>
        <w:rPr>
          <w:b/>
          <w:lang w:val="lt-LT"/>
        </w:rPr>
        <w:tab/>
        <w:t>Tinkamumo laikas</w:t>
      </w:r>
      <w:bookmarkEnd w:id="43"/>
      <w:bookmarkEnd w:id="44"/>
    </w:p>
    <w:p w14:paraId="0C419792" w14:textId="77777777" w:rsidR="00D77CF6" w:rsidRDefault="00D77CF6">
      <w:pPr>
        <w:pStyle w:val="Betarp"/>
        <w:rPr>
          <w:lang w:val="lt-LT"/>
        </w:rPr>
      </w:pPr>
    </w:p>
    <w:p w14:paraId="4B606D0B" w14:textId="4292FF75" w:rsidR="00D77CF6" w:rsidRDefault="00B25D9E">
      <w:pPr>
        <w:pStyle w:val="Betarp"/>
        <w:rPr>
          <w:lang w:val="lt-LT"/>
        </w:rPr>
      </w:pPr>
      <w:r>
        <w:rPr>
          <w:lang w:val="lt-LT"/>
        </w:rPr>
        <w:t>2 metai</w:t>
      </w:r>
    </w:p>
    <w:p w14:paraId="4D4410E4" w14:textId="1C5F0186" w:rsidR="00D77CF6" w:rsidRDefault="00B25D9E">
      <w:pPr>
        <w:pStyle w:val="Betarp"/>
        <w:rPr>
          <w:lang w:val="lt-LT"/>
        </w:rPr>
      </w:pPr>
      <w:r>
        <w:rPr>
          <w:u w:val="single"/>
          <w:lang w:val="lt-LT"/>
        </w:rPr>
        <w:t>Po pirmojo atidarymo</w:t>
      </w:r>
      <w:r>
        <w:rPr>
          <w:lang w:val="lt-LT"/>
        </w:rPr>
        <w:t>: 4 savaitės 2,5 ml buteliukui; 3 mėnesiai 6 ml buteliukui.</w:t>
      </w:r>
    </w:p>
    <w:p w14:paraId="4748E91F" w14:textId="77777777" w:rsidR="00D77CF6" w:rsidRDefault="00B25D9E">
      <w:pPr>
        <w:pStyle w:val="Betarp"/>
        <w:rPr>
          <w:lang w:val="lt-LT"/>
        </w:rPr>
      </w:pPr>
      <w:r>
        <w:rPr>
          <w:lang w:val="lt-LT"/>
        </w:rPr>
        <w:t>Šiam vaistiniam preparatui specialių laikymo sąlygų nereikia</w:t>
      </w:r>
    </w:p>
    <w:p w14:paraId="5324327C" w14:textId="77777777" w:rsidR="00D77CF6" w:rsidRDefault="00D77CF6">
      <w:pPr>
        <w:pStyle w:val="Betarp"/>
        <w:rPr>
          <w:b/>
          <w:lang w:val="lt-LT"/>
        </w:rPr>
      </w:pPr>
    </w:p>
    <w:p w14:paraId="2EB1B24A" w14:textId="77777777" w:rsidR="00D77CF6" w:rsidRDefault="00B25D9E">
      <w:pPr>
        <w:pStyle w:val="Betarp"/>
        <w:rPr>
          <w:b/>
          <w:lang w:val="lt-LT"/>
        </w:rPr>
      </w:pPr>
      <w:bookmarkStart w:id="45" w:name="_Toc129243244"/>
      <w:bookmarkStart w:id="46" w:name="_Toc129243119"/>
      <w:r>
        <w:rPr>
          <w:b/>
          <w:lang w:val="lt-LT"/>
        </w:rPr>
        <w:t>6.4</w:t>
      </w:r>
      <w:r>
        <w:rPr>
          <w:b/>
          <w:lang w:val="lt-LT"/>
        </w:rPr>
        <w:tab/>
        <w:t>Specialios laikymo sąlygos</w:t>
      </w:r>
      <w:bookmarkEnd w:id="45"/>
      <w:bookmarkEnd w:id="46"/>
    </w:p>
    <w:p w14:paraId="7211824B" w14:textId="77777777" w:rsidR="00D77CF6" w:rsidRDefault="00D77CF6">
      <w:pPr>
        <w:pStyle w:val="Betarp"/>
        <w:rPr>
          <w:lang w:val="lt-LT"/>
        </w:rPr>
      </w:pPr>
    </w:p>
    <w:p w14:paraId="24C0670B" w14:textId="77777777" w:rsidR="00D77CF6" w:rsidRDefault="00B25D9E">
      <w:pPr>
        <w:tabs>
          <w:tab w:val="left" w:pos="1296"/>
        </w:tabs>
        <w:spacing w:line="240" w:lineRule="auto"/>
        <w:jc w:val="both"/>
        <w:rPr>
          <w:rFonts w:eastAsia="Times New Roman"/>
          <w:lang w:val="lt-LT"/>
        </w:rPr>
      </w:pPr>
      <w:r>
        <w:rPr>
          <w:rFonts w:eastAsia="Times New Roman"/>
          <w:u w:val="single"/>
          <w:lang w:val="lt-LT"/>
        </w:rPr>
        <w:t>Prieš pirmąjį atidarymą</w:t>
      </w:r>
      <w:r>
        <w:rPr>
          <w:rFonts w:eastAsia="Times New Roman"/>
          <w:lang w:val="lt-LT"/>
        </w:rPr>
        <w:t>: šiam vaistiniam preparatui specialių laikymo sąlygų nereikia.</w:t>
      </w:r>
    </w:p>
    <w:p w14:paraId="043DC4C7" w14:textId="77777777" w:rsidR="00D77CF6" w:rsidRDefault="00B25D9E">
      <w:pPr>
        <w:pStyle w:val="Betarp"/>
        <w:rPr>
          <w:lang w:val="lt-LT"/>
        </w:rPr>
      </w:pPr>
      <w:r>
        <w:rPr>
          <w:rFonts w:eastAsia="Times New Roman"/>
          <w:u w:val="single"/>
          <w:lang w:val="lt-LT"/>
        </w:rPr>
        <w:t>Po pirmojo atidarymo</w:t>
      </w:r>
      <w:r>
        <w:rPr>
          <w:rFonts w:eastAsia="Times New Roman"/>
          <w:lang w:val="lt-LT"/>
        </w:rPr>
        <w:t>: laikymo sąlygas pirmą kartą atidarius vaistinį preparatą žr. 6.3 skyriuje.</w:t>
      </w:r>
    </w:p>
    <w:p w14:paraId="70C1CC70" w14:textId="77777777" w:rsidR="00D77CF6" w:rsidRDefault="00D77CF6">
      <w:pPr>
        <w:pStyle w:val="Betarp"/>
        <w:rPr>
          <w:b/>
          <w:lang w:val="lt-LT"/>
        </w:rPr>
      </w:pPr>
    </w:p>
    <w:p w14:paraId="55CCDAC6" w14:textId="77777777" w:rsidR="00D77CF6" w:rsidRDefault="00B25D9E">
      <w:pPr>
        <w:pStyle w:val="Betarp"/>
        <w:rPr>
          <w:b/>
          <w:lang w:val="lt-LT"/>
        </w:rPr>
      </w:pPr>
      <w:bookmarkStart w:id="47" w:name="_Toc129243245"/>
      <w:bookmarkStart w:id="48" w:name="_Toc129243120"/>
      <w:r>
        <w:rPr>
          <w:b/>
          <w:lang w:val="lt-LT"/>
        </w:rPr>
        <w:t>6.5</w:t>
      </w:r>
      <w:r>
        <w:rPr>
          <w:b/>
          <w:lang w:val="lt-LT"/>
        </w:rPr>
        <w:tab/>
        <w:t>Talpyklės pobūdis ir jos turinys</w:t>
      </w:r>
      <w:bookmarkEnd w:id="47"/>
      <w:bookmarkEnd w:id="48"/>
    </w:p>
    <w:p w14:paraId="2EF1C1F6" w14:textId="77777777" w:rsidR="00D77CF6" w:rsidRDefault="00D77CF6">
      <w:pPr>
        <w:pStyle w:val="Betarp"/>
        <w:rPr>
          <w:lang w:val="lt-LT"/>
        </w:rPr>
      </w:pPr>
    </w:p>
    <w:p w14:paraId="0BAAC0A7" w14:textId="77777777" w:rsidR="00D77CF6" w:rsidRDefault="00B25D9E">
      <w:pPr>
        <w:pStyle w:val="Betarp"/>
        <w:rPr>
          <w:lang w:val="lt-LT"/>
        </w:rPr>
      </w:pPr>
      <w:r>
        <w:rPr>
          <w:lang w:val="lt-LT"/>
        </w:rPr>
        <w:t>Daugiadozis buteliukas (DTPE) su pompa, sujungta su „Easygrip“ tiekimo sistemos pagalbininku, ir apsauginiu dangteliu (DTPE).</w:t>
      </w:r>
    </w:p>
    <w:p w14:paraId="30AD88AE" w14:textId="77777777" w:rsidR="00D77CF6" w:rsidRDefault="00B25D9E">
      <w:pPr>
        <w:pStyle w:val="Betarp"/>
        <w:rPr>
          <w:lang w:val="lt-LT"/>
        </w:rPr>
      </w:pPr>
      <w:r>
        <w:rPr>
          <w:lang w:val="lt-LT"/>
        </w:rPr>
        <w:t>Vienas 2,5 ml buteliukas (mažiausiai 80 lašų be konservantų – 4 savaičių trukmės gydymui).</w:t>
      </w:r>
    </w:p>
    <w:p w14:paraId="0C615607" w14:textId="77777777" w:rsidR="00D77CF6" w:rsidRDefault="00B25D9E">
      <w:pPr>
        <w:pStyle w:val="Betarp"/>
        <w:rPr>
          <w:lang w:val="lt-LT"/>
        </w:rPr>
      </w:pPr>
      <w:r>
        <w:rPr>
          <w:lang w:val="lt-LT"/>
        </w:rPr>
        <w:t>Vienas 6 ml buteliukas (mažiausiai 190 lašų be konservantų – 3 mėnesių trukmės gydymui).</w:t>
      </w:r>
    </w:p>
    <w:p w14:paraId="0D2E03B7" w14:textId="77777777" w:rsidR="00D77CF6" w:rsidRDefault="00B25D9E">
      <w:pPr>
        <w:pStyle w:val="Betarp"/>
        <w:rPr>
          <w:lang w:val="lt-LT"/>
        </w:rPr>
      </w:pPr>
      <w:r>
        <w:rPr>
          <w:lang w:val="lt-LT"/>
        </w:rPr>
        <w:t>Gali būti tiekiamos ne visų dydžių pakuotės.</w:t>
      </w:r>
    </w:p>
    <w:p w14:paraId="39514DA9" w14:textId="77777777" w:rsidR="00D77CF6" w:rsidRDefault="00D77CF6">
      <w:pPr>
        <w:pStyle w:val="Betarp"/>
        <w:rPr>
          <w:b/>
          <w:lang w:val="lt-LT"/>
        </w:rPr>
      </w:pPr>
    </w:p>
    <w:p w14:paraId="7F1D1F7D" w14:textId="77777777" w:rsidR="00D77CF6" w:rsidRDefault="00B25D9E">
      <w:pPr>
        <w:pStyle w:val="Betarp"/>
        <w:rPr>
          <w:b/>
          <w:lang w:val="lt-LT"/>
        </w:rPr>
      </w:pPr>
      <w:bookmarkStart w:id="49" w:name="_Toc129243246"/>
      <w:bookmarkStart w:id="50" w:name="_Toc129243121"/>
      <w:r>
        <w:rPr>
          <w:b/>
          <w:lang w:val="lt-LT"/>
        </w:rPr>
        <w:t>6.6</w:t>
      </w:r>
      <w:r>
        <w:rPr>
          <w:b/>
          <w:lang w:val="lt-LT"/>
        </w:rPr>
        <w:tab/>
        <w:t>Specialūs reikalavimai atliekoms tvarkyti</w:t>
      </w:r>
      <w:bookmarkEnd w:id="49"/>
      <w:bookmarkEnd w:id="50"/>
    </w:p>
    <w:p w14:paraId="1B4DE91C" w14:textId="77777777" w:rsidR="00D77CF6" w:rsidRDefault="00D77CF6">
      <w:pPr>
        <w:pStyle w:val="Betarp"/>
        <w:rPr>
          <w:lang w:val="lt-LT"/>
        </w:rPr>
      </w:pPr>
    </w:p>
    <w:p w14:paraId="16F4A3D4" w14:textId="77777777" w:rsidR="00D77CF6" w:rsidRDefault="00B25D9E">
      <w:pPr>
        <w:pStyle w:val="Betarp"/>
        <w:rPr>
          <w:lang w:val="lt-LT"/>
        </w:rPr>
      </w:pPr>
      <w:r>
        <w:rPr>
          <w:lang w:val="lt-LT"/>
        </w:rPr>
        <w:t>Specialių reikalavimų nėra.</w:t>
      </w:r>
    </w:p>
    <w:p w14:paraId="423DA886" w14:textId="77777777" w:rsidR="00D77CF6" w:rsidRDefault="00D77CF6">
      <w:pPr>
        <w:pStyle w:val="Betarp"/>
        <w:rPr>
          <w:lang w:val="lt-LT"/>
        </w:rPr>
      </w:pPr>
    </w:p>
    <w:p w14:paraId="5276F279" w14:textId="77777777" w:rsidR="00D77CF6" w:rsidRDefault="00D77CF6">
      <w:pPr>
        <w:pStyle w:val="Betarp"/>
        <w:rPr>
          <w:bCs/>
          <w:lang w:val="lt-LT"/>
        </w:rPr>
      </w:pPr>
    </w:p>
    <w:p w14:paraId="3840E4F9" w14:textId="77777777" w:rsidR="00D77CF6" w:rsidRDefault="00B25D9E">
      <w:pPr>
        <w:pStyle w:val="Betarp"/>
        <w:rPr>
          <w:b/>
          <w:lang w:val="lt-LT"/>
        </w:rPr>
      </w:pPr>
      <w:bookmarkStart w:id="51" w:name="_Toc129243247"/>
      <w:bookmarkStart w:id="52" w:name="_Toc129243122"/>
      <w:r>
        <w:rPr>
          <w:b/>
          <w:lang w:val="lt-LT"/>
        </w:rPr>
        <w:t>7.</w:t>
      </w:r>
      <w:r>
        <w:rPr>
          <w:b/>
          <w:lang w:val="lt-LT"/>
        </w:rPr>
        <w:tab/>
      </w:r>
      <w:bookmarkEnd w:id="51"/>
      <w:bookmarkEnd w:id="52"/>
      <w:r>
        <w:rPr>
          <w:b/>
          <w:lang w:val="lt-LT"/>
        </w:rPr>
        <w:t>REGISTRUOTOJAS</w:t>
      </w:r>
    </w:p>
    <w:p w14:paraId="2C9CF635" w14:textId="77777777" w:rsidR="00D77CF6" w:rsidRDefault="00D77CF6">
      <w:pPr>
        <w:pStyle w:val="Betarp"/>
        <w:rPr>
          <w:lang w:val="lt-LT"/>
        </w:rPr>
      </w:pPr>
    </w:p>
    <w:p w14:paraId="1C9E0940" w14:textId="77777777" w:rsidR="00D77CF6" w:rsidRDefault="00B25D9E">
      <w:pPr>
        <w:pStyle w:val="Betarp"/>
        <w:rPr>
          <w:lang w:val="lt-LT"/>
        </w:rPr>
      </w:pPr>
      <w:r>
        <w:rPr>
          <w:lang w:val="lt-LT"/>
        </w:rPr>
        <w:t>Laboratoires THEA</w:t>
      </w:r>
    </w:p>
    <w:p w14:paraId="75D5A65A" w14:textId="77777777" w:rsidR="00D77CF6" w:rsidRDefault="00B25D9E">
      <w:pPr>
        <w:pStyle w:val="Betarp"/>
        <w:rPr>
          <w:lang w:val="lt-LT"/>
        </w:rPr>
      </w:pPr>
      <w:r>
        <w:rPr>
          <w:lang w:val="lt-LT"/>
        </w:rPr>
        <w:t>12 rue Louis Blériot</w:t>
      </w:r>
    </w:p>
    <w:p w14:paraId="205BBD30" w14:textId="77777777" w:rsidR="00D77CF6" w:rsidRDefault="00B25D9E">
      <w:pPr>
        <w:pStyle w:val="Betarp"/>
        <w:rPr>
          <w:lang w:val="lt-LT"/>
        </w:rPr>
      </w:pPr>
      <w:r>
        <w:rPr>
          <w:lang w:val="lt-LT"/>
        </w:rPr>
        <w:t>63017 Clermont-Ferrand Cedex 2</w:t>
      </w:r>
    </w:p>
    <w:p w14:paraId="7A75A2E4" w14:textId="77777777" w:rsidR="00D77CF6" w:rsidRDefault="00B25D9E">
      <w:pPr>
        <w:pStyle w:val="Betarp"/>
        <w:rPr>
          <w:lang w:val="lt-LT"/>
        </w:rPr>
      </w:pPr>
      <w:r>
        <w:rPr>
          <w:lang w:val="lt-LT"/>
        </w:rPr>
        <w:t>Prancūzija</w:t>
      </w:r>
    </w:p>
    <w:p w14:paraId="0DF6F779" w14:textId="77777777" w:rsidR="00D77CF6" w:rsidRDefault="00D77CF6">
      <w:pPr>
        <w:pStyle w:val="Betarp"/>
        <w:rPr>
          <w:lang w:val="lt-LT"/>
        </w:rPr>
      </w:pPr>
    </w:p>
    <w:p w14:paraId="56808D23" w14:textId="77777777" w:rsidR="00D77CF6" w:rsidRDefault="00D77CF6">
      <w:pPr>
        <w:pStyle w:val="Betarp"/>
        <w:rPr>
          <w:bCs/>
          <w:lang w:val="lt-LT"/>
        </w:rPr>
      </w:pPr>
    </w:p>
    <w:p w14:paraId="1CB349B0" w14:textId="77777777" w:rsidR="00D77CF6" w:rsidRDefault="00B25D9E">
      <w:pPr>
        <w:pStyle w:val="Betarp"/>
        <w:rPr>
          <w:b/>
          <w:lang w:val="lt-LT"/>
        </w:rPr>
      </w:pPr>
      <w:bookmarkStart w:id="53" w:name="_Toc129243248"/>
      <w:bookmarkStart w:id="54" w:name="_Toc129243123"/>
      <w:r>
        <w:rPr>
          <w:b/>
          <w:lang w:val="lt-LT"/>
        </w:rPr>
        <w:t>8.</w:t>
      </w:r>
      <w:r>
        <w:rPr>
          <w:b/>
          <w:lang w:val="lt-LT"/>
        </w:rPr>
        <w:tab/>
        <w:t>REGISTRACIJOS PAŽYMĖJIMO NUMERIS</w:t>
      </w:r>
      <w:bookmarkEnd w:id="53"/>
      <w:bookmarkEnd w:id="54"/>
      <w:r>
        <w:rPr>
          <w:b/>
          <w:lang w:val="lt-LT"/>
        </w:rPr>
        <w:t xml:space="preserve"> (-IAI)</w:t>
      </w:r>
    </w:p>
    <w:p w14:paraId="251EB3D7" w14:textId="2FF534AB" w:rsidR="00D77CF6" w:rsidRDefault="00D77CF6">
      <w:pPr>
        <w:pStyle w:val="Betarp"/>
        <w:rPr>
          <w:lang w:val="lt-LT"/>
        </w:rPr>
      </w:pPr>
    </w:p>
    <w:p w14:paraId="150808A6" w14:textId="3B102211" w:rsidR="00E91085" w:rsidRDefault="00E91085" w:rsidP="00E91085">
      <w:pPr>
        <w:rPr>
          <w:bCs/>
          <w:lang w:val="lt-LT"/>
        </w:rPr>
      </w:pPr>
      <w:r>
        <w:rPr>
          <w:lang w:val="lt-LT"/>
        </w:rPr>
        <w:t>LT/1/21/4683</w:t>
      </w:r>
      <w:r w:rsidRPr="00F44299">
        <w:rPr>
          <w:lang w:val="lt-LT"/>
        </w:rPr>
        <w:t>/001</w:t>
      </w:r>
      <w:r w:rsidRPr="00F44299">
        <w:rPr>
          <w:bCs/>
          <w:lang w:val="lt-LT"/>
        </w:rPr>
        <w:t xml:space="preserve"> – </w:t>
      </w:r>
      <w:r>
        <w:rPr>
          <w:bCs/>
          <w:lang w:val="lt-LT"/>
        </w:rPr>
        <w:t>2,5 ml</w:t>
      </w:r>
      <w:r w:rsidRPr="00F44299">
        <w:rPr>
          <w:bCs/>
          <w:lang w:val="lt-LT"/>
        </w:rPr>
        <w:t>, N</w:t>
      </w:r>
      <w:r>
        <w:rPr>
          <w:bCs/>
          <w:lang w:val="lt-LT"/>
        </w:rPr>
        <w:t>1</w:t>
      </w:r>
    </w:p>
    <w:p w14:paraId="6CF2466E" w14:textId="6FC8C345" w:rsidR="00E91085" w:rsidRDefault="00E91085" w:rsidP="00E91085">
      <w:pPr>
        <w:pStyle w:val="Betarp"/>
        <w:rPr>
          <w:lang w:val="lt-LT"/>
        </w:rPr>
      </w:pPr>
      <w:r>
        <w:rPr>
          <w:lang w:val="lt-LT"/>
        </w:rPr>
        <w:t>LT/1/21/4683/002 – 6 </w:t>
      </w:r>
      <w:r w:rsidRPr="00520BE0">
        <w:rPr>
          <w:lang w:val="lt-LT"/>
        </w:rPr>
        <w:t>ml, N1</w:t>
      </w:r>
    </w:p>
    <w:p w14:paraId="25E5FCD9" w14:textId="77777777" w:rsidR="00D77CF6" w:rsidRDefault="00D77CF6">
      <w:pPr>
        <w:pStyle w:val="Betarp"/>
        <w:rPr>
          <w:lang w:val="lt-LT"/>
        </w:rPr>
      </w:pPr>
    </w:p>
    <w:p w14:paraId="0321DE16" w14:textId="77777777" w:rsidR="00D77CF6" w:rsidRDefault="00D77CF6">
      <w:pPr>
        <w:pStyle w:val="Betarp"/>
        <w:rPr>
          <w:bCs/>
          <w:lang w:val="lt-LT"/>
        </w:rPr>
      </w:pPr>
    </w:p>
    <w:p w14:paraId="4551AFE2" w14:textId="77777777" w:rsidR="00D77CF6" w:rsidRDefault="00B25D9E">
      <w:pPr>
        <w:pStyle w:val="Betarp"/>
        <w:rPr>
          <w:b/>
          <w:lang w:val="lt-LT"/>
        </w:rPr>
      </w:pPr>
      <w:bookmarkStart w:id="55" w:name="_Toc129243249"/>
      <w:bookmarkStart w:id="56" w:name="_Toc129243124"/>
      <w:r>
        <w:rPr>
          <w:b/>
          <w:lang w:val="lt-LT"/>
        </w:rPr>
        <w:t>9.</w:t>
      </w:r>
      <w:r>
        <w:rPr>
          <w:b/>
          <w:lang w:val="lt-LT"/>
        </w:rPr>
        <w:tab/>
        <w:t>REGISTRAVIMO / PERREGISTRAVIMO DATA</w:t>
      </w:r>
      <w:bookmarkEnd w:id="55"/>
      <w:bookmarkEnd w:id="56"/>
    </w:p>
    <w:p w14:paraId="69D54C4A" w14:textId="77777777" w:rsidR="00D77CF6" w:rsidRDefault="00D77CF6">
      <w:pPr>
        <w:pStyle w:val="Betarp"/>
        <w:rPr>
          <w:lang w:val="lt-LT"/>
        </w:rPr>
      </w:pPr>
    </w:p>
    <w:p w14:paraId="36DCA5E6" w14:textId="36DFACE0" w:rsidR="00D77CF6" w:rsidRDefault="00B25D9E">
      <w:pPr>
        <w:pStyle w:val="Betarp"/>
        <w:rPr>
          <w:szCs w:val="24"/>
          <w:lang w:val="lt-LT"/>
        </w:rPr>
      </w:pPr>
      <w:r>
        <w:rPr>
          <w:szCs w:val="24"/>
          <w:lang w:val="lt-LT"/>
        </w:rPr>
        <w:t xml:space="preserve">Registravimo data </w:t>
      </w:r>
      <w:r w:rsidR="00E91085">
        <w:rPr>
          <w:szCs w:val="24"/>
          <w:lang w:val="lt-LT"/>
        </w:rPr>
        <w:t>2021 m. vasario 10 d.</w:t>
      </w:r>
    </w:p>
    <w:p w14:paraId="49D53B6D" w14:textId="7FE417C3" w:rsidR="00D77CF6" w:rsidRDefault="00E90443">
      <w:pPr>
        <w:pStyle w:val="Betarp"/>
        <w:rPr>
          <w:lang w:val="lt-LT"/>
        </w:rPr>
      </w:pPr>
      <w:r>
        <w:rPr>
          <w:lang w:val="lt-LT"/>
        </w:rPr>
        <w:t>Paskutinio perregistravimo data</w:t>
      </w:r>
      <w:r w:rsidR="00602534">
        <w:rPr>
          <w:lang w:val="lt-LT"/>
        </w:rPr>
        <w:t xml:space="preserve"> 2023 m. birželio 21 d.</w:t>
      </w:r>
    </w:p>
    <w:p w14:paraId="26F41561" w14:textId="77777777" w:rsidR="00E90443" w:rsidRDefault="00E90443">
      <w:pPr>
        <w:pStyle w:val="Betarp"/>
        <w:rPr>
          <w:lang w:val="lt-LT"/>
        </w:rPr>
      </w:pPr>
    </w:p>
    <w:p w14:paraId="14559A65" w14:textId="77777777" w:rsidR="00D77CF6" w:rsidRDefault="00D77CF6">
      <w:pPr>
        <w:pStyle w:val="Betarp"/>
        <w:rPr>
          <w:bCs/>
          <w:lang w:val="lt-LT"/>
        </w:rPr>
      </w:pPr>
    </w:p>
    <w:p w14:paraId="3310C758" w14:textId="77777777" w:rsidR="00D77CF6" w:rsidRDefault="00B25D9E">
      <w:pPr>
        <w:pStyle w:val="Betarp"/>
        <w:rPr>
          <w:b/>
          <w:lang w:val="lt-LT"/>
        </w:rPr>
      </w:pPr>
      <w:bookmarkStart w:id="57" w:name="_Toc129243250"/>
      <w:bookmarkStart w:id="58" w:name="_Toc129243125"/>
      <w:r>
        <w:rPr>
          <w:b/>
          <w:lang w:val="lt-LT"/>
        </w:rPr>
        <w:t>10.</w:t>
      </w:r>
      <w:r>
        <w:rPr>
          <w:b/>
          <w:lang w:val="lt-LT"/>
        </w:rPr>
        <w:tab/>
        <w:t>TEKSTO PERŽIŪROS DATA</w:t>
      </w:r>
      <w:bookmarkEnd w:id="57"/>
      <w:bookmarkEnd w:id="58"/>
    </w:p>
    <w:p w14:paraId="25BC4CB8" w14:textId="04021162" w:rsidR="00D77CF6" w:rsidRDefault="00D77CF6">
      <w:pPr>
        <w:pStyle w:val="Betarp"/>
        <w:rPr>
          <w:szCs w:val="24"/>
          <w:lang w:val="lt-LT"/>
        </w:rPr>
      </w:pPr>
    </w:p>
    <w:p w14:paraId="5E61818A" w14:textId="469A334A" w:rsidR="00602534" w:rsidRDefault="00602534">
      <w:pPr>
        <w:pStyle w:val="Betarp"/>
        <w:rPr>
          <w:szCs w:val="24"/>
          <w:lang w:val="lt-LT"/>
        </w:rPr>
      </w:pPr>
      <w:r>
        <w:rPr>
          <w:lang w:val="lt-LT"/>
        </w:rPr>
        <w:t>2023 m. birželio 21 d.</w:t>
      </w:r>
    </w:p>
    <w:p w14:paraId="6B87C5BE" w14:textId="77777777" w:rsidR="00D77CF6" w:rsidRDefault="00D77CF6">
      <w:pPr>
        <w:pStyle w:val="Betarp"/>
        <w:rPr>
          <w:lang w:val="lt-LT"/>
        </w:rPr>
      </w:pPr>
    </w:p>
    <w:p w14:paraId="52B9F8D7" w14:textId="77777777" w:rsidR="00D77CF6" w:rsidRPr="00D7535D" w:rsidRDefault="00B25D9E">
      <w:pPr>
        <w:pStyle w:val="Betarp"/>
        <w:rPr>
          <w:lang w:val="lt-LT"/>
        </w:rPr>
      </w:pPr>
      <w:r>
        <w:rPr>
          <w:lang w:val="lt-LT"/>
        </w:rPr>
        <w:t>Išsami informacija apie šį vaistinį preparatą pateikiama Valstybinės vaistų kontrolės tarnybos prie Lietuvos Respublikos sveikatos apsaugos ministerijos tinklalapyje</w:t>
      </w:r>
      <w:r>
        <w:rPr>
          <w:i/>
          <w:lang w:val="lt-LT"/>
        </w:rPr>
        <w:t xml:space="preserve"> </w:t>
      </w:r>
      <w:hyperlink r:id="rId13">
        <w:r>
          <w:rPr>
            <w:rStyle w:val="Internetosaitas"/>
            <w:lang w:val="lt-LT"/>
          </w:rPr>
          <w:t>http://www.vvkt.lt</w:t>
        </w:r>
      </w:hyperlink>
    </w:p>
    <w:p w14:paraId="438C42D2" w14:textId="77777777" w:rsidR="00D77CF6" w:rsidRDefault="00B25D9E">
      <w:pPr>
        <w:pStyle w:val="Betarp"/>
        <w:rPr>
          <w:lang w:val="lt-LT"/>
        </w:rPr>
      </w:pPr>
      <w:r w:rsidRPr="00D7535D">
        <w:rPr>
          <w:lang w:val="lt-LT"/>
        </w:rPr>
        <w:br w:type="page"/>
      </w:r>
    </w:p>
    <w:p w14:paraId="76EC4FA6" w14:textId="77777777" w:rsidR="00D77CF6" w:rsidRDefault="00D77CF6">
      <w:pPr>
        <w:rPr>
          <w:lang w:val="lt-LT"/>
        </w:rPr>
      </w:pPr>
    </w:p>
    <w:p w14:paraId="62B87994" w14:textId="77777777" w:rsidR="00D77CF6" w:rsidRDefault="00D77CF6">
      <w:pPr>
        <w:rPr>
          <w:lang w:val="lt-LT"/>
        </w:rPr>
      </w:pPr>
    </w:p>
    <w:p w14:paraId="5A1D20B8" w14:textId="77777777" w:rsidR="00D77CF6" w:rsidRDefault="00D77CF6">
      <w:pPr>
        <w:rPr>
          <w:lang w:val="lt-LT"/>
        </w:rPr>
      </w:pPr>
    </w:p>
    <w:p w14:paraId="2A7D19A6" w14:textId="77777777" w:rsidR="00D77CF6" w:rsidRDefault="00D77CF6">
      <w:pPr>
        <w:rPr>
          <w:lang w:val="lt-LT"/>
        </w:rPr>
      </w:pPr>
    </w:p>
    <w:p w14:paraId="1C4DB0E0" w14:textId="77777777" w:rsidR="00D77CF6" w:rsidRDefault="00D77CF6">
      <w:pPr>
        <w:ind w:left="1701" w:firstLine="993"/>
        <w:rPr>
          <w:lang w:val="lt-LT"/>
        </w:rPr>
      </w:pPr>
    </w:p>
    <w:p w14:paraId="6B87445C" w14:textId="77777777" w:rsidR="00D77CF6" w:rsidRDefault="00D77CF6">
      <w:pPr>
        <w:rPr>
          <w:lang w:val="lt-LT"/>
        </w:rPr>
      </w:pPr>
    </w:p>
    <w:p w14:paraId="3F566619" w14:textId="77777777" w:rsidR="00D77CF6" w:rsidRDefault="00D77CF6">
      <w:pPr>
        <w:rPr>
          <w:lang w:val="lt-LT"/>
        </w:rPr>
      </w:pPr>
    </w:p>
    <w:p w14:paraId="70979D7A" w14:textId="77777777" w:rsidR="00D77CF6" w:rsidRDefault="00D77CF6">
      <w:pPr>
        <w:rPr>
          <w:lang w:val="lt-LT"/>
        </w:rPr>
      </w:pPr>
    </w:p>
    <w:p w14:paraId="03814DB5" w14:textId="77777777" w:rsidR="00D77CF6" w:rsidRDefault="00D77CF6">
      <w:pPr>
        <w:rPr>
          <w:lang w:val="lt-LT"/>
        </w:rPr>
      </w:pPr>
    </w:p>
    <w:p w14:paraId="128EB9F3" w14:textId="77777777" w:rsidR="00D77CF6" w:rsidRDefault="00D77CF6">
      <w:pPr>
        <w:rPr>
          <w:lang w:val="lt-LT"/>
        </w:rPr>
      </w:pPr>
    </w:p>
    <w:p w14:paraId="088064AA" w14:textId="77777777" w:rsidR="00D77CF6" w:rsidRDefault="00D77CF6">
      <w:pPr>
        <w:rPr>
          <w:lang w:val="lt-LT"/>
        </w:rPr>
      </w:pPr>
    </w:p>
    <w:p w14:paraId="40A288E0" w14:textId="77777777" w:rsidR="00D77CF6" w:rsidRDefault="00D77CF6">
      <w:pPr>
        <w:rPr>
          <w:lang w:val="lt-LT"/>
        </w:rPr>
      </w:pPr>
    </w:p>
    <w:p w14:paraId="3669DF47" w14:textId="77777777" w:rsidR="00D77CF6" w:rsidRDefault="00D77CF6">
      <w:pPr>
        <w:rPr>
          <w:b/>
          <w:lang w:val="lt-LT"/>
        </w:rPr>
      </w:pPr>
    </w:p>
    <w:p w14:paraId="16A781D5" w14:textId="77777777" w:rsidR="00D77CF6" w:rsidRDefault="00D77CF6">
      <w:pPr>
        <w:rPr>
          <w:b/>
          <w:lang w:val="lt-LT"/>
        </w:rPr>
      </w:pPr>
    </w:p>
    <w:p w14:paraId="332C9675" w14:textId="77777777" w:rsidR="00D77CF6" w:rsidRDefault="00D77CF6">
      <w:pPr>
        <w:rPr>
          <w:b/>
          <w:lang w:val="lt-LT"/>
        </w:rPr>
      </w:pPr>
    </w:p>
    <w:p w14:paraId="5094C452" w14:textId="77777777" w:rsidR="00D77CF6" w:rsidRDefault="00D77CF6">
      <w:pPr>
        <w:rPr>
          <w:b/>
          <w:lang w:val="lt-LT"/>
        </w:rPr>
      </w:pPr>
    </w:p>
    <w:p w14:paraId="763C5201" w14:textId="77777777" w:rsidR="00D77CF6" w:rsidRDefault="00D77CF6">
      <w:pPr>
        <w:pStyle w:val="Antrat2"/>
        <w:spacing w:before="0" w:line="240" w:lineRule="auto"/>
        <w:jc w:val="center"/>
        <w:rPr>
          <w:rFonts w:ascii="Times New Roman" w:hAnsi="Times New Roman"/>
          <w:b/>
          <w:i/>
          <w:iCs/>
          <w:color w:val="auto"/>
          <w:sz w:val="22"/>
          <w:szCs w:val="22"/>
          <w:lang w:val="lt-LT"/>
        </w:rPr>
      </w:pPr>
    </w:p>
    <w:p w14:paraId="0322F6DD" w14:textId="77777777" w:rsidR="00D77CF6" w:rsidRDefault="00D77CF6">
      <w:pPr>
        <w:pStyle w:val="Antrat2"/>
        <w:spacing w:before="0" w:line="240" w:lineRule="auto"/>
        <w:jc w:val="center"/>
        <w:rPr>
          <w:rFonts w:ascii="Times New Roman" w:hAnsi="Times New Roman"/>
          <w:b/>
          <w:i/>
          <w:iCs/>
          <w:color w:val="auto"/>
          <w:sz w:val="22"/>
          <w:szCs w:val="22"/>
          <w:lang w:val="lt-LT"/>
        </w:rPr>
      </w:pPr>
    </w:p>
    <w:p w14:paraId="6F65318E" w14:textId="77777777" w:rsidR="00D77CF6" w:rsidRDefault="00D77CF6">
      <w:pPr>
        <w:pStyle w:val="Antrat2"/>
        <w:spacing w:before="0" w:line="240" w:lineRule="auto"/>
        <w:jc w:val="center"/>
        <w:rPr>
          <w:rFonts w:ascii="Times New Roman" w:hAnsi="Times New Roman"/>
          <w:b/>
          <w:i/>
          <w:iCs/>
          <w:color w:val="auto"/>
          <w:sz w:val="22"/>
          <w:szCs w:val="22"/>
          <w:lang w:val="lt-LT"/>
        </w:rPr>
      </w:pPr>
    </w:p>
    <w:p w14:paraId="182B1A6A" w14:textId="77777777" w:rsidR="00D77CF6" w:rsidRDefault="00D77CF6">
      <w:pPr>
        <w:pStyle w:val="Antrat2"/>
        <w:spacing w:before="0" w:line="240" w:lineRule="auto"/>
        <w:jc w:val="center"/>
        <w:rPr>
          <w:rFonts w:ascii="Times New Roman" w:hAnsi="Times New Roman"/>
          <w:b/>
          <w:i/>
          <w:iCs/>
          <w:color w:val="auto"/>
          <w:sz w:val="22"/>
          <w:szCs w:val="22"/>
          <w:lang w:val="lt-LT"/>
        </w:rPr>
      </w:pPr>
    </w:p>
    <w:p w14:paraId="48A1086F" w14:textId="77777777" w:rsidR="00D77CF6" w:rsidRDefault="00D77CF6">
      <w:pPr>
        <w:pStyle w:val="Betarp"/>
        <w:jc w:val="center"/>
        <w:rPr>
          <w:b/>
          <w:lang w:val="lt-LT"/>
        </w:rPr>
      </w:pPr>
    </w:p>
    <w:p w14:paraId="64CD5F71" w14:textId="77777777" w:rsidR="00D77CF6" w:rsidRDefault="00D77CF6">
      <w:pPr>
        <w:pStyle w:val="Betarp"/>
        <w:jc w:val="center"/>
        <w:rPr>
          <w:b/>
          <w:lang w:val="lt-LT"/>
        </w:rPr>
      </w:pPr>
    </w:p>
    <w:p w14:paraId="35D35914" w14:textId="77777777" w:rsidR="00D77CF6" w:rsidRDefault="00D77CF6">
      <w:pPr>
        <w:pStyle w:val="Betarp"/>
        <w:jc w:val="center"/>
        <w:rPr>
          <w:b/>
          <w:lang w:val="lt-LT"/>
        </w:rPr>
      </w:pPr>
    </w:p>
    <w:p w14:paraId="080D24BE" w14:textId="77777777" w:rsidR="00D77CF6" w:rsidRDefault="00B25D9E">
      <w:pPr>
        <w:pStyle w:val="Betarp"/>
        <w:jc w:val="center"/>
        <w:rPr>
          <w:b/>
          <w:lang w:val="lt-LT"/>
        </w:rPr>
      </w:pPr>
      <w:r>
        <w:rPr>
          <w:b/>
          <w:lang w:val="lt-LT"/>
        </w:rPr>
        <w:t>II PRIEDAS</w:t>
      </w:r>
    </w:p>
    <w:p w14:paraId="7B4743A5" w14:textId="77777777" w:rsidR="00D77CF6" w:rsidRDefault="00D77CF6">
      <w:pPr>
        <w:pStyle w:val="Betarp"/>
        <w:jc w:val="center"/>
        <w:rPr>
          <w:b/>
          <w:lang w:val="lt-LT"/>
        </w:rPr>
      </w:pPr>
    </w:p>
    <w:p w14:paraId="77FAFABD" w14:textId="77777777" w:rsidR="00D77CF6" w:rsidRDefault="00B25D9E">
      <w:pPr>
        <w:pStyle w:val="Betarp"/>
        <w:jc w:val="center"/>
        <w:rPr>
          <w:b/>
          <w:lang w:val="lt-LT"/>
        </w:rPr>
      </w:pPr>
      <w:r>
        <w:rPr>
          <w:b/>
          <w:lang w:val="lt-LT"/>
        </w:rPr>
        <w:t>REGISTRACIJOS SĄLYGOS</w:t>
      </w:r>
    </w:p>
    <w:p w14:paraId="727210C7" w14:textId="77777777" w:rsidR="00D77CF6" w:rsidRDefault="00D77CF6">
      <w:pPr>
        <w:pStyle w:val="Betarp"/>
        <w:jc w:val="center"/>
        <w:rPr>
          <w:b/>
          <w:lang w:val="lt-LT"/>
        </w:rPr>
      </w:pPr>
    </w:p>
    <w:p w14:paraId="1CFAA6B2" w14:textId="77777777" w:rsidR="00D77CF6" w:rsidRDefault="00B25D9E">
      <w:pPr>
        <w:pStyle w:val="Betarp"/>
        <w:ind w:left="1701" w:hanging="567"/>
        <w:rPr>
          <w:b/>
          <w:lang w:val="lt-LT"/>
        </w:rPr>
      </w:pPr>
      <w:r>
        <w:rPr>
          <w:b/>
          <w:lang w:val="lt-LT"/>
        </w:rPr>
        <w:t>A.</w:t>
      </w:r>
      <w:r>
        <w:rPr>
          <w:b/>
          <w:lang w:val="lt-LT"/>
        </w:rPr>
        <w:tab/>
        <w:t>GAMINTOJAS (-AI), ATSAKINGAS (-I) UŽ SERIJŲ IŠLEIDIMĄ</w:t>
      </w:r>
    </w:p>
    <w:p w14:paraId="56D9ACA4" w14:textId="77777777" w:rsidR="00D77CF6" w:rsidRDefault="00D77CF6">
      <w:pPr>
        <w:pStyle w:val="Betarp"/>
        <w:ind w:left="1701" w:hanging="567"/>
        <w:rPr>
          <w:b/>
          <w:lang w:val="lt-LT"/>
        </w:rPr>
      </w:pPr>
    </w:p>
    <w:p w14:paraId="77C0EF55" w14:textId="77777777" w:rsidR="00D77CF6" w:rsidRDefault="00B25D9E">
      <w:pPr>
        <w:pStyle w:val="Betarp"/>
        <w:ind w:left="1701" w:hanging="567"/>
        <w:rPr>
          <w:b/>
          <w:lang w:val="lt-LT"/>
        </w:rPr>
      </w:pPr>
      <w:r>
        <w:rPr>
          <w:b/>
          <w:lang w:val="lt-LT"/>
        </w:rPr>
        <w:t>B.</w:t>
      </w:r>
      <w:r>
        <w:rPr>
          <w:b/>
          <w:lang w:val="lt-LT"/>
        </w:rPr>
        <w:tab/>
        <w:t>TIEKIMO IR VARTOJIMO SĄLYGOS AR APRIBOJIMAI</w:t>
      </w:r>
    </w:p>
    <w:p w14:paraId="3FAA9554" w14:textId="77777777" w:rsidR="00D77CF6" w:rsidRDefault="00B25D9E">
      <w:pPr>
        <w:suppressLineNumbers/>
        <w:ind w:right="1558"/>
        <w:rPr>
          <w:lang w:val="lt-LT"/>
        </w:rPr>
      </w:pPr>
      <w:r w:rsidRPr="00D7535D">
        <w:rPr>
          <w:lang w:val="lt-LT"/>
        </w:rPr>
        <w:br w:type="page"/>
      </w:r>
    </w:p>
    <w:p w14:paraId="0E2F7E54" w14:textId="77777777" w:rsidR="00D77CF6" w:rsidRDefault="00B25D9E">
      <w:pPr>
        <w:pStyle w:val="Betarp"/>
        <w:rPr>
          <w:b/>
          <w:lang w:val="lt-LT"/>
        </w:rPr>
      </w:pPr>
      <w:r>
        <w:rPr>
          <w:b/>
          <w:lang w:val="lt-LT"/>
        </w:rPr>
        <w:t>A.</w:t>
      </w:r>
      <w:r>
        <w:rPr>
          <w:b/>
          <w:lang w:val="lt-LT"/>
        </w:rPr>
        <w:tab/>
        <w:t>GAMINTOJAS (-AI), ATSAKINGAS (-I) UŽ SERIJŲ IŠLEIDIMĄ</w:t>
      </w:r>
    </w:p>
    <w:p w14:paraId="4F0E0294" w14:textId="77777777" w:rsidR="00D77CF6" w:rsidRDefault="00D77CF6">
      <w:pPr>
        <w:pStyle w:val="Betarp"/>
        <w:rPr>
          <w:lang w:val="lt-LT"/>
        </w:rPr>
      </w:pPr>
    </w:p>
    <w:p w14:paraId="6785CC18" w14:textId="77777777" w:rsidR="00D77CF6" w:rsidRDefault="00B25D9E">
      <w:pPr>
        <w:pStyle w:val="Betarp"/>
        <w:rPr>
          <w:lang w:val="lt-LT"/>
        </w:rPr>
      </w:pPr>
      <w:r>
        <w:rPr>
          <w:u w:val="single"/>
          <w:lang w:val="lt-LT"/>
        </w:rPr>
        <w:t>Gamintojo (-ų), atsakingo (-ų) už serijų išleidimą, pavadinimas (-ai) ir adresas (-ai)</w:t>
      </w:r>
    </w:p>
    <w:p w14:paraId="12F396E1" w14:textId="77777777" w:rsidR="00D77CF6" w:rsidRDefault="00D77CF6">
      <w:pPr>
        <w:pStyle w:val="Betarp"/>
        <w:rPr>
          <w:lang w:val="lt-LT"/>
        </w:rPr>
      </w:pPr>
    </w:p>
    <w:p w14:paraId="25EFE745" w14:textId="77777777" w:rsidR="00D77CF6" w:rsidRDefault="00B25D9E">
      <w:pPr>
        <w:pStyle w:val="Betarp"/>
        <w:rPr>
          <w:lang w:val="fr-FR"/>
        </w:rPr>
      </w:pPr>
      <w:r>
        <w:rPr>
          <w:lang w:val="fr-FR"/>
        </w:rPr>
        <w:t>DELPHARM TOURS</w:t>
      </w:r>
    </w:p>
    <w:p w14:paraId="7F87F803" w14:textId="77777777" w:rsidR="00D77CF6" w:rsidRDefault="00B25D9E">
      <w:pPr>
        <w:pStyle w:val="Betarp"/>
        <w:rPr>
          <w:lang w:val="fr-FR"/>
        </w:rPr>
      </w:pPr>
      <w:r>
        <w:rPr>
          <w:lang w:val="fr-FR"/>
        </w:rPr>
        <w:t>Rue Paul Langevin</w:t>
      </w:r>
    </w:p>
    <w:p w14:paraId="1E4282E7" w14:textId="77777777" w:rsidR="00D77CF6" w:rsidRDefault="00B25D9E">
      <w:pPr>
        <w:pStyle w:val="Betarp"/>
        <w:rPr>
          <w:lang w:val="lt-LT"/>
        </w:rPr>
      </w:pPr>
      <w:r>
        <w:rPr>
          <w:lang w:val="fr-FR"/>
        </w:rPr>
        <w:t>37170 Chambray Les Tours</w:t>
      </w:r>
    </w:p>
    <w:p w14:paraId="78A49C79" w14:textId="77777777" w:rsidR="00D77CF6" w:rsidRDefault="00B25D9E">
      <w:pPr>
        <w:pStyle w:val="Betarp"/>
        <w:rPr>
          <w:lang w:val="lt-LT"/>
        </w:rPr>
      </w:pPr>
      <w:r>
        <w:rPr>
          <w:lang w:val="lt-LT"/>
        </w:rPr>
        <w:t>Prancūzija</w:t>
      </w:r>
    </w:p>
    <w:p w14:paraId="5E13D5E0" w14:textId="77777777" w:rsidR="00D77CF6" w:rsidRDefault="00D77CF6">
      <w:pPr>
        <w:pStyle w:val="Betarp"/>
        <w:rPr>
          <w:lang w:val="lt-LT"/>
        </w:rPr>
      </w:pPr>
    </w:p>
    <w:p w14:paraId="3A00DF65" w14:textId="77777777" w:rsidR="00D77CF6" w:rsidRDefault="00B25D9E">
      <w:pPr>
        <w:pStyle w:val="Betarp"/>
        <w:rPr>
          <w:lang w:val="lt-LT"/>
        </w:rPr>
      </w:pPr>
      <w:r>
        <w:rPr>
          <w:lang w:val="lt-LT"/>
        </w:rPr>
        <w:t>arba</w:t>
      </w:r>
    </w:p>
    <w:p w14:paraId="4E870A8B" w14:textId="77777777" w:rsidR="00D77CF6" w:rsidRDefault="00D77CF6">
      <w:pPr>
        <w:pStyle w:val="Betarp"/>
        <w:rPr>
          <w:lang w:val="lt-LT"/>
        </w:rPr>
      </w:pPr>
    </w:p>
    <w:p w14:paraId="2DAC6312" w14:textId="77777777" w:rsidR="00D77CF6" w:rsidRDefault="00B25D9E">
      <w:pPr>
        <w:pStyle w:val="Betarp"/>
        <w:rPr>
          <w:lang w:val="lt-LT"/>
        </w:rPr>
      </w:pPr>
      <w:r>
        <w:rPr>
          <w:lang w:val="lt-LT"/>
        </w:rPr>
        <w:t>Laboratoires THEA</w:t>
      </w:r>
    </w:p>
    <w:p w14:paraId="49616495" w14:textId="77777777" w:rsidR="00D77CF6" w:rsidRDefault="00B25D9E">
      <w:pPr>
        <w:pStyle w:val="Betarp"/>
        <w:rPr>
          <w:lang w:val="lt-LT"/>
        </w:rPr>
      </w:pPr>
      <w:r>
        <w:rPr>
          <w:lang w:val="lt-LT"/>
        </w:rPr>
        <w:t>12 rue Louis Blériot</w:t>
      </w:r>
    </w:p>
    <w:p w14:paraId="385C8710" w14:textId="77777777" w:rsidR="00D77CF6" w:rsidRDefault="00B25D9E">
      <w:pPr>
        <w:pStyle w:val="Betarp"/>
        <w:rPr>
          <w:lang w:val="lt-LT"/>
        </w:rPr>
      </w:pPr>
      <w:r>
        <w:rPr>
          <w:lang w:val="lt-LT"/>
        </w:rPr>
        <w:t>63017 Clermont-Ferrand Cedex 2</w:t>
      </w:r>
    </w:p>
    <w:p w14:paraId="50B64FF9" w14:textId="77777777" w:rsidR="00D77CF6" w:rsidRDefault="00B25D9E">
      <w:pPr>
        <w:pStyle w:val="Betarp"/>
        <w:rPr>
          <w:lang w:val="lt-LT"/>
        </w:rPr>
      </w:pPr>
      <w:r>
        <w:rPr>
          <w:lang w:val="lt-LT"/>
        </w:rPr>
        <w:t>Prancūzija</w:t>
      </w:r>
    </w:p>
    <w:p w14:paraId="7D26D127" w14:textId="77777777" w:rsidR="00D77CF6" w:rsidRDefault="00D77CF6">
      <w:pPr>
        <w:pStyle w:val="Betarp"/>
        <w:rPr>
          <w:caps/>
          <w:lang w:val="lt-LT"/>
        </w:rPr>
      </w:pPr>
    </w:p>
    <w:p w14:paraId="5532D33B" w14:textId="77777777" w:rsidR="00D77CF6" w:rsidRDefault="00B25D9E">
      <w:pPr>
        <w:pStyle w:val="Betarp"/>
        <w:rPr>
          <w:lang w:val="lt-LT"/>
        </w:rPr>
      </w:pPr>
      <w:r>
        <w:rPr>
          <w:lang w:val="lt-LT"/>
        </w:rPr>
        <w:t>Su pakuote pateikiamame lapelyje nurodomas gamintojo, atsakingo už konkrečios serijos išleidimą, pavadinimas ir adresas.</w:t>
      </w:r>
    </w:p>
    <w:p w14:paraId="19DE6743" w14:textId="77777777" w:rsidR="00D77CF6" w:rsidRDefault="00D77CF6">
      <w:pPr>
        <w:pStyle w:val="Betarp"/>
        <w:rPr>
          <w:lang w:val="lt-LT"/>
        </w:rPr>
      </w:pPr>
    </w:p>
    <w:p w14:paraId="042C2D3E" w14:textId="77777777" w:rsidR="00D77CF6" w:rsidRDefault="00D77CF6">
      <w:pPr>
        <w:pStyle w:val="Betarp"/>
        <w:rPr>
          <w:lang w:val="lt-LT"/>
        </w:rPr>
      </w:pPr>
    </w:p>
    <w:p w14:paraId="2DD043F8" w14:textId="77777777" w:rsidR="00D77CF6" w:rsidRDefault="00B25D9E">
      <w:pPr>
        <w:pStyle w:val="Betarp"/>
        <w:rPr>
          <w:lang w:val="lt-LT"/>
        </w:rPr>
      </w:pPr>
      <w:r>
        <w:rPr>
          <w:b/>
          <w:lang w:val="lt-LT"/>
        </w:rPr>
        <w:t>B.</w:t>
      </w:r>
      <w:r>
        <w:rPr>
          <w:b/>
          <w:lang w:val="lt-LT"/>
        </w:rPr>
        <w:tab/>
        <w:t xml:space="preserve">TIEKIMO IR VARTOJIMO SĄLYGOS AR APRIBOJIMAI </w:t>
      </w:r>
    </w:p>
    <w:p w14:paraId="29CC4D86" w14:textId="77777777" w:rsidR="00D77CF6" w:rsidRDefault="00D77CF6">
      <w:pPr>
        <w:pStyle w:val="Betarp"/>
        <w:rPr>
          <w:lang w:val="lt-LT"/>
        </w:rPr>
      </w:pPr>
    </w:p>
    <w:p w14:paraId="1DC6CBA6" w14:textId="77777777" w:rsidR="00D77CF6" w:rsidRDefault="00B25D9E">
      <w:pPr>
        <w:tabs>
          <w:tab w:val="left" w:pos="567"/>
        </w:tabs>
        <w:spacing w:line="260" w:lineRule="exact"/>
        <w:rPr>
          <w:rFonts w:eastAsia="Times New Roman"/>
          <w:szCs w:val="24"/>
          <w:lang w:val="lt-LT"/>
        </w:rPr>
      </w:pPr>
      <w:r>
        <w:rPr>
          <w:rFonts w:eastAsia="Times New Roman"/>
          <w:szCs w:val="20"/>
          <w:lang w:val="lt-LT"/>
        </w:rPr>
        <w:t>Receptinis vaistinis preparatas.</w:t>
      </w:r>
    </w:p>
    <w:p w14:paraId="6E7F5B18" w14:textId="77777777" w:rsidR="00D77CF6" w:rsidRDefault="00D77CF6">
      <w:pPr>
        <w:rPr>
          <w:lang w:val="lt-LT"/>
        </w:rPr>
      </w:pPr>
    </w:p>
    <w:p w14:paraId="26D6A5FA" w14:textId="77777777" w:rsidR="00D77CF6" w:rsidRDefault="00B25D9E">
      <w:pPr>
        <w:rPr>
          <w:lang w:val="lt-LT"/>
        </w:rPr>
      </w:pPr>
      <w:r w:rsidRPr="007019D8">
        <w:br w:type="page"/>
      </w:r>
    </w:p>
    <w:p w14:paraId="13AA1DD9" w14:textId="77777777" w:rsidR="00D77CF6" w:rsidRDefault="00D77CF6">
      <w:pPr>
        <w:pStyle w:val="BTEMEASMCA"/>
      </w:pPr>
    </w:p>
    <w:p w14:paraId="0047BFE3" w14:textId="77777777" w:rsidR="00D77CF6" w:rsidRDefault="00D77CF6">
      <w:pPr>
        <w:pStyle w:val="TTEMEASMCA"/>
      </w:pPr>
    </w:p>
    <w:p w14:paraId="5B9927D4" w14:textId="77777777" w:rsidR="00D77CF6" w:rsidRDefault="00D77CF6">
      <w:pPr>
        <w:pStyle w:val="TTEMEASMCA"/>
      </w:pPr>
    </w:p>
    <w:p w14:paraId="1D99CAFC" w14:textId="77777777" w:rsidR="00D77CF6" w:rsidRDefault="00D77CF6">
      <w:pPr>
        <w:pStyle w:val="TTEMEASMCA"/>
      </w:pPr>
    </w:p>
    <w:p w14:paraId="300CD4AE" w14:textId="77777777" w:rsidR="00D77CF6" w:rsidRDefault="00D77CF6">
      <w:pPr>
        <w:pStyle w:val="TTEMEASMCA"/>
      </w:pPr>
    </w:p>
    <w:p w14:paraId="7747D459" w14:textId="77777777" w:rsidR="00D77CF6" w:rsidRDefault="00D77CF6">
      <w:pPr>
        <w:pStyle w:val="TTEMEASMCA"/>
      </w:pPr>
    </w:p>
    <w:p w14:paraId="19AA62EE" w14:textId="77777777" w:rsidR="00D77CF6" w:rsidRDefault="00D77CF6">
      <w:pPr>
        <w:pStyle w:val="TTEMEASMCA"/>
      </w:pPr>
    </w:p>
    <w:p w14:paraId="38A1FD08" w14:textId="77777777" w:rsidR="00D77CF6" w:rsidRDefault="00D77CF6">
      <w:pPr>
        <w:pStyle w:val="TTEMEASMCA"/>
      </w:pPr>
    </w:p>
    <w:p w14:paraId="3974FB11" w14:textId="77777777" w:rsidR="00D77CF6" w:rsidRDefault="00D77CF6">
      <w:pPr>
        <w:pStyle w:val="TTEMEASMCA"/>
      </w:pPr>
    </w:p>
    <w:p w14:paraId="57D088E0" w14:textId="77777777" w:rsidR="00D77CF6" w:rsidRDefault="00D77CF6">
      <w:pPr>
        <w:pStyle w:val="TTEMEASMCA"/>
      </w:pPr>
    </w:p>
    <w:p w14:paraId="761FE113" w14:textId="77777777" w:rsidR="00D77CF6" w:rsidRDefault="00D77CF6">
      <w:pPr>
        <w:pStyle w:val="TTEMEASMCA"/>
      </w:pPr>
    </w:p>
    <w:p w14:paraId="400A7EBA" w14:textId="77777777" w:rsidR="00D77CF6" w:rsidRDefault="00D77CF6">
      <w:pPr>
        <w:pStyle w:val="TTEMEASMCA"/>
      </w:pPr>
    </w:p>
    <w:p w14:paraId="6DAC83E7" w14:textId="77777777" w:rsidR="00D77CF6" w:rsidRDefault="00D77CF6">
      <w:pPr>
        <w:pStyle w:val="TTEMEASMCA"/>
      </w:pPr>
    </w:p>
    <w:p w14:paraId="0E4D290F" w14:textId="77777777" w:rsidR="00D77CF6" w:rsidRDefault="00D77CF6">
      <w:pPr>
        <w:pStyle w:val="TTEMEASMCA"/>
      </w:pPr>
    </w:p>
    <w:p w14:paraId="412CECE8" w14:textId="77777777" w:rsidR="00D77CF6" w:rsidRDefault="00D77CF6">
      <w:pPr>
        <w:pStyle w:val="TTEMEASMCA"/>
      </w:pPr>
    </w:p>
    <w:p w14:paraId="73894C8E" w14:textId="77777777" w:rsidR="00D77CF6" w:rsidRDefault="00D77CF6">
      <w:pPr>
        <w:pStyle w:val="TTEMEASMCA"/>
      </w:pPr>
    </w:p>
    <w:p w14:paraId="754AE057" w14:textId="77777777" w:rsidR="00D77CF6" w:rsidRDefault="00D77CF6">
      <w:pPr>
        <w:pStyle w:val="TTEMEASMCA"/>
      </w:pPr>
    </w:p>
    <w:p w14:paraId="548D5414" w14:textId="77777777" w:rsidR="00D77CF6" w:rsidRDefault="00D77CF6">
      <w:pPr>
        <w:pStyle w:val="TTEMEASMCA"/>
      </w:pPr>
    </w:p>
    <w:p w14:paraId="4CDF6173" w14:textId="77777777" w:rsidR="00D77CF6" w:rsidRDefault="00D77CF6">
      <w:pPr>
        <w:pStyle w:val="TTEMEASMCA"/>
      </w:pPr>
    </w:p>
    <w:p w14:paraId="30AA5EFB" w14:textId="77777777" w:rsidR="00D77CF6" w:rsidRDefault="00D77CF6">
      <w:pPr>
        <w:pStyle w:val="TTEMEASMCA"/>
      </w:pPr>
    </w:p>
    <w:p w14:paraId="130A93BC" w14:textId="77777777" w:rsidR="00D77CF6" w:rsidRDefault="00D77CF6">
      <w:pPr>
        <w:pStyle w:val="TTEMEASMCA"/>
      </w:pPr>
    </w:p>
    <w:p w14:paraId="17D250E4" w14:textId="77777777" w:rsidR="00D77CF6" w:rsidRDefault="00D77CF6">
      <w:pPr>
        <w:pStyle w:val="TTEMEASMCA"/>
      </w:pPr>
    </w:p>
    <w:p w14:paraId="7A75FA24" w14:textId="77777777" w:rsidR="00D77CF6" w:rsidRDefault="00D77CF6">
      <w:pPr>
        <w:pStyle w:val="TTEMEASMCA"/>
      </w:pPr>
    </w:p>
    <w:p w14:paraId="1B0A2394" w14:textId="77777777" w:rsidR="00D77CF6" w:rsidRDefault="00B25D9E">
      <w:pPr>
        <w:pStyle w:val="TTEMEASMCA"/>
      </w:pPr>
      <w:r>
        <w:t>III PRIEDAS</w:t>
      </w:r>
    </w:p>
    <w:p w14:paraId="6F0398D7" w14:textId="77777777" w:rsidR="00D77CF6" w:rsidRDefault="00D77CF6">
      <w:pPr>
        <w:pStyle w:val="BTEMEASMCA"/>
      </w:pPr>
    </w:p>
    <w:p w14:paraId="780B5328" w14:textId="77777777" w:rsidR="00D77CF6" w:rsidRDefault="00B25D9E">
      <w:pPr>
        <w:pStyle w:val="TTEMEASMCA"/>
      </w:pPr>
      <w:r>
        <w:t>ŽENKLINIMAS IR PAKUOTĖS LAPELIS</w:t>
      </w:r>
    </w:p>
    <w:p w14:paraId="65822AD4" w14:textId="77777777" w:rsidR="00D77CF6" w:rsidRDefault="00B25D9E">
      <w:pPr>
        <w:rPr>
          <w:lang w:val="lt-LT"/>
        </w:rPr>
      </w:pPr>
      <w:r w:rsidRPr="00D7535D">
        <w:rPr>
          <w:lang w:val="lt-LT"/>
        </w:rPr>
        <w:br w:type="page"/>
      </w:r>
    </w:p>
    <w:p w14:paraId="4DB1E640" w14:textId="77777777" w:rsidR="00D77CF6" w:rsidRDefault="00D77CF6">
      <w:pPr>
        <w:rPr>
          <w:lang w:val="lt-LT"/>
        </w:rPr>
      </w:pPr>
    </w:p>
    <w:p w14:paraId="3CDAF9EB" w14:textId="77777777" w:rsidR="00D77CF6" w:rsidRDefault="00D77CF6">
      <w:pPr>
        <w:rPr>
          <w:lang w:val="lt-LT"/>
        </w:rPr>
      </w:pPr>
    </w:p>
    <w:p w14:paraId="37B28FF4" w14:textId="77777777" w:rsidR="00D77CF6" w:rsidRDefault="00D77CF6">
      <w:pPr>
        <w:rPr>
          <w:lang w:val="lt-LT"/>
        </w:rPr>
      </w:pPr>
    </w:p>
    <w:p w14:paraId="5849467A" w14:textId="77777777" w:rsidR="00D77CF6" w:rsidRDefault="00D77CF6">
      <w:pPr>
        <w:rPr>
          <w:lang w:val="lt-LT"/>
        </w:rPr>
      </w:pPr>
    </w:p>
    <w:p w14:paraId="0E219110" w14:textId="77777777" w:rsidR="00D77CF6" w:rsidRDefault="00D77CF6">
      <w:pPr>
        <w:rPr>
          <w:lang w:val="lt-LT"/>
        </w:rPr>
      </w:pPr>
    </w:p>
    <w:p w14:paraId="38C6C504" w14:textId="77777777" w:rsidR="00D77CF6" w:rsidRDefault="00D77CF6">
      <w:pPr>
        <w:rPr>
          <w:lang w:val="lt-LT"/>
        </w:rPr>
      </w:pPr>
    </w:p>
    <w:p w14:paraId="3C80F8C1" w14:textId="77777777" w:rsidR="00D77CF6" w:rsidRDefault="00D77CF6">
      <w:pPr>
        <w:rPr>
          <w:lang w:val="lt-LT"/>
        </w:rPr>
      </w:pPr>
    </w:p>
    <w:p w14:paraId="3AD3D6D6" w14:textId="77777777" w:rsidR="00D77CF6" w:rsidRDefault="00D77CF6">
      <w:pPr>
        <w:rPr>
          <w:lang w:val="lt-LT"/>
        </w:rPr>
      </w:pPr>
    </w:p>
    <w:p w14:paraId="6BE59799" w14:textId="77777777" w:rsidR="00D77CF6" w:rsidRDefault="00D77CF6">
      <w:pPr>
        <w:rPr>
          <w:lang w:val="lt-LT"/>
        </w:rPr>
      </w:pPr>
    </w:p>
    <w:p w14:paraId="61F5A9D6" w14:textId="77777777" w:rsidR="00D77CF6" w:rsidRDefault="00D77CF6">
      <w:pPr>
        <w:rPr>
          <w:lang w:val="lt-LT"/>
        </w:rPr>
      </w:pPr>
    </w:p>
    <w:p w14:paraId="28816E41" w14:textId="77777777" w:rsidR="00D77CF6" w:rsidRDefault="00D77CF6">
      <w:pPr>
        <w:rPr>
          <w:lang w:val="lt-LT"/>
        </w:rPr>
      </w:pPr>
    </w:p>
    <w:p w14:paraId="086F8297" w14:textId="77777777" w:rsidR="00D77CF6" w:rsidRDefault="00D77CF6">
      <w:pPr>
        <w:rPr>
          <w:lang w:val="lt-LT"/>
        </w:rPr>
      </w:pPr>
    </w:p>
    <w:p w14:paraId="38F19F91" w14:textId="77777777" w:rsidR="00D77CF6" w:rsidRDefault="00D77CF6">
      <w:pPr>
        <w:rPr>
          <w:lang w:val="lt-LT"/>
        </w:rPr>
      </w:pPr>
    </w:p>
    <w:p w14:paraId="288346CF" w14:textId="77777777" w:rsidR="00D77CF6" w:rsidRDefault="00D77CF6">
      <w:pPr>
        <w:rPr>
          <w:lang w:val="lt-LT"/>
        </w:rPr>
      </w:pPr>
    </w:p>
    <w:p w14:paraId="4F403177" w14:textId="77777777" w:rsidR="00D77CF6" w:rsidRDefault="00D77CF6">
      <w:pPr>
        <w:rPr>
          <w:lang w:val="lt-LT"/>
        </w:rPr>
      </w:pPr>
    </w:p>
    <w:p w14:paraId="6CB679E5" w14:textId="77777777" w:rsidR="00D77CF6" w:rsidRDefault="00D77CF6">
      <w:pPr>
        <w:rPr>
          <w:lang w:val="lt-LT"/>
        </w:rPr>
      </w:pPr>
    </w:p>
    <w:p w14:paraId="2F6F33F6" w14:textId="77777777" w:rsidR="00D77CF6" w:rsidRDefault="00D77CF6">
      <w:pPr>
        <w:rPr>
          <w:lang w:val="lt-LT"/>
        </w:rPr>
      </w:pPr>
    </w:p>
    <w:p w14:paraId="58294240" w14:textId="77777777" w:rsidR="00D77CF6" w:rsidRDefault="00D77CF6">
      <w:pPr>
        <w:rPr>
          <w:lang w:val="lt-LT"/>
        </w:rPr>
      </w:pPr>
    </w:p>
    <w:p w14:paraId="41DF81F1" w14:textId="77777777" w:rsidR="00D77CF6" w:rsidRDefault="00D77CF6">
      <w:pPr>
        <w:rPr>
          <w:lang w:val="lt-LT"/>
        </w:rPr>
      </w:pPr>
    </w:p>
    <w:p w14:paraId="3688DB95" w14:textId="77777777" w:rsidR="00D77CF6" w:rsidRDefault="00D77CF6">
      <w:pPr>
        <w:rPr>
          <w:b/>
          <w:lang w:val="lt-LT"/>
        </w:rPr>
      </w:pPr>
    </w:p>
    <w:p w14:paraId="3B5CC596" w14:textId="77777777" w:rsidR="00D77CF6" w:rsidRDefault="00D77CF6">
      <w:pPr>
        <w:rPr>
          <w:b/>
          <w:lang w:val="lt-LT"/>
        </w:rPr>
      </w:pPr>
    </w:p>
    <w:p w14:paraId="7114D8E4" w14:textId="77777777" w:rsidR="00D77CF6" w:rsidRDefault="00D77CF6">
      <w:pPr>
        <w:pStyle w:val="Antrat2"/>
        <w:spacing w:before="0" w:line="240" w:lineRule="auto"/>
        <w:jc w:val="center"/>
        <w:rPr>
          <w:rFonts w:ascii="Times New Roman" w:hAnsi="Times New Roman"/>
          <w:b/>
          <w:color w:val="auto"/>
          <w:sz w:val="22"/>
          <w:szCs w:val="22"/>
          <w:lang w:val="lt-LT"/>
        </w:rPr>
      </w:pPr>
    </w:p>
    <w:p w14:paraId="47D19505" w14:textId="77777777" w:rsidR="00D77CF6" w:rsidRDefault="00D77CF6">
      <w:pPr>
        <w:rPr>
          <w:lang w:val="lt-LT"/>
        </w:rPr>
      </w:pPr>
    </w:p>
    <w:p w14:paraId="4E4EB3C3" w14:textId="77777777" w:rsidR="00D77CF6" w:rsidRDefault="00B25D9E">
      <w:pPr>
        <w:pStyle w:val="Antrat2"/>
        <w:spacing w:before="0" w:line="240" w:lineRule="auto"/>
        <w:jc w:val="center"/>
        <w:rPr>
          <w:rFonts w:ascii="Times New Roman" w:hAnsi="Times New Roman"/>
          <w:b/>
          <w:i/>
          <w:iCs/>
          <w:color w:val="auto"/>
          <w:sz w:val="22"/>
          <w:szCs w:val="22"/>
          <w:lang w:val="lt-LT"/>
        </w:rPr>
      </w:pPr>
      <w:r>
        <w:rPr>
          <w:rFonts w:ascii="Times New Roman" w:hAnsi="Times New Roman"/>
          <w:b/>
          <w:color w:val="auto"/>
          <w:sz w:val="22"/>
          <w:szCs w:val="22"/>
          <w:lang w:val="lt-LT"/>
        </w:rPr>
        <w:t>A. ŽENKLINIMAS</w:t>
      </w:r>
    </w:p>
    <w:p w14:paraId="3C531C9A" w14:textId="77777777" w:rsidR="00D77CF6" w:rsidRDefault="00B25D9E">
      <w:pPr>
        <w:shd w:val="clear" w:color="auto" w:fill="FFFFFF"/>
        <w:rPr>
          <w:lang w:val="lt-LT"/>
        </w:rPr>
      </w:pPr>
      <w:r w:rsidRPr="00D7535D">
        <w:rPr>
          <w:lang w:val="da-DK"/>
        </w:rPr>
        <w:br w:type="page"/>
      </w:r>
    </w:p>
    <w:p w14:paraId="5B7D14D6" w14:textId="77777777" w:rsidR="00D77CF6" w:rsidRDefault="00B25D9E">
      <w:pPr>
        <w:pBdr>
          <w:top w:val="single" w:sz="4" w:space="1" w:color="000000"/>
          <w:left w:val="single" w:sz="4" w:space="4" w:color="000000"/>
          <w:bottom w:val="single" w:sz="4" w:space="1" w:color="000000"/>
          <w:right w:val="single" w:sz="4" w:space="4" w:color="000000"/>
        </w:pBdr>
        <w:rPr>
          <w:b/>
          <w:lang w:val="lt-LT"/>
        </w:rPr>
      </w:pPr>
      <w:r>
        <w:rPr>
          <w:b/>
          <w:lang w:val="lt-LT"/>
        </w:rPr>
        <w:t>INFORMACIJA ANT IŠORINĖS PAKUOTĖS</w:t>
      </w:r>
    </w:p>
    <w:p w14:paraId="68954E3A" w14:textId="77777777" w:rsidR="00D77CF6" w:rsidRDefault="00D77CF6">
      <w:pPr>
        <w:pBdr>
          <w:top w:val="single" w:sz="4" w:space="1" w:color="000000"/>
          <w:left w:val="single" w:sz="4" w:space="4" w:color="000000"/>
          <w:bottom w:val="single" w:sz="4" w:space="1" w:color="000000"/>
          <w:right w:val="single" w:sz="4" w:space="4" w:color="000000"/>
        </w:pBdr>
        <w:ind w:left="567" w:hanging="567"/>
        <w:rPr>
          <w:bCs/>
          <w:lang w:val="lt-LT"/>
        </w:rPr>
      </w:pPr>
    </w:p>
    <w:p w14:paraId="42E6E3E8" w14:textId="77777777" w:rsidR="00D77CF6" w:rsidRDefault="00B25D9E">
      <w:pPr>
        <w:pBdr>
          <w:top w:val="single" w:sz="4" w:space="1" w:color="000000"/>
          <w:left w:val="single" w:sz="4" w:space="4" w:color="000000"/>
          <w:bottom w:val="single" w:sz="4" w:space="1" w:color="000000"/>
          <w:right w:val="single" w:sz="4" w:space="4" w:color="000000"/>
        </w:pBdr>
        <w:rPr>
          <w:bCs/>
          <w:lang w:val="lt-LT"/>
        </w:rPr>
      </w:pPr>
      <w:r>
        <w:rPr>
          <w:b/>
          <w:lang w:val="lt-LT"/>
        </w:rPr>
        <w:t>KARTONO DĖŽUTĖ</w:t>
      </w:r>
    </w:p>
    <w:p w14:paraId="2EC21725" w14:textId="77777777" w:rsidR="00D77CF6" w:rsidRDefault="00D77CF6">
      <w:pPr>
        <w:rPr>
          <w:lang w:val="lt-LT"/>
        </w:rPr>
      </w:pPr>
    </w:p>
    <w:p w14:paraId="66FEB471" w14:textId="77777777" w:rsidR="00D77CF6" w:rsidRDefault="00D77CF6">
      <w:pPr>
        <w:rPr>
          <w:lang w:val="lt-LT"/>
        </w:rPr>
      </w:pPr>
    </w:p>
    <w:p w14:paraId="545D3043" w14:textId="77777777" w:rsidR="00D77CF6" w:rsidRDefault="00B25D9E">
      <w:pPr>
        <w:pBdr>
          <w:top w:val="single" w:sz="4" w:space="1" w:color="000000"/>
          <w:left w:val="single" w:sz="4" w:space="4" w:color="000000"/>
          <w:bottom w:val="single" w:sz="4" w:space="1" w:color="000000"/>
          <w:right w:val="single" w:sz="4" w:space="4" w:color="000000"/>
        </w:pBdr>
        <w:ind w:left="567" w:hanging="567"/>
        <w:outlineLvl w:val="0"/>
        <w:rPr>
          <w:lang w:val="lt-LT"/>
        </w:rPr>
      </w:pPr>
      <w:r>
        <w:rPr>
          <w:b/>
          <w:lang w:val="lt-LT"/>
        </w:rPr>
        <w:t>1.</w:t>
      </w:r>
      <w:r>
        <w:rPr>
          <w:b/>
          <w:lang w:val="lt-LT"/>
        </w:rPr>
        <w:tab/>
        <w:t>VAISTINIO PREPARATO PAVADINIMAS</w:t>
      </w:r>
    </w:p>
    <w:p w14:paraId="161152AF" w14:textId="77777777" w:rsidR="00D77CF6" w:rsidRDefault="00D77CF6">
      <w:pPr>
        <w:pStyle w:val="Betarp"/>
        <w:rPr>
          <w:lang w:val="lt-LT"/>
        </w:rPr>
      </w:pPr>
    </w:p>
    <w:p w14:paraId="319DBCF8" w14:textId="00029E8C" w:rsidR="00D77CF6" w:rsidRDefault="00B25D9E">
      <w:pPr>
        <w:pStyle w:val="Betarp"/>
        <w:rPr>
          <w:lang w:val="lt-LT"/>
        </w:rPr>
      </w:pPr>
      <w:r>
        <w:rPr>
          <w:lang w:val="lt-LT"/>
        </w:rPr>
        <w:t>Fixopost 50 mikrogramų/5 mg/ml akių lašai (tirpalas)</w:t>
      </w:r>
    </w:p>
    <w:p w14:paraId="0B67552E" w14:textId="77777777" w:rsidR="00D77CF6" w:rsidRDefault="00B25D9E">
      <w:pPr>
        <w:pStyle w:val="Betarp"/>
        <w:rPr>
          <w:lang w:val="lt-LT"/>
        </w:rPr>
      </w:pPr>
      <w:r>
        <w:rPr>
          <w:lang w:val="lt-LT"/>
        </w:rPr>
        <w:t>latanoprostum/timololum</w:t>
      </w:r>
    </w:p>
    <w:p w14:paraId="163B8C72" w14:textId="77777777" w:rsidR="00D77CF6" w:rsidRDefault="00D77CF6">
      <w:pPr>
        <w:pStyle w:val="Betarp"/>
        <w:rPr>
          <w:lang w:val="lt-LT"/>
        </w:rPr>
      </w:pPr>
    </w:p>
    <w:p w14:paraId="0587B6E0" w14:textId="77777777" w:rsidR="00D77CF6" w:rsidRDefault="00D77CF6">
      <w:pPr>
        <w:pStyle w:val="Betarp"/>
        <w:rPr>
          <w:lang w:val="lt-LT"/>
        </w:rPr>
      </w:pPr>
    </w:p>
    <w:p w14:paraId="427F7176" w14:textId="77777777" w:rsidR="00D77CF6" w:rsidRDefault="00B25D9E">
      <w:pPr>
        <w:pBdr>
          <w:top w:val="single" w:sz="4" w:space="1" w:color="000000"/>
          <w:left w:val="single" w:sz="4" w:space="4" w:color="000000"/>
          <w:bottom w:val="single" w:sz="4" w:space="1" w:color="000000"/>
          <w:right w:val="single" w:sz="4" w:space="4" w:color="000000"/>
        </w:pBdr>
        <w:ind w:left="567" w:hanging="567"/>
        <w:outlineLvl w:val="0"/>
        <w:rPr>
          <w:b/>
          <w:lang w:val="lt-LT"/>
        </w:rPr>
      </w:pPr>
      <w:r>
        <w:rPr>
          <w:b/>
          <w:lang w:val="lt-LT"/>
        </w:rPr>
        <w:t>2.</w:t>
      </w:r>
      <w:r>
        <w:rPr>
          <w:b/>
          <w:lang w:val="lt-LT"/>
        </w:rPr>
        <w:tab/>
        <w:t>VEIKLIOJI (-IOS) MEDŽIAGA (-OS) IR JOS (-Ų) KIEKIS (-IAI)</w:t>
      </w:r>
    </w:p>
    <w:p w14:paraId="2E309DA6" w14:textId="77777777" w:rsidR="00D77CF6" w:rsidRDefault="00D77CF6">
      <w:pPr>
        <w:pStyle w:val="Betarp"/>
        <w:rPr>
          <w:lang w:val="lt-LT"/>
        </w:rPr>
      </w:pPr>
    </w:p>
    <w:p w14:paraId="1A1CC4B8" w14:textId="7F891BF9" w:rsidR="00D77CF6" w:rsidRDefault="00B25D9E">
      <w:pPr>
        <w:pStyle w:val="Betarp"/>
        <w:rPr>
          <w:lang w:val="lt-LT"/>
        </w:rPr>
      </w:pPr>
      <w:r>
        <w:rPr>
          <w:lang w:val="lt-LT"/>
        </w:rPr>
        <w:t>1 ml yra 50 mikrogramų latanoprosto ir 5 mg timololio (timololio maleato pavidalu).</w:t>
      </w:r>
    </w:p>
    <w:p w14:paraId="5CB39165" w14:textId="77777777" w:rsidR="00D77CF6" w:rsidRDefault="00D77CF6">
      <w:pPr>
        <w:pStyle w:val="Betarp"/>
        <w:rPr>
          <w:lang w:val="lt-LT"/>
        </w:rPr>
      </w:pPr>
    </w:p>
    <w:p w14:paraId="6FDDC5A0" w14:textId="77777777" w:rsidR="00D77CF6" w:rsidRDefault="00D77CF6">
      <w:pPr>
        <w:pStyle w:val="Betarp"/>
        <w:rPr>
          <w:lang w:val="lt-LT"/>
        </w:rPr>
      </w:pPr>
    </w:p>
    <w:p w14:paraId="29F38795" w14:textId="77777777" w:rsidR="00D77CF6" w:rsidRDefault="00B25D9E">
      <w:pPr>
        <w:pBdr>
          <w:top w:val="single" w:sz="4" w:space="1" w:color="000000"/>
          <w:left w:val="single" w:sz="4" w:space="4" w:color="000000"/>
          <w:bottom w:val="single" w:sz="4" w:space="1" w:color="000000"/>
          <w:right w:val="single" w:sz="4" w:space="4" w:color="000000"/>
        </w:pBdr>
        <w:ind w:left="567" w:hanging="567"/>
        <w:outlineLvl w:val="0"/>
        <w:rPr>
          <w:highlight w:val="lightGray"/>
          <w:lang w:val="lt-LT"/>
        </w:rPr>
      </w:pPr>
      <w:r>
        <w:rPr>
          <w:b/>
          <w:lang w:val="lt-LT"/>
        </w:rPr>
        <w:t>3.</w:t>
      </w:r>
      <w:r>
        <w:rPr>
          <w:b/>
          <w:lang w:val="lt-LT"/>
        </w:rPr>
        <w:tab/>
        <w:t>PAGALBINIŲ MEDŽIAGŲ SĄRAŠAS</w:t>
      </w:r>
    </w:p>
    <w:p w14:paraId="7EA52DBA" w14:textId="77777777" w:rsidR="00D77CF6" w:rsidRDefault="00D77CF6">
      <w:pPr>
        <w:pStyle w:val="Betarp"/>
        <w:rPr>
          <w:lang w:val="lt-LT"/>
        </w:rPr>
      </w:pPr>
    </w:p>
    <w:p w14:paraId="21D8272B" w14:textId="77777777" w:rsidR="00D77CF6" w:rsidRDefault="00B25D9E">
      <w:pPr>
        <w:pStyle w:val="Betarp"/>
        <w:rPr>
          <w:lang w:val="lt-LT"/>
        </w:rPr>
      </w:pPr>
      <w:r>
        <w:rPr>
          <w:lang w:val="lt-LT"/>
        </w:rPr>
        <w:t>Makrogolglicerolio hidroksistearatas, sorbitolis, makrogolis, karbomeras, dinatrio edetatas, natrio hidroksidas, vanduo.</w:t>
      </w:r>
    </w:p>
    <w:p w14:paraId="7C6353FD" w14:textId="77777777" w:rsidR="00D77CF6" w:rsidRDefault="00D77CF6">
      <w:pPr>
        <w:pStyle w:val="Betarp"/>
        <w:rPr>
          <w:lang w:val="lt-LT"/>
        </w:rPr>
      </w:pPr>
    </w:p>
    <w:p w14:paraId="099A1A08" w14:textId="77777777" w:rsidR="00D77CF6" w:rsidRDefault="00D77CF6">
      <w:pPr>
        <w:pStyle w:val="Betarp"/>
        <w:rPr>
          <w:lang w:val="lt-LT"/>
        </w:rPr>
      </w:pPr>
    </w:p>
    <w:p w14:paraId="77E567F7" w14:textId="77777777" w:rsidR="00D77CF6" w:rsidRDefault="00B25D9E">
      <w:pPr>
        <w:pBdr>
          <w:top w:val="single" w:sz="4" w:space="1" w:color="000000"/>
          <w:left w:val="single" w:sz="4" w:space="4" w:color="000000"/>
          <w:bottom w:val="single" w:sz="4" w:space="1" w:color="000000"/>
          <w:right w:val="single" w:sz="4" w:space="4" w:color="000000"/>
        </w:pBdr>
        <w:ind w:left="567" w:hanging="567"/>
        <w:outlineLvl w:val="0"/>
        <w:rPr>
          <w:lang w:val="lt-LT"/>
        </w:rPr>
      </w:pPr>
      <w:r>
        <w:rPr>
          <w:b/>
          <w:lang w:val="lt-LT"/>
        </w:rPr>
        <w:t>4.</w:t>
      </w:r>
      <w:r>
        <w:rPr>
          <w:b/>
          <w:lang w:val="lt-LT"/>
        </w:rPr>
        <w:tab/>
        <w:t>FARMACINĖ FORMA IR KIEKIS PAKUOTĖJE</w:t>
      </w:r>
    </w:p>
    <w:p w14:paraId="36D25E60" w14:textId="77777777" w:rsidR="00D77CF6" w:rsidRDefault="00D77CF6">
      <w:pPr>
        <w:pStyle w:val="Betarp"/>
        <w:rPr>
          <w:lang w:val="lt-LT"/>
        </w:rPr>
      </w:pPr>
    </w:p>
    <w:p w14:paraId="3F7B553A" w14:textId="77777777" w:rsidR="00D77CF6" w:rsidRDefault="00B25D9E">
      <w:pPr>
        <w:pStyle w:val="Betarp"/>
        <w:rPr>
          <w:lang w:val="lt-LT"/>
        </w:rPr>
      </w:pPr>
      <w:r>
        <w:rPr>
          <w:highlight w:val="lightGray"/>
          <w:lang w:val="lt-LT"/>
        </w:rPr>
        <w:t>Akių lašai (tirpalas)</w:t>
      </w:r>
    </w:p>
    <w:p w14:paraId="79816F6E" w14:textId="77777777" w:rsidR="00D77CF6" w:rsidRDefault="00B25D9E">
      <w:pPr>
        <w:pStyle w:val="Betarp"/>
        <w:rPr>
          <w:lang w:val="lt-LT"/>
        </w:rPr>
      </w:pPr>
      <w:r>
        <w:rPr>
          <w:lang w:val="lt-LT"/>
        </w:rPr>
        <w:t>Be konservantų</w:t>
      </w:r>
    </w:p>
    <w:p w14:paraId="759CB53C" w14:textId="77777777" w:rsidR="00D77CF6" w:rsidRDefault="00B25D9E">
      <w:pPr>
        <w:pStyle w:val="Betarp"/>
        <w:rPr>
          <w:iCs/>
          <w:lang w:val="lt-LT"/>
        </w:rPr>
      </w:pPr>
      <w:r>
        <w:rPr>
          <w:iCs/>
          <w:lang w:val="sv-SE"/>
        </w:rPr>
        <w:t>2,5</w:t>
      </w:r>
      <w:r>
        <w:rPr>
          <w:iCs/>
          <w:lang w:val="lt-LT"/>
        </w:rPr>
        <w:t> ml</w:t>
      </w:r>
    </w:p>
    <w:p w14:paraId="17E1BCC1" w14:textId="77777777" w:rsidR="00D77CF6" w:rsidRDefault="00B25D9E">
      <w:pPr>
        <w:pStyle w:val="Betarp"/>
        <w:rPr>
          <w:iCs/>
          <w:lang w:val="lt-LT"/>
        </w:rPr>
      </w:pPr>
      <w:r>
        <w:rPr>
          <w:iCs/>
          <w:highlight w:val="lightGray"/>
          <w:lang w:val="lt-LT"/>
        </w:rPr>
        <w:t>6 ml</w:t>
      </w:r>
    </w:p>
    <w:p w14:paraId="4A12F8A0" w14:textId="77777777" w:rsidR="00D77CF6" w:rsidRDefault="00D77CF6">
      <w:pPr>
        <w:pStyle w:val="Betarp"/>
        <w:rPr>
          <w:lang w:val="lt-LT"/>
        </w:rPr>
      </w:pPr>
    </w:p>
    <w:p w14:paraId="54D8FB06" w14:textId="77777777" w:rsidR="00D77CF6" w:rsidRDefault="00D77CF6">
      <w:pPr>
        <w:pStyle w:val="Betarp"/>
        <w:rPr>
          <w:lang w:val="lt-LT"/>
        </w:rPr>
      </w:pPr>
    </w:p>
    <w:p w14:paraId="2322FA69" w14:textId="77777777" w:rsidR="00D77CF6" w:rsidRDefault="00B25D9E">
      <w:pPr>
        <w:pBdr>
          <w:top w:val="single" w:sz="4" w:space="1" w:color="000000"/>
          <w:left w:val="single" w:sz="4" w:space="4" w:color="000000"/>
          <w:bottom w:val="single" w:sz="4" w:space="1" w:color="000000"/>
          <w:right w:val="single" w:sz="4" w:space="4" w:color="000000"/>
        </w:pBdr>
        <w:ind w:left="567" w:hanging="567"/>
        <w:outlineLvl w:val="0"/>
        <w:rPr>
          <w:highlight w:val="lightGray"/>
          <w:lang w:val="lt-LT"/>
        </w:rPr>
      </w:pPr>
      <w:r>
        <w:rPr>
          <w:b/>
          <w:lang w:val="lt-LT"/>
        </w:rPr>
        <w:t>5.</w:t>
      </w:r>
      <w:r>
        <w:rPr>
          <w:b/>
          <w:lang w:val="lt-LT"/>
        </w:rPr>
        <w:tab/>
        <w:t>VARTOJIMO METODAS IR BŪDAS (-AI)</w:t>
      </w:r>
    </w:p>
    <w:p w14:paraId="0FED50D5" w14:textId="77777777" w:rsidR="00D77CF6" w:rsidRDefault="00D77CF6">
      <w:pPr>
        <w:pStyle w:val="Betarp"/>
        <w:rPr>
          <w:lang w:val="lt-LT"/>
        </w:rPr>
      </w:pPr>
    </w:p>
    <w:p w14:paraId="1E42C82F" w14:textId="77777777" w:rsidR="00D77CF6" w:rsidRDefault="00B25D9E">
      <w:pPr>
        <w:pStyle w:val="Betarp"/>
        <w:rPr>
          <w:lang w:val="lt-LT"/>
        </w:rPr>
      </w:pPr>
      <w:r>
        <w:rPr>
          <w:highlight w:val="lightGray"/>
          <w:lang w:val="lt-LT"/>
        </w:rPr>
        <w:t>Vartoti ant akių.</w:t>
      </w:r>
    </w:p>
    <w:p w14:paraId="03066D86" w14:textId="77777777" w:rsidR="00D77CF6" w:rsidRDefault="00B25D9E">
      <w:pPr>
        <w:pStyle w:val="Betarp"/>
        <w:rPr>
          <w:lang w:val="lt-LT"/>
        </w:rPr>
      </w:pPr>
      <w:r>
        <w:rPr>
          <w:lang w:val="lt-LT"/>
        </w:rPr>
        <w:t>Prieš vartojimą perskaitykite pakuotės lapelį.</w:t>
      </w:r>
    </w:p>
    <w:p w14:paraId="28A454DE" w14:textId="77777777" w:rsidR="00D77CF6" w:rsidRDefault="00D77CF6">
      <w:pPr>
        <w:pStyle w:val="Betarp"/>
        <w:rPr>
          <w:lang w:val="lt-LT"/>
        </w:rPr>
      </w:pPr>
    </w:p>
    <w:p w14:paraId="4358A26A" w14:textId="77777777" w:rsidR="00D77CF6" w:rsidRDefault="00D77CF6">
      <w:pPr>
        <w:pStyle w:val="Betarp"/>
        <w:rPr>
          <w:lang w:val="lt-LT"/>
        </w:rPr>
      </w:pPr>
    </w:p>
    <w:p w14:paraId="3A5B9E37" w14:textId="77777777" w:rsidR="00D77CF6" w:rsidRDefault="00B25D9E">
      <w:pPr>
        <w:pBdr>
          <w:top w:val="single" w:sz="4" w:space="0" w:color="000000"/>
          <w:left w:val="single" w:sz="4" w:space="4" w:color="000000"/>
          <w:bottom w:val="single" w:sz="4" w:space="1" w:color="000000"/>
          <w:right w:val="single" w:sz="4" w:space="4" w:color="000000"/>
        </w:pBdr>
        <w:ind w:left="567" w:hanging="567"/>
        <w:outlineLvl w:val="0"/>
        <w:rPr>
          <w:lang w:val="lt-LT"/>
        </w:rPr>
      </w:pPr>
      <w:r>
        <w:rPr>
          <w:b/>
          <w:lang w:val="lt-LT"/>
        </w:rPr>
        <w:t>6.</w:t>
      </w:r>
      <w:r>
        <w:rPr>
          <w:b/>
          <w:lang w:val="lt-LT"/>
        </w:rPr>
        <w:tab/>
      </w:r>
      <w:r>
        <w:rPr>
          <w:b/>
          <w:bCs/>
          <w:lang w:val="lt-LT"/>
        </w:rPr>
        <w:t>SPECIALUS ĮSPĖJIMAS, KAD VAISTINĮ PREPARATĄ BŪTINA LAIKYTI VAIKAMS NEPASTEBIMOJE IR NEPASIEKIAMOJE VIETOJE</w:t>
      </w:r>
    </w:p>
    <w:p w14:paraId="67D1786C" w14:textId="77777777" w:rsidR="00D77CF6" w:rsidRDefault="00D77CF6">
      <w:pPr>
        <w:pStyle w:val="Betarp"/>
        <w:rPr>
          <w:lang w:val="lt-LT"/>
        </w:rPr>
      </w:pPr>
    </w:p>
    <w:p w14:paraId="6A05BC45" w14:textId="77777777" w:rsidR="00D77CF6" w:rsidRDefault="00B25D9E">
      <w:pPr>
        <w:pStyle w:val="Betarp"/>
        <w:rPr>
          <w:lang w:val="lt-LT"/>
        </w:rPr>
      </w:pPr>
      <w:r>
        <w:rPr>
          <w:lang w:val="lt-LT"/>
        </w:rPr>
        <w:t>Laikyti vaikams nepastebimoje ir nepasiekiamoje vietoje.</w:t>
      </w:r>
    </w:p>
    <w:p w14:paraId="791498A0" w14:textId="77777777" w:rsidR="00D77CF6" w:rsidRDefault="00D77CF6">
      <w:pPr>
        <w:pStyle w:val="Betarp"/>
        <w:rPr>
          <w:lang w:val="lt-LT"/>
        </w:rPr>
      </w:pPr>
    </w:p>
    <w:p w14:paraId="2630321B" w14:textId="77777777" w:rsidR="00D77CF6" w:rsidRDefault="00D77CF6">
      <w:pPr>
        <w:pStyle w:val="Betarp"/>
        <w:rPr>
          <w:lang w:val="lt-LT"/>
        </w:rPr>
      </w:pPr>
    </w:p>
    <w:p w14:paraId="21FEF294" w14:textId="77777777" w:rsidR="00D77CF6" w:rsidRDefault="00B25D9E">
      <w:pPr>
        <w:pBdr>
          <w:top w:val="single" w:sz="4" w:space="1" w:color="000000"/>
          <w:left w:val="single" w:sz="4" w:space="4" w:color="000000"/>
          <w:bottom w:val="single" w:sz="4" w:space="1" w:color="000000"/>
          <w:right w:val="single" w:sz="4" w:space="4" w:color="000000"/>
        </w:pBdr>
        <w:ind w:left="567" w:hanging="567"/>
        <w:outlineLvl w:val="0"/>
        <w:rPr>
          <w:highlight w:val="lightGray"/>
          <w:lang w:val="lt-LT"/>
        </w:rPr>
      </w:pPr>
      <w:r>
        <w:rPr>
          <w:b/>
          <w:lang w:val="lt-LT"/>
        </w:rPr>
        <w:t>7.</w:t>
      </w:r>
      <w:r>
        <w:rPr>
          <w:b/>
          <w:lang w:val="lt-LT"/>
        </w:rPr>
        <w:tab/>
      </w:r>
      <w:r>
        <w:rPr>
          <w:b/>
          <w:bCs/>
          <w:lang w:val="lt-LT"/>
        </w:rPr>
        <w:t>KITAS (-I) SPECIALUS (-ŪS) ĮSPĖJIMAS (-AI) (JEI REIKIA)</w:t>
      </w:r>
    </w:p>
    <w:p w14:paraId="4CACD728" w14:textId="77777777" w:rsidR="00D77CF6" w:rsidRDefault="00D77CF6">
      <w:pPr>
        <w:pStyle w:val="Betarp"/>
        <w:rPr>
          <w:lang w:val="lt-LT"/>
        </w:rPr>
      </w:pPr>
    </w:p>
    <w:p w14:paraId="1DC6E6A3" w14:textId="77777777" w:rsidR="00D77CF6" w:rsidRDefault="00D77CF6">
      <w:pPr>
        <w:pStyle w:val="Betarp"/>
        <w:rPr>
          <w:lang w:val="lt-LT"/>
        </w:rPr>
      </w:pPr>
    </w:p>
    <w:p w14:paraId="728AAB2B" w14:textId="77777777" w:rsidR="00D77CF6" w:rsidRDefault="00B25D9E">
      <w:pPr>
        <w:pBdr>
          <w:top w:val="single" w:sz="4" w:space="1" w:color="000000"/>
          <w:left w:val="single" w:sz="4" w:space="4" w:color="000000"/>
          <w:bottom w:val="single" w:sz="4" w:space="1" w:color="000000"/>
          <w:right w:val="single" w:sz="4" w:space="4" w:color="000000"/>
        </w:pBdr>
        <w:ind w:left="567" w:hanging="567"/>
        <w:outlineLvl w:val="0"/>
        <w:rPr>
          <w:highlight w:val="lightGray"/>
          <w:lang w:val="lt-LT"/>
        </w:rPr>
      </w:pPr>
      <w:r>
        <w:rPr>
          <w:b/>
          <w:lang w:val="lt-LT"/>
        </w:rPr>
        <w:t>8.</w:t>
      </w:r>
      <w:r>
        <w:rPr>
          <w:b/>
          <w:lang w:val="lt-LT"/>
        </w:rPr>
        <w:tab/>
      </w:r>
      <w:r>
        <w:rPr>
          <w:b/>
          <w:bCs/>
          <w:lang w:val="lt-LT"/>
        </w:rPr>
        <w:t>TINKAMUMO LAIKAS</w:t>
      </w:r>
    </w:p>
    <w:p w14:paraId="4CD5740D" w14:textId="77777777" w:rsidR="00D77CF6" w:rsidRDefault="00D77CF6">
      <w:pPr>
        <w:pStyle w:val="Betarp"/>
        <w:rPr>
          <w:lang w:val="lt-LT"/>
        </w:rPr>
      </w:pPr>
    </w:p>
    <w:p w14:paraId="33D1F210" w14:textId="77777777" w:rsidR="00D77CF6" w:rsidRDefault="00B25D9E">
      <w:pPr>
        <w:pStyle w:val="Betarp"/>
        <w:rPr>
          <w:lang w:val="lt-LT"/>
        </w:rPr>
      </w:pPr>
      <w:r>
        <w:rPr>
          <w:lang w:val="lt-LT"/>
        </w:rPr>
        <w:t>EXP {mm/MMMM}</w:t>
      </w:r>
    </w:p>
    <w:p w14:paraId="18401367" w14:textId="77777777" w:rsidR="00D77CF6" w:rsidRDefault="00B25D9E">
      <w:pPr>
        <w:pStyle w:val="Betarp"/>
        <w:rPr>
          <w:lang w:val="lt-LT"/>
        </w:rPr>
      </w:pPr>
      <w:r>
        <w:rPr>
          <w:lang w:val="lt-LT"/>
        </w:rPr>
        <w:t>Po pirmojo atidarymo suvartoti per 4 savaites.</w:t>
      </w:r>
    </w:p>
    <w:p w14:paraId="6D3503BF" w14:textId="77777777" w:rsidR="00D77CF6" w:rsidRDefault="00B25D9E">
      <w:pPr>
        <w:pStyle w:val="Betarp"/>
        <w:rPr>
          <w:lang w:val="lt-LT"/>
        </w:rPr>
      </w:pPr>
      <w:r>
        <w:rPr>
          <w:highlight w:val="lightGray"/>
          <w:lang w:val="lt-LT"/>
        </w:rPr>
        <w:t>Po pirmojo atidarymo suvartoti per 3 mėnesius.</w:t>
      </w:r>
      <w:bookmarkStart w:id="59" w:name="_Hlk50706822"/>
      <w:bookmarkEnd w:id="59"/>
    </w:p>
    <w:p w14:paraId="25DDB278" w14:textId="77777777" w:rsidR="00D77CF6" w:rsidRDefault="00B25D9E">
      <w:pPr>
        <w:pStyle w:val="Betarp"/>
        <w:rPr>
          <w:lang w:val="lt-LT"/>
        </w:rPr>
      </w:pPr>
      <w:r>
        <w:rPr>
          <w:lang w:val="lt-LT"/>
        </w:rPr>
        <w:t>Pirmojo atidarymo data:</w:t>
      </w:r>
    </w:p>
    <w:p w14:paraId="451477A4" w14:textId="77777777" w:rsidR="00D77CF6" w:rsidRDefault="00D77CF6">
      <w:pPr>
        <w:pStyle w:val="Betarp"/>
        <w:rPr>
          <w:lang w:val="lt-LT"/>
        </w:rPr>
      </w:pPr>
    </w:p>
    <w:p w14:paraId="3D3EA472" w14:textId="77777777" w:rsidR="00D77CF6" w:rsidRDefault="00D77CF6">
      <w:pPr>
        <w:pStyle w:val="Betarp"/>
        <w:rPr>
          <w:lang w:val="lt-LT"/>
        </w:rPr>
      </w:pPr>
    </w:p>
    <w:p w14:paraId="27378966" w14:textId="77777777" w:rsidR="00D77CF6" w:rsidRDefault="00B25D9E">
      <w:pPr>
        <w:keepNext/>
        <w:pBdr>
          <w:top w:val="single" w:sz="4" w:space="1" w:color="000000"/>
          <w:left w:val="single" w:sz="4" w:space="4" w:color="000000"/>
          <w:bottom w:val="single" w:sz="4" w:space="1" w:color="000000"/>
          <w:right w:val="single" w:sz="4" w:space="4" w:color="000000"/>
        </w:pBdr>
        <w:ind w:left="567" w:hanging="567"/>
        <w:outlineLvl w:val="0"/>
        <w:rPr>
          <w:lang w:val="lt-LT"/>
        </w:rPr>
      </w:pPr>
      <w:r>
        <w:rPr>
          <w:b/>
          <w:lang w:val="lt-LT"/>
        </w:rPr>
        <w:t>9.</w:t>
      </w:r>
      <w:r>
        <w:rPr>
          <w:b/>
          <w:lang w:val="lt-LT"/>
        </w:rPr>
        <w:tab/>
      </w:r>
      <w:r>
        <w:rPr>
          <w:b/>
          <w:caps/>
          <w:lang w:val="lt-LT"/>
        </w:rPr>
        <w:t>SPECIALIOS laikymo sąlygos</w:t>
      </w:r>
    </w:p>
    <w:p w14:paraId="189EDBAF" w14:textId="77777777" w:rsidR="00D77CF6" w:rsidRDefault="00D77CF6">
      <w:pPr>
        <w:pStyle w:val="Betarp"/>
        <w:keepNext/>
        <w:rPr>
          <w:lang w:val="lt-LT"/>
        </w:rPr>
      </w:pPr>
    </w:p>
    <w:p w14:paraId="215E82F2" w14:textId="77777777" w:rsidR="00D77CF6" w:rsidRDefault="00D77CF6">
      <w:pPr>
        <w:pStyle w:val="Betarp"/>
        <w:rPr>
          <w:lang w:val="lt-LT"/>
        </w:rPr>
      </w:pPr>
    </w:p>
    <w:p w14:paraId="41D2447F" w14:textId="77777777" w:rsidR="00D77CF6" w:rsidRDefault="00B25D9E">
      <w:pPr>
        <w:pBdr>
          <w:top w:val="single" w:sz="4" w:space="1" w:color="000000"/>
          <w:left w:val="single" w:sz="4" w:space="4" w:color="000000"/>
          <w:bottom w:val="single" w:sz="4" w:space="1" w:color="000000"/>
          <w:right w:val="single" w:sz="4" w:space="4" w:color="000000"/>
        </w:pBdr>
        <w:ind w:left="567" w:hanging="567"/>
        <w:outlineLvl w:val="0"/>
        <w:rPr>
          <w:b/>
          <w:lang w:val="lt-LT"/>
        </w:rPr>
      </w:pPr>
      <w:r>
        <w:rPr>
          <w:b/>
          <w:lang w:val="lt-LT"/>
        </w:rPr>
        <w:t>10.</w:t>
      </w:r>
      <w:r>
        <w:rPr>
          <w:b/>
          <w:lang w:val="lt-LT"/>
        </w:rPr>
        <w:tab/>
      </w:r>
      <w:r>
        <w:rPr>
          <w:b/>
          <w:caps/>
          <w:lang w:val="lt-LT"/>
        </w:rPr>
        <w:t>specialios atsargumo priemonės DĖL NESUVARTOTO</w:t>
      </w:r>
      <w:r>
        <w:rPr>
          <w:b/>
          <w:bCs/>
          <w:lang w:val="lt-LT"/>
        </w:rPr>
        <w:t xml:space="preserve"> </w:t>
      </w:r>
      <w:r>
        <w:rPr>
          <w:b/>
          <w:bCs/>
          <w:caps/>
          <w:lang w:val="lt-LT"/>
        </w:rPr>
        <w:t>VAISTINIO PREPARATO AR JO ATLIEKU</w:t>
      </w:r>
      <w:r>
        <w:rPr>
          <w:caps/>
          <w:lang w:val="lt-LT"/>
        </w:rPr>
        <w:t xml:space="preserve"> </w:t>
      </w:r>
      <w:r>
        <w:rPr>
          <w:b/>
          <w:bCs/>
          <w:caps/>
          <w:lang w:val="lt-LT"/>
        </w:rPr>
        <w:t>TVARKYMO</w:t>
      </w:r>
      <w:r>
        <w:rPr>
          <w:b/>
          <w:caps/>
          <w:lang w:val="lt-LT"/>
        </w:rPr>
        <w:t xml:space="preserve"> (jei reikia)</w:t>
      </w:r>
    </w:p>
    <w:p w14:paraId="3A9A9A06" w14:textId="77777777" w:rsidR="00D77CF6" w:rsidRDefault="00D77CF6">
      <w:pPr>
        <w:rPr>
          <w:lang w:val="lt-LT"/>
        </w:rPr>
      </w:pPr>
    </w:p>
    <w:p w14:paraId="5813A282" w14:textId="77777777" w:rsidR="00D77CF6" w:rsidRDefault="00D77CF6">
      <w:pPr>
        <w:rPr>
          <w:lang w:val="lt-LT"/>
        </w:rPr>
      </w:pPr>
    </w:p>
    <w:p w14:paraId="044E3643" w14:textId="77777777" w:rsidR="00D77CF6" w:rsidRDefault="00B25D9E">
      <w:pPr>
        <w:pBdr>
          <w:top w:val="single" w:sz="4" w:space="1" w:color="000000"/>
          <w:left w:val="single" w:sz="4" w:space="4" w:color="000000"/>
          <w:bottom w:val="single" w:sz="4" w:space="1" w:color="000000"/>
          <w:right w:val="single" w:sz="4" w:space="4" w:color="000000"/>
        </w:pBdr>
        <w:outlineLvl w:val="0"/>
        <w:rPr>
          <w:b/>
          <w:lang w:val="lt-LT"/>
        </w:rPr>
      </w:pPr>
      <w:r>
        <w:rPr>
          <w:b/>
          <w:lang w:val="lt-LT"/>
        </w:rPr>
        <w:t>11.</w:t>
      </w:r>
      <w:r>
        <w:rPr>
          <w:b/>
          <w:lang w:val="lt-LT"/>
        </w:rPr>
        <w:tab/>
      </w:r>
      <w:r>
        <w:rPr>
          <w:b/>
          <w:caps/>
          <w:lang w:val="lt-LT"/>
        </w:rPr>
        <w:t>REGISTRUOTOJO pavadinimas ir adresas</w:t>
      </w:r>
    </w:p>
    <w:p w14:paraId="4784646F" w14:textId="77777777" w:rsidR="00D77CF6" w:rsidRDefault="00D77CF6">
      <w:pPr>
        <w:pStyle w:val="Betarp"/>
        <w:rPr>
          <w:lang w:val="lt-LT"/>
        </w:rPr>
      </w:pPr>
    </w:p>
    <w:p w14:paraId="3D0DC3BA" w14:textId="77777777" w:rsidR="00D77CF6" w:rsidRDefault="00B25D9E">
      <w:pPr>
        <w:pStyle w:val="Betarp"/>
        <w:rPr>
          <w:lang w:val="lt-LT"/>
        </w:rPr>
      </w:pPr>
      <w:r>
        <w:rPr>
          <w:lang w:val="lt-LT"/>
        </w:rPr>
        <w:t>Laboratoires THEA</w:t>
      </w:r>
    </w:p>
    <w:p w14:paraId="541A8266" w14:textId="77777777" w:rsidR="00D77CF6" w:rsidRDefault="00B25D9E">
      <w:pPr>
        <w:pStyle w:val="Betarp"/>
        <w:rPr>
          <w:lang w:val="lt-LT"/>
        </w:rPr>
      </w:pPr>
      <w:r>
        <w:rPr>
          <w:lang w:val="lt-LT"/>
        </w:rPr>
        <w:t>12 rue Louis Blériot</w:t>
      </w:r>
    </w:p>
    <w:p w14:paraId="18095601" w14:textId="77777777" w:rsidR="00D77CF6" w:rsidRDefault="00B25D9E">
      <w:pPr>
        <w:pStyle w:val="Betarp"/>
        <w:rPr>
          <w:lang w:val="lt-LT"/>
        </w:rPr>
      </w:pPr>
      <w:r>
        <w:rPr>
          <w:lang w:val="lt-LT"/>
        </w:rPr>
        <w:t>63017 Clermont-Ferrand Cedex 2</w:t>
      </w:r>
    </w:p>
    <w:p w14:paraId="39351AC3" w14:textId="77777777" w:rsidR="00D77CF6" w:rsidRDefault="00B25D9E">
      <w:pPr>
        <w:pStyle w:val="Betarp"/>
        <w:rPr>
          <w:lang w:val="lt-LT"/>
        </w:rPr>
      </w:pPr>
      <w:r>
        <w:rPr>
          <w:lang w:val="lt-LT"/>
        </w:rPr>
        <w:t>Prancūzija</w:t>
      </w:r>
    </w:p>
    <w:p w14:paraId="45507FBC" w14:textId="77777777" w:rsidR="00D77CF6" w:rsidRDefault="00D77CF6">
      <w:pPr>
        <w:pStyle w:val="Betarp"/>
        <w:rPr>
          <w:lang w:val="lt-LT"/>
        </w:rPr>
      </w:pPr>
    </w:p>
    <w:p w14:paraId="3C41216B" w14:textId="77777777" w:rsidR="00D77CF6" w:rsidRDefault="00D77CF6">
      <w:pPr>
        <w:pStyle w:val="Betarp"/>
        <w:rPr>
          <w:lang w:val="lt-LT"/>
        </w:rPr>
      </w:pPr>
    </w:p>
    <w:p w14:paraId="29ABE2B5" w14:textId="77777777" w:rsidR="00D77CF6" w:rsidRDefault="00B25D9E">
      <w:pPr>
        <w:pBdr>
          <w:top w:val="single" w:sz="4" w:space="1" w:color="000000"/>
          <w:left w:val="single" w:sz="4" w:space="4" w:color="000000"/>
          <w:bottom w:val="single" w:sz="4" w:space="1" w:color="000000"/>
          <w:right w:val="single" w:sz="4" w:space="4" w:color="000000"/>
        </w:pBdr>
        <w:outlineLvl w:val="0"/>
        <w:rPr>
          <w:lang w:val="lt-LT"/>
        </w:rPr>
      </w:pPr>
      <w:r>
        <w:rPr>
          <w:b/>
          <w:lang w:val="lt-LT"/>
        </w:rPr>
        <w:t>12.</w:t>
      </w:r>
      <w:r>
        <w:rPr>
          <w:b/>
          <w:lang w:val="lt-LT"/>
        </w:rPr>
        <w:tab/>
      </w:r>
      <w:r>
        <w:rPr>
          <w:b/>
          <w:caps/>
          <w:lang w:val="lt-LT"/>
        </w:rPr>
        <w:t>REGISTRACIJOS PAŽYMĖJIMO numeris</w:t>
      </w:r>
      <w:r>
        <w:rPr>
          <w:b/>
          <w:lang w:val="lt-LT"/>
        </w:rPr>
        <w:t xml:space="preserve"> (-IAI)</w:t>
      </w:r>
    </w:p>
    <w:p w14:paraId="4225159E" w14:textId="77777777" w:rsidR="00D77CF6" w:rsidRDefault="00D77CF6">
      <w:pPr>
        <w:pStyle w:val="Betarp"/>
        <w:rPr>
          <w:lang w:val="lt-LT"/>
        </w:rPr>
      </w:pPr>
    </w:p>
    <w:p w14:paraId="3BA48F95" w14:textId="77777777" w:rsidR="00E91085" w:rsidRPr="00970BA1" w:rsidRDefault="00E91085" w:rsidP="00E91085">
      <w:pPr>
        <w:rPr>
          <w:iCs/>
          <w:highlight w:val="lightGray"/>
          <w:lang w:val="lt-LT"/>
        </w:rPr>
      </w:pPr>
      <w:r>
        <w:rPr>
          <w:lang w:val="lt-LT"/>
        </w:rPr>
        <w:t>LT/1/21/4683</w:t>
      </w:r>
      <w:r w:rsidRPr="00F44299">
        <w:rPr>
          <w:lang w:val="lt-LT"/>
        </w:rPr>
        <w:t>/001</w:t>
      </w:r>
      <w:r w:rsidRPr="00F44299">
        <w:rPr>
          <w:bCs/>
          <w:lang w:val="lt-LT"/>
        </w:rPr>
        <w:t xml:space="preserve"> </w:t>
      </w:r>
      <w:r w:rsidRPr="00970BA1">
        <w:rPr>
          <w:iCs/>
          <w:highlight w:val="lightGray"/>
          <w:lang w:val="lt-LT"/>
        </w:rPr>
        <w:t>– 2,5 ml, N1</w:t>
      </w:r>
    </w:p>
    <w:p w14:paraId="332515F4" w14:textId="77777777" w:rsidR="00E91085" w:rsidRPr="00970BA1" w:rsidRDefault="00E91085" w:rsidP="00E91085">
      <w:pPr>
        <w:pStyle w:val="Betarp"/>
        <w:rPr>
          <w:iCs/>
          <w:highlight w:val="lightGray"/>
          <w:lang w:val="lt-LT"/>
        </w:rPr>
      </w:pPr>
      <w:r w:rsidRPr="00970BA1">
        <w:rPr>
          <w:iCs/>
          <w:highlight w:val="lightGray"/>
          <w:lang w:val="lt-LT"/>
        </w:rPr>
        <w:t>LT/1/21/4683/002 – 6 ml, N1</w:t>
      </w:r>
    </w:p>
    <w:p w14:paraId="23BB1C67" w14:textId="77777777" w:rsidR="00D77CF6" w:rsidRDefault="00D77CF6">
      <w:pPr>
        <w:pStyle w:val="Betarp"/>
        <w:rPr>
          <w:bCs/>
          <w:lang w:val="lt-LT"/>
        </w:rPr>
      </w:pPr>
    </w:p>
    <w:p w14:paraId="5C3D5244" w14:textId="77777777" w:rsidR="00D77CF6" w:rsidRDefault="00D77CF6">
      <w:pPr>
        <w:pStyle w:val="Betarp"/>
        <w:rPr>
          <w:lang w:val="lt-LT"/>
        </w:rPr>
      </w:pPr>
    </w:p>
    <w:p w14:paraId="3789D30B" w14:textId="77777777" w:rsidR="00D77CF6" w:rsidRDefault="00B25D9E">
      <w:pPr>
        <w:pBdr>
          <w:top w:val="single" w:sz="4" w:space="1" w:color="000000"/>
          <w:left w:val="single" w:sz="4" w:space="4" w:color="000000"/>
          <w:bottom w:val="single" w:sz="4" w:space="1" w:color="000000"/>
          <w:right w:val="single" w:sz="4" w:space="4" w:color="000000"/>
        </w:pBdr>
        <w:outlineLvl w:val="0"/>
        <w:rPr>
          <w:lang w:val="lt-LT"/>
        </w:rPr>
      </w:pPr>
      <w:r>
        <w:rPr>
          <w:b/>
          <w:lang w:val="lt-LT"/>
        </w:rPr>
        <w:t>13.</w:t>
      </w:r>
      <w:r>
        <w:rPr>
          <w:b/>
          <w:lang w:val="lt-LT"/>
        </w:rPr>
        <w:tab/>
        <w:t>SERIJOS NUMERIS</w:t>
      </w:r>
    </w:p>
    <w:p w14:paraId="3D722CC1" w14:textId="77777777" w:rsidR="00D77CF6" w:rsidRDefault="00D77CF6">
      <w:pPr>
        <w:pStyle w:val="Betarp"/>
        <w:rPr>
          <w:lang w:val="lt-LT"/>
        </w:rPr>
      </w:pPr>
    </w:p>
    <w:p w14:paraId="602BC732" w14:textId="77777777" w:rsidR="00D77CF6" w:rsidRDefault="00B25D9E">
      <w:pPr>
        <w:pStyle w:val="Betarp"/>
        <w:rPr>
          <w:lang w:val="lt-LT"/>
        </w:rPr>
      </w:pPr>
      <w:r>
        <w:rPr>
          <w:lang w:val="lt-LT"/>
        </w:rPr>
        <w:t>Lot {numeris}</w:t>
      </w:r>
    </w:p>
    <w:p w14:paraId="0A85B643" w14:textId="77777777" w:rsidR="00D77CF6" w:rsidRDefault="00D77CF6">
      <w:pPr>
        <w:pStyle w:val="Betarp"/>
        <w:rPr>
          <w:lang w:val="lt-LT"/>
        </w:rPr>
      </w:pPr>
    </w:p>
    <w:p w14:paraId="46ADEDCC" w14:textId="77777777" w:rsidR="00D77CF6" w:rsidRDefault="00D77CF6">
      <w:pPr>
        <w:pStyle w:val="Betarp"/>
        <w:rPr>
          <w:lang w:val="lt-LT"/>
        </w:rPr>
      </w:pPr>
    </w:p>
    <w:p w14:paraId="19889390" w14:textId="77777777" w:rsidR="00D77CF6" w:rsidRDefault="00B25D9E">
      <w:pPr>
        <w:pBdr>
          <w:top w:val="single" w:sz="4" w:space="1" w:color="000000"/>
          <w:left w:val="single" w:sz="4" w:space="4" w:color="000000"/>
          <w:bottom w:val="single" w:sz="4" w:space="1" w:color="000000"/>
          <w:right w:val="single" w:sz="4" w:space="4" w:color="000000"/>
        </w:pBdr>
        <w:outlineLvl w:val="0"/>
        <w:rPr>
          <w:lang w:val="lt-LT"/>
        </w:rPr>
      </w:pPr>
      <w:r>
        <w:rPr>
          <w:b/>
          <w:lang w:val="lt-LT"/>
        </w:rPr>
        <w:t>14.</w:t>
      </w:r>
      <w:r>
        <w:rPr>
          <w:b/>
          <w:lang w:val="lt-LT"/>
        </w:rPr>
        <w:tab/>
        <w:t>PARDAVIMO (IŠDAVIMO)</w:t>
      </w:r>
      <w:r>
        <w:rPr>
          <w:b/>
          <w:caps/>
          <w:lang w:val="lt-LT"/>
        </w:rPr>
        <w:t xml:space="preserve"> tvarka</w:t>
      </w:r>
    </w:p>
    <w:p w14:paraId="2791B6BC" w14:textId="77777777" w:rsidR="00D77CF6" w:rsidRDefault="00D77CF6">
      <w:pPr>
        <w:pStyle w:val="Betarp"/>
        <w:rPr>
          <w:lang w:val="lt-LT"/>
        </w:rPr>
      </w:pPr>
    </w:p>
    <w:p w14:paraId="1C1BFF59" w14:textId="77777777" w:rsidR="00D77CF6" w:rsidRDefault="00B25D9E">
      <w:pPr>
        <w:pStyle w:val="Betarp"/>
        <w:rPr>
          <w:lang w:val="lt-LT"/>
        </w:rPr>
      </w:pPr>
      <w:r>
        <w:rPr>
          <w:lang w:val="lt-LT"/>
        </w:rPr>
        <w:t>Receptinis vaistas.</w:t>
      </w:r>
    </w:p>
    <w:p w14:paraId="791FC3E2" w14:textId="77777777" w:rsidR="00D77CF6" w:rsidRDefault="00D77CF6">
      <w:pPr>
        <w:pStyle w:val="Betarp"/>
        <w:rPr>
          <w:lang w:val="lt-LT"/>
        </w:rPr>
      </w:pPr>
    </w:p>
    <w:p w14:paraId="52AAAB0A" w14:textId="77777777" w:rsidR="00D77CF6" w:rsidRDefault="00D77CF6">
      <w:pPr>
        <w:pStyle w:val="Betarp"/>
        <w:rPr>
          <w:lang w:val="lt-LT"/>
        </w:rPr>
      </w:pPr>
    </w:p>
    <w:p w14:paraId="787074DF" w14:textId="77777777" w:rsidR="00D77CF6" w:rsidRDefault="00B25D9E">
      <w:pPr>
        <w:pBdr>
          <w:top w:val="single" w:sz="4" w:space="1" w:color="000000"/>
          <w:left w:val="single" w:sz="4" w:space="4" w:color="000000"/>
          <w:bottom w:val="single" w:sz="4" w:space="1" w:color="000000"/>
          <w:right w:val="single" w:sz="4" w:space="4" w:color="000000"/>
        </w:pBdr>
        <w:outlineLvl w:val="0"/>
        <w:rPr>
          <w:lang w:val="lt-LT"/>
        </w:rPr>
      </w:pPr>
      <w:r>
        <w:rPr>
          <w:b/>
          <w:lang w:val="lt-LT"/>
        </w:rPr>
        <w:t>15.</w:t>
      </w:r>
      <w:r>
        <w:rPr>
          <w:b/>
          <w:lang w:val="lt-LT"/>
        </w:rPr>
        <w:tab/>
      </w:r>
      <w:r>
        <w:rPr>
          <w:b/>
          <w:caps/>
          <w:lang w:val="lt-LT"/>
        </w:rPr>
        <w:t>vartojimo instrukcijA</w:t>
      </w:r>
    </w:p>
    <w:p w14:paraId="0D4091D7" w14:textId="77777777" w:rsidR="00D77CF6" w:rsidRDefault="00D77CF6">
      <w:pPr>
        <w:pStyle w:val="Betarp"/>
        <w:rPr>
          <w:lang w:val="lt-LT"/>
        </w:rPr>
      </w:pPr>
    </w:p>
    <w:p w14:paraId="01279E48" w14:textId="77777777" w:rsidR="00D77CF6" w:rsidRDefault="00D77CF6">
      <w:pPr>
        <w:pStyle w:val="Betarp"/>
        <w:rPr>
          <w:lang w:val="lt-LT"/>
        </w:rPr>
      </w:pPr>
    </w:p>
    <w:p w14:paraId="67EFD3F8" w14:textId="77777777" w:rsidR="00D77CF6" w:rsidRDefault="00D77CF6">
      <w:pPr>
        <w:pStyle w:val="Betarp"/>
        <w:rPr>
          <w:lang w:val="lt-LT"/>
        </w:rPr>
      </w:pPr>
    </w:p>
    <w:p w14:paraId="76A3CA8D" w14:textId="77777777" w:rsidR="00D77CF6" w:rsidRDefault="00B25D9E">
      <w:pPr>
        <w:pBdr>
          <w:top w:val="single" w:sz="4" w:space="1" w:color="000000"/>
          <w:left w:val="single" w:sz="4" w:space="4" w:color="000000"/>
          <w:bottom w:val="single" w:sz="4" w:space="1" w:color="000000"/>
          <w:right w:val="single" w:sz="4" w:space="4" w:color="000000"/>
        </w:pBdr>
        <w:outlineLvl w:val="0"/>
        <w:rPr>
          <w:lang w:val="lt-LT"/>
        </w:rPr>
      </w:pPr>
      <w:r>
        <w:rPr>
          <w:b/>
          <w:lang w:val="lt-LT"/>
        </w:rPr>
        <w:t>16.</w:t>
      </w:r>
      <w:r>
        <w:rPr>
          <w:b/>
          <w:lang w:val="lt-LT"/>
        </w:rPr>
        <w:tab/>
        <w:t>INFORMACIJA BRAILIO RAŠTU</w:t>
      </w:r>
    </w:p>
    <w:p w14:paraId="049E7963" w14:textId="77777777" w:rsidR="00D77CF6" w:rsidRDefault="00D77CF6">
      <w:pPr>
        <w:pStyle w:val="Betarp"/>
        <w:rPr>
          <w:lang w:val="lt-LT"/>
        </w:rPr>
      </w:pPr>
    </w:p>
    <w:p w14:paraId="4EA38FAC" w14:textId="77777777" w:rsidR="00D77CF6" w:rsidRDefault="00B25D9E">
      <w:pPr>
        <w:pStyle w:val="Betarp"/>
        <w:rPr>
          <w:lang w:val="lt-LT"/>
        </w:rPr>
      </w:pPr>
      <w:r>
        <w:rPr>
          <w:lang w:val="lt-LT"/>
        </w:rPr>
        <w:t>fixopost</w:t>
      </w:r>
    </w:p>
    <w:p w14:paraId="73CBA8FA" w14:textId="77777777" w:rsidR="00D77CF6" w:rsidRDefault="00D77CF6">
      <w:pPr>
        <w:pStyle w:val="Betarp"/>
        <w:rPr>
          <w:lang w:val="lt-LT"/>
        </w:rPr>
      </w:pPr>
    </w:p>
    <w:p w14:paraId="671E6372" w14:textId="77777777" w:rsidR="00D77CF6" w:rsidRDefault="00D77CF6">
      <w:pPr>
        <w:pStyle w:val="Betarp"/>
        <w:rPr>
          <w:lang w:val="lt-LT"/>
        </w:rPr>
      </w:pPr>
    </w:p>
    <w:p w14:paraId="13DA0A85" w14:textId="77777777" w:rsidR="00D77CF6" w:rsidRDefault="00B25D9E">
      <w:pPr>
        <w:keepNext/>
        <w:pBdr>
          <w:top w:val="single" w:sz="4" w:space="1" w:color="000000"/>
          <w:left w:val="single" w:sz="4" w:space="4" w:color="000000"/>
          <w:bottom w:val="single" w:sz="4" w:space="1" w:color="000000"/>
          <w:right w:val="single" w:sz="4" w:space="4" w:color="000000"/>
        </w:pBdr>
        <w:tabs>
          <w:tab w:val="left" w:pos="0"/>
        </w:tabs>
        <w:outlineLvl w:val="0"/>
        <w:rPr>
          <w:i/>
          <w:lang w:val="lt-LT"/>
        </w:rPr>
      </w:pPr>
      <w:r>
        <w:rPr>
          <w:b/>
          <w:lang w:val="lt-LT"/>
        </w:rPr>
        <w:t>17.</w:t>
      </w:r>
      <w:r>
        <w:rPr>
          <w:b/>
          <w:lang w:val="lt-LT"/>
        </w:rPr>
        <w:tab/>
        <w:t>UNIKALUS IDENTIFIKATORIUS – 2D BRŪKŠNINIS KODAS</w:t>
      </w:r>
    </w:p>
    <w:p w14:paraId="2ED25EB1" w14:textId="77777777" w:rsidR="00D77CF6" w:rsidRDefault="00D77CF6">
      <w:pPr>
        <w:pStyle w:val="Betarp"/>
        <w:rPr>
          <w:lang w:val="lt-LT"/>
        </w:rPr>
      </w:pPr>
    </w:p>
    <w:p w14:paraId="578785FD" w14:textId="77777777" w:rsidR="00D77CF6" w:rsidRDefault="00B25D9E">
      <w:pPr>
        <w:pStyle w:val="Betarp"/>
        <w:rPr>
          <w:lang w:val="lt-LT"/>
        </w:rPr>
      </w:pPr>
      <w:r>
        <w:rPr>
          <w:highlight w:val="lightGray"/>
          <w:lang w:val="lt-LT"/>
        </w:rPr>
        <w:t>2D brūkšninis kodas su nurodytu unikaliu identifikatoriumi.</w:t>
      </w:r>
    </w:p>
    <w:p w14:paraId="052C2503" w14:textId="77777777" w:rsidR="00D77CF6" w:rsidRDefault="00D77CF6">
      <w:pPr>
        <w:pStyle w:val="Betarp"/>
        <w:rPr>
          <w:lang w:val="lt-LT"/>
        </w:rPr>
      </w:pPr>
    </w:p>
    <w:p w14:paraId="09949F5D" w14:textId="77777777" w:rsidR="00D77CF6" w:rsidRDefault="00D77CF6">
      <w:pPr>
        <w:pStyle w:val="Betarp"/>
        <w:rPr>
          <w:lang w:val="lt-LT"/>
        </w:rPr>
      </w:pPr>
    </w:p>
    <w:p w14:paraId="25B259E6" w14:textId="77777777" w:rsidR="00D77CF6" w:rsidRDefault="00B25D9E">
      <w:pPr>
        <w:keepNext/>
        <w:pBdr>
          <w:top w:val="single" w:sz="4" w:space="1" w:color="000000"/>
          <w:left w:val="single" w:sz="4" w:space="4" w:color="000000"/>
          <w:bottom w:val="single" w:sz="4" w:space="1" w:color="000000"/>
          <w:right w:val="single" w:sz="4" w:space="4" w:color="000000"/>
        </w:pBdr>
        <w:tabs>
          <w:tab w:val="left" w:pos="0"/>
        </w:tabs>
        <w:outlineLvl w:val="0"/>
        <w:rPr>
          <w:i/>
          <w:lang w:val="lt-LT"/>
        </w:rPr>
      </w:pPr>
      <w:r>
        <w:rPr>
          <w:b/>
          <w:lang w:val="lt-LT"/>
        </w:rPr>
        <w:t>18.</w:t>
      </w:r>
      <w:r>
        <w:rPr>
          <w:b/>
          <w:lang w:val="lt-LT"/>
        </w:rPr>
        <w:tab/>
        <w:t>UNIKALUS IDENTIFIKATORIUS – ŽMONĖMS SUPRANTAMI DUOMENYS</w:t>
      </w:r>
    </w:p>
    <w:p w14:paraId="462F9F5A" w14:textId="77777777" w:rsidR="00D77CF6" w:rsidRDefault="00D77CF6">
      <w:pPr>
        <w:pStyle w:val="Betarp"/>
        <w:rPr>
          <w:lang w:val="lt-LT"/>
        </w:rPr>
      </w:pPr>
    </w:p>
    <w:p w14:paraId="2C010E85" w14:textId="77777777" w:rsidR="00D77CF6" w:rsidRDefault="00B25D9E">
      <w:pPr>
        <w:pStyle w:val="Betarp"/>
        <w:rPr>
          <w:lang w:val="lt-LT"/>
        </w:rPr>
      </w:pPr>
      <w:r>
        <w:rPr>
          <w:lang w:val="lt-LT"/>
        </w:rPr>
        <w:t>PC {numeris}</w:t>
      </w:r>
    </w:p>
    <w:p w14:paraId="3F96E174" w14:textId="77777777" w:rsidR="00D77CF6" w:rsidRDefault="00B25D9E">
      <w:pPr>
        <w:pStyle w:val="Betarp"/>
        <w:rPr>
          <w:lang w:val="lt-LT"/>
        </w:rPr>
      </w:pPr>
      <w:r>
        <w:rPr>
          <w:lang w:val="lt-LT"/>
        </w:rPr>
        <w:t>SN {numeris}</w:t>
      </w:r>
    </w:p>
    <w:p w14:paraId="1A53F084" w14:textId="77777777" w:rsidR="00D77CF6" w:rsidRDefault="00B25D9E">
      <w:pPr>
        <w:pStyle w:val="Betarp"/>
        <w:rPr>
          <w:lang w:val="lt-LT"/>
        </w:rPr>
      </w:pPr>
      <w:r>
        <w:rPr>
          <w:lang w:val="lt-LT"/>
        </w:rPr>
        <w:t>NN {numeris}</w:t>
      </w:r>
    </w:p>
    <w:p w14:paraId="213EB579" w14:textId="77777777" w:rsidR="00D77CF6" w:rsidRDefault="00B25D9E">
      <w:pPr>
        <w:rPr>
          <w:lang w:val="lt-LT"/>
        </w:rPr>
      </w:pPr>
      <w:r w:rsidRPr="00D7535D">
        <w:rPr>
          <w:lang w:val="lt-LT"/>
        </w:rPr>
        <w:br w:type="page"/>
      </w:r>
    </w:p>
    <w:p w14:paraId="7DC49B4D" w14:textId="77777777" w:rsidR="00D77CF6" w:rsidRDefault="00B25D9E">
      <w:pPr>
        <w:pBdr>
          <w:top w:val="single" w:sz="4" w:space="1" w:color="000000"/>
          <w:left w:val="single" w:sz="4" w:space="4" w:color="000000"/>
          <w:bottom w:val="single" w:sz="4" w:space="1" w:color="000000"/>
          <w:right w:val="single" w:sz="4" w:space="4" w:color="000000"/>
        </w:pBdr>
        <w:rPr>
          <w:b/>
          <w:lang w:val="lt-LT"/>
        </w:rPr>
      </w:pPr>
      <w:r>
        <w:rPr>
          <w:b/>
          <w:lang w:val="lt-LT"/>
        </w:rPr>
        <w:t xml:space="preserve">MINIMALI </w:t>
      </w:r>
      <w:r>
        <w:rPr>
          <w:b/>
          <w:caps/>
          <w:lang w:val="lt-LT"/>
        </w:rPr>
        <w:t xml:space="preserve">informacija ant </w:t>
      </w:r>
      <w:r>
        <w:rPr>
          <w:b/>
          <w:lang w:val="lt-LT"/>
        </w:rPr>
        <w:t>MAŽŲ VIDINIŲ PAKUOČIŲ</w:t>
      </w:r>
    </w:p>
    <w:p w14:paraId="7A86C996" w14:textId="77777777" w:rsidR="00D77CF6" w:rsidRDefault="00D77CF6">
      <w:pPr>
        <w:pBdr>
          <w:top w:val="single" w:sz="4" w:space="1" w:color="000000"/>
          <w:left w:val="single" w:sz="4" w:space="4" w:color="000000"/>
          <w:bottom w:val="single" w:sz="4" w:space="1" w:color="000000"/>
          <w:right w:val="single" w:sz="4" w:space="4" w:color="000000"/>
        </w:pBdr>
        <w:rPr>
          <w:b/>
          <w:lang w:val="lt-LT"/>
        </w:rPr>
      </w:pPr>
    </w:p>
    <w:p w14:paraId="1FF07FFF" w14:textId="77777777" w:rsidR="00D77CF6" w:rsidRDefault="00B25D9E">
      <w:pPr>
        <w:pBdr>
          <w:top w:val="single" w:sz="4" w:space="1" w:color="000000"/>
          <w:left w:val="single" w:sz="4" w:space="4" w:color="000000"/>
          <w:bottom w:val="single" w:sz="4" w:space="1" w:color="000000"/>
          <w:right w:val="single" w:sz="4" w:space="4" w:color="000000"/>
        </w:pBdr>
        <w:rPr>
          <w:b/>
          <w:lang w:val="lt-LT"/>
        </w:rPr>
      </w:pPr>
      <w:r>
        <w:rPr>
          <w:b/>
          <w:lang w:val="lt-LT"/>
        </w:rPr>
        <w:t>BUTELIUKAS</w:t>
      </w:r>
    </w:p>
    <w:p w14:paraId="686B20E4" w14:textId="77777777" w:rsidR="00D77CF6" w:rsidRDefault="00D77CF6">
      <w:pPr>
        <w:rPr>
          <w:lang w:val="lt-LT"/>
        </w:rPr>
      </w:pPr>
    </w:p>
    <w:p w14:paraId="70D9C110" w14:textId="77777777" w:rsidR="00D77CF6" w:rsidRDefault="00D77CF6">
      <w:pPr>
        <w:rPr>
          <w:lang w:val="lt-LT"/>
        </w:rPr>
      </w:pPr>
    </w:p>
    <w:p w14:paraId="6CD074C7" w14:textId="77777777" w:rsidR="00D77CF6" w:rsidRDefault="00B25D9E">
      <w:pPr>
        <w:pBdr>
          <w:top w:val="single" w:sz="4" w:space="1" w:color="000000"/>
          <w:left w:val="single" w:sz="4" w:space="4" w:color="000000"/>
          <w:bottom w:val="single" w:sz="4" w:space="1" w:color="000000"/>
          <w:right w:val="single" w:sz="4" w:space="4" w:color="000000"/>
        </w:pBdr>
        <w:outlineLvl w:val="0"/>
        <w:rPr>
          <w:b/>
          <w:lang w:val="lt-LT"/>
        </w:rPr>
      </w:pPr>
      <w:r>
        <w:rPr>
          <w:b/>
          <w:lang w:val="lt-LT"/>
        </w:rPr>
        <w:t>1.</w:t>
      </w:r>
      <w:r>
        <w:rPr>
          <w:b/>
          <w:lang w:val="lt-LT"/>
        </w:rPr>
        <w:tab/>
      </w:r>
      <w:r>
        <w:rPr>
          <w:b/>
          <w:caps/>
          <w:lang w:val="lt-LT"/>
        </w:rPr>
        <w:t>Vaistinio preparato pavadinimas iR VARTOJIMO BŪDAS (-AI)</w:t>
      </w:r>
    </w:p>
    <w:p w14:paraId="141CDAC6" w14:textId="77777777" w:rsidR="00D77CF6" w:rsidRDefault="00D77CF6">
      <w:pPr>
        <w:pStyle w:val="Betarp"/>
        <w:rPr>
          <w:lang w:val="lt-LT"/>
        </w:rPr>
      </w:pPr>
    </w:p>
    <w:p w14:paraId="3201A7BC" w14:textId="77777777" w:rsidR="00D77CF6" w:rsidRDefault="00B25D9E">
      <w:pPr>
        <w:pStyle w:val="Betarp"/>
        <w:rPr>
          <w:lang w:val="lt-LT"/>
        </w:rPr>
      </w:pPr>
      <w:r>
        <w:rPr>
          <w:lang w:val="lt-LT"/>
        </w:rPr>
        <w:t>Fixopost 50 µg/5 mg/ml akių lašai</w:t>
      </w:r>
    </w:p>
    <w:p w14:paraId="048CADEB" w14:textId="77777777" w:rsidR="00D77CF6" w:rsidRDefault="00B25D9E">
      <w:pPr>
        <w:pStyle w:val="Betarp"/>
        <w:rPr>
          <w:lang w:val="lt-LT"/>
        </w:rPr>
      </w:pPr>
      <w:r>
        <w:rPr>
          <w:lang w:val="lt-LT"/>
        </w:rPr>
        <w:t>latanoprostum/timololum</w:t>
      </w:r>
    </w:p>
    <w:p w14:paraId="23F8C2F3" w14:textId="77777777" w:rsidR="00D77CF6" w:rsidRDefault="00B25D9E">
      <w:pPr>
        <w:pStyle w:val="Betarp"/>
        <w:rPr>
          <w:lang w:val="lt-LT"/>
        </w:rPr>
      </w:pPr>
      <w:r>
        <w:rPr>
          <w:highlight w:val="lightGray"/>
          <w:lang w:val="lt-LT"/>
        </w:rPr>
        <w:t>Vartoti ant akių</w:t>
      </w:r>
    </w:p>
    <w:p w14:paraId="195BAF0F" w14:textId="77777777" w:rsidR="00D77CF6" w:rsidRDefault="00D77CF6">
      <w:pPr>
        <w:pStyle w:val="Betarp"/>
        <w:rPr>
          <w:lang w:val="lt-LT"/>
        </w:rPr>
      </w:pPr>
    </w:p>
    <w:p w14:paraId="6D579090" w14:textId="77777777" w:rsidR="00D77CF6" w:rsidRDefault="00D77CF6">
      <w:pPr>
        <w:pStyle w:val="Betarp"/>
        <w:rPr>
          <w:lang w:val="lt-LT"/>
        </w:rPr>
      </w:pPr>
    </w:p>
    <w:p w14:paraId="5351D468" w14:textId="77777777" w:rsidR="00D77CF6" w:rsidRDefault="00B25D9E">
      <w:pPr>
        <w:pBdr>
          <w:top w:val="single" w:sz="4" w:space="1" w:color="000000"/>
          <w:left w:val="single" w:sz="4" w:space="4" w:color="000000"/>
          <w:bottom w:val="single" w:sz="4" w:space="1" w:color="000000"/>
          <w:right w:val="single" w:sz="4" w:space="4" w:color="000000"/>
        </w:pBdr>
        <w:outlineLvl w:val="0"/>
        <w:rPr>
          <w:lang w:val="lt-LT"/>
        </w:rPr>
      </w:pPr>
      <w:r>
        <w:rPr>
          <w:b/>
          <w:lang w:val="lt-LT"/>
        </w:rPr>
        <w:t>2.</w:t>
      </w:r>
      <w:r>
        <w:rPr>
          <w:b/>
          <w:lang w:val="lt-LT"/>
        </w:rPr>
        <w:tab/>
      </w:r>
      <w:r>
        <w:rPr>
          <w:b/>
          <w:caps/>
          <w:lang w:val="lt-LT"/>
        </w:rPr>
        <w:t>VARTOJIMO METODAS</w:t>
      </w:r>
    </w:p>
    <w:p w14:paraId="054E696F" w14:textId="77777777" w:rsidR="00D77CF6" w:rsidRDefault="00D77CF6">
      <w:pPr>
        <w:pStyle w:val="Betarp"/>
        <w:rPr>
          <w:lang w:val="lt-LT"/>
        </w:rPr>
      </w:pPr>
    </w:p>
    <w:p w14:paraId="2C2F7E06" w14:textId="77777777" w:rsidR="00D77CF6" w:rsidRDefault="00D77CF6">
      <w:pPr>
        <w:pStyle w:val="Betarp"/>
        <w:rPr>
          <w:lang w:val="lt-LT"/>
        </w:rPr>
      </w:pPr>
    </w:p>
    <w:p w14:paraId="35027696" w14:textId="77777777" w:rsidR="00D77CF6" w:rsidRDefault="00D77CF6">
      <w:pPr>
        <w:pStyle w:val="Betarp"/>
        <w:rPr>
          <w:lang w:val="lt-LT"/>
        </w:rPr>
      </w:pPr>
    </w:p>
    <w:p w14:paraId="3A8C1A21" w14:textId="77777777" w:rsidR="00D77CF6" w:rsidRDefault="00B25D9E">
      <w:pPr>
        <w:pBdr>
          <w:top w:val="single" w:sz="4" w:space="1" w:color="000000"/>
          <w:left w:val="single" w:sz="4" w:space="4" w:color="000000"/>
          <w:bottom w:val="single" w:sz="4" w:space="1" w:color="000000"/>
          <w:right w:val="single" w:sz="4" w:space="4" w:color="000000"/>
        </w:pBdr>
        <w:outlineLvl w:val="0"/>
        <w:rPr>
          <w:b/>
          <w:lang w:val="lt-LT"/>
        </w:rPr>
      </w:pPr>
      <w:r>
        <w:rPr>
          <w:b/>
          <w:lang w:val="lt-LT"/>
        </w:rPr>
        <w:t>3.</w:t>
      </w:r>
      <w:r>
        <w:rPr>
          <w:b/>
          <w:lang w:val="lt-LT"/>
        </w:rPr>
        <w:tab/>
      </w:r>
      <w:r>
        <w:rPr>
          <w:b/>
          <w:caps/>
          <w:lang w:val="lt-LT"/>
        </w:rPr>
        <w:t>tinkamumo laikas</w:t>
      </w:r>
    </w:p>
    <w:p w14:paraId="2BD34253" w14:textId="77777777" w:rsidR="00D77CF6" w:rsidRDefault="00D77CF6">
      <w:pPr>
        <w:pStyle w:val="Betarp"/>
        <w:rPr>
          <w:lang w:val="lt-LT"/>
        </w:rPr>
      </w:pPr>
    </w:p>
    <w:p w14:paraId="62A437ED" w14:textId="77777777" w:rsidR="00D77CF6" w:rsidRDefault="00B25D9E">
      <w:pPr>
        <w:pStyle w:val="Betarp"/>
        <w:rPr>
          <w:lang w:val="lt-LT"/>
        </w:rPr>
      </w:pPr>
      <w:r>
        <w:rPr>
          <w:lang w:val="lt-LT"/>
        </w:rPr>
        <w:t>EXP {mm/MMMM}</w:t>
      </w:r>
    </w:p>
    <w:p w14:paraId="51026DC4" w14:textId="77777777" w:rsidR="00D77CF6" w:rsidRDefault="00B25D9E">
      <w:pPr>
        <w:pStyle w:val="Betarp"/>
        <w:rPr>
          <w:lang w:val="lt-LT"/>
        </w:rPr>
      </w:pPr>
      <w:r>
        <w:rPr>
          <w:lang w:val="lt-LT"/>
        </w:rPr>
        <w:t>Po pirmojo atidarymo suvartoti per 4 savaites.</w:t>
      </w:r>
    </w:p>
    <w:p w14:paraId="6539DCE8" w14:textId="77777777" w:rsidR="00D77CF6" w:rsidRDefault="00B25D9E">
      <w:pPr>
        <w:pStyle w:val="Betarp"/>
        <w:rPr>
          <w:lang w:val="lt-LT"/>
        </w:rPr>
      </w:pPr>
      <w:r>
        <w:rPr>
          <w:highlight w:val="lightGray"/>
          <w:lang w:val="lt-LT"/>
        </w:rPr>
        <w:t>Po pirmojo atidarymo suvartoti per 3 mėnesius.</w:t>
      </w:r>
    </w:p>
    <w:p w14:paraId="77DC8EEA" w14:textId="77777777" w:rsidR="00D77CF6" w:rsidRDefault="00B25D9E">
      <w:pPr>
        <w:pStyle w:val="Betarp"/>
        <w:rPr>
          <w:lang w:val="lt-LT"/>
        </w:rPr>
      </w:pPr>
      <w:r>
        <w:rPr>
          <w:lang w:val="lt-LT"/>
        </w:rPr>
        <w:t>Pirmojo atidarymo data:</w:t>
      </w:r>
    </w:p>
    <w:p w14:paraId="636390A8" w14:textId="77777777" w:rsidR="00D77CF6" w:rsidRDefault="00D77CF6">
      <w:pPr>
        <w:pStyle w:val="Betarp"/>
        <w:rPr>
          <w:lang w:val="lt-LT"/>
        </w:rPr>
      </w:pPr>
    </w:p>
    <w:p w14:paraId="7DB15B5D" w14:textId="77777777" w:rsidR="00D77CF6" w:rsidRDefault="00D77CF6">
      <w:pPr>
        <w:pStyle w:val="Betarp"/>
        <w:rPr>
          <w:lang w:val="lt-LT"/>
        </w:rPr>
      </w:pPr>
    </w:p>
    <w:p w14:paraId="180AF2ED" w14:textId="77777777" w:rsidR="00D77CF6" w:rsidRDefault="00B25D9E">
      <w:pPr>
        <w:pBdr>
          <w:top w:val="single" w:sz="4" w:space="1" w:color="000000"/>
          <w:left w:val="single" w:sz="4" w:space="4" w:color="000000"/>
          <w:bottom w:val="single" w:sz="4" w:space="1" w:color="000000"/>
          <w:right w:val="single" w:sz="4" w:space="4" w:color="000000"/>
        </w:pBdr>
        <w:outlineLvl w:val="0"/>
        <w:rPr>
          <w:b/>
          <w:highlight w:val="lightGray"/>
          <w:lang w:val="lt-LT"/>
        </w:rPr>
      </w:pPr>
      <w:r>
        <w:rPr>
          <w:b/>
          <w:lang w:val="lt-LT"/>
        </w:rPr>
        <w:t>4.</w:t>
      </w:r>
      <w:r>
        <w:rPr>
          <w:b/>
          <w:lang w:val="lt-LT"/>
        </w:rPr>
        <w:tab/>
      </w:r>
      <w:r>
        <w:rPr>
          <w:b/>
          <w:caps/>
          <w:lang w:val="lt-LT"/>
        </w:rPr>
        <w:t>serijos numeris</w:t>
      </w:r>
    </w:p>
    <w:p w14:paraId="7716368D" w14:textId="77777777" w:rsidR="00D77CF6" w:rsidRDefault="00D77CF6">
      <w:pPr>
        <w:pStyle w:val="Betarp"/>
        <w:rPr>
          <w:lang w:val="lt-LT"/>
        </w:rPr>
      </w:pPr>
    </w:p>
    <w:p w14:paraId="2A37B1DD" w14:textId="77777777" w:rsidR="00D77CF6" w:rsidRDefault="00B25D9E">
      <w:pPr>
        <w:pStyle w:val="Betarp"/>
        <w:rPr>
          <w:lang w:val="lt-LT"/>
        </w:rPr>
      </w:pPr>
      <w:r>
        <w:rPr>
          <w:lang w:val="lt-LT"/>
        </w:rPr>
        <w:t>Lot {numeris}</w:t>
      </w:r>
    </w:p>
    <w:p w14:paraId="35AF41D4" w14:textId="77777777" w:rsidR="00D77CF6" w:rsidRDefault="00D77CF6">
      <w:pPr>
        <w:pStyle w:val="Betarp"/>
        <w:rPr>
          <w:lang w:val="lt-LT"/>
        </w:rPr>
      </w:pPr>
    </w:p>
    <w:p w14:paraId="1F7D33FD" w14:textId="77777777" w:rsidR="00D77CF6" w:rsidRDefault="00D77CF6">
      <w:pPr>
        <w:pStyle w:val="Betarp"/>
        <w:rPr>
          <w:lang w:val="lt-LT"/>
        </w:rPr>
      </w:pPr>
    </w:p>
    <w:p w14:paraId="21403FD0" w14:textId="77777777" w:rsidR="00D77CF6" w:rsidRDefault="00B25D9E">
      <w:pPr>
        <w:pBdr>
          <w:top w:val="single" w:sz="4" w:space="1" w:color="000000"/>
          <w:left w:val="single" w:sz="4" w:space="4" w:color="000000"/>
          <w:bottom w:val="single" w:sz="4" w:space="1" w:color="000000"/>
          <w:right w:val="single" w:sz="4" w:space="4" w:color="000000"/>
        </w:pBdr>
        <w:outlineLvl w:val="0"/>
        <w:rPr>
          <w:b/>
          <w:highlight w:val="lightGray"/>
          <w:lang w:val="lt-LT"/>
        </w:rPr>
      </w:pPr>
      <w:r>
        <w:rPr>
          <w:b/>
          <w:lang w:val="lt-LT"/>
        </w:rPr>
        <w:t>5.</w:t>
      </w:r>
      <w:r>
        <w:rPr>
          <w:b/>
          <w:lang w:val="lt-LT"/>
        </w:rPr>
        <w:tab/>
        <w:t>KIEKIS (MASĖ, TŪRIS ARBA VIENETAI)</w:t>
      </w:r>
    </w:p>
    <w:p w14:paraId="38DCCC4E" w14:textId="77777777" w:rsidR="00D77CF6" w:rsidRDefault="00D77CF6">
      <w:pPr>
        <w:pStyle w:val="Betarp"/>
        <w:rPr>
          <w:lang w:val="lt-LT"/>
        </w:rPr>
      </w:pPr>
    </w:p>
    <w:p w14:paraId="09969997" w14:textId="77777777" w:rsidR="00D77CF6" w:rsidRDefault="00B25D9E">
      <w:pPr>
        <w:tabs>
          <w:tab w:val="left" w:pos="1296"/>
        </w:tabs>
        <w:spacing w:line="240" w:lineRule="auto"/>
        <w:ind w:right="113"/>
        <w:rPr>
          <w:rFonts w:eastAsia="Times New Roman"/>
          <w:lang w:val="fi-FI"/>
        </w:rPr>
      </w:pPr>
      <w:r>
        <w:rPr>
          <w:lang w:val="fi-FI"/>
        </w:rPr>
        <w:t>2,5 ml</w:t>
      </w:r>
    </w:p>
    <w:p w14:paraId="718EF3BE" w14:textId="77777777" w:rsidR="00D77CF6" w:rsidRDefault="00B25D9E">
      <w:pPr>
        <w:tabs>
          <w:tab w:val="left" w:pos="1296"/>
        </w:tabs>
        <w:spacing w:line="240" w:lineRule="auto"/>
        <w:ind w:left="567" w:hanging="567"/>
        <w:rPr>
          <w:lang w:val="fi-FI"/>
        </w:rPr>
      </w:pPr>
      <w:r>
        <w:rPr>
          <w:highlight w:val="lightGray"/>
          <w:lang w:val="fi-FI"/>
        </w:rPr>
        <w:t>6 ml</w:t>
      </w:r>
    </w:p>
    <w:p w14:paraId="1429C194" w14:textId="77777777" w:rsidR="00D77CF6" w:rsidRDefault="00D77CF6">
      <w:pPr>
        <w:pStyle w:val="Betarp"/>
        <w:rPr>
          <w:lang w:val="lt-LT"/>
        </w:rPr>
      </w:pPr>
    </w:p>
    <w:p w14:paraId="20F4007E" w14:textId="77777777" w:rsidR="00D77CF6" w:rsidRDefault="00D77CF6">
      <w:pPr>
        <w:pStyle w:val="Betarp"/>
        <w:rPr>
          <w:lang w:val="lt-LT"/>
        </w:rPr>
      </w:pPr>
    </w:p>
    <w:p w14:paraId="4BC39E51" w14:textId="77777777" w:rsidR="00D77CF6" w:rsidRDefault="00B25D9E">
      <w:pPr>
        <w:pBdr>
          <w:top w:val="single" w:sz="4" w:space="1" w:color="000000"/>
          <w:left w:val="single" w:sz="4" w:space="4" w:color="000000"/>
          <w:bottom w:val="single" w:sz="4" w:space="1" w:color="000000"/>
          <w:right w:val="single" w:sz="4" w:space="4" w:color="000000"/>
        </w:pBdr>
        <w:spacing w:line="240" w:lineRule="auto"/>
        <w:outlineLvl w:val="0"/>
        <w:rPr>
          <w:rFonts w:eastAsia="Times New Roman"/>
          <w:b/>
          <w:szCs w:val="24"/>
          <w:lang w:val="lt-LT"/>
        </w:rPr>
      </w:pPr>
      <w:r>
        <w:rPr>
          <w:b/>
          <w:szCs w:val="24"/>
          <w:lang w:val="lt-LT"/>
        </w:rPr>
        <w:t>6.</w:t>
      </w:r>
      <w:r>
        <w:rPr>
          <w:b/>
          <w:szCs w:val="24"/>
          <w:lang w:val="lt-LT"/>
        </w:rPr>
        <w:tab/>
      </w:r>
      <w:r>
        <w:rPr>
          <w:b/>
          <w:lang w:val="lt-LT"/>
        </w:rPr>
        <w:t>KITA</w:t>
      </w:r>
    </w:p>
    <w:p w14:paraId="2A9D5A46" w14:textId="77777777" w:rsidR="00D77CF6" w:rsidRDefault="00D77CF6">
      <w:pPr>
        <w:pStyle w:val="Betarp"/>
        <w:rPr>
          <w:lang w:val="lt-LT"/>
        </w:rPr>
      </w:pPr>
    </w:p>
    <w:p w14:paraId="719D08E4" w14:textId="77777777" w:rsidR="00D77CF6" w:rsidRDefault="00D77CF6">
      <w:pPr>
        <w:pStyle w:val="Betarp"/>
        <w:rPr>
          <w:lang w:val="lt-LT"/>
        </w:rPr>
      </w:pPr>
    </w:p>
    <w:p w14:paraId="306B0E63" w14:textId="77777777" w:rsidR="00D77CF6" w:rsidRPr="00D7535D" w:rsidRDefault="00B25D9E">
      <w:pPr>
        <w:pStyle w:val="Betarp"/>
        <w:rPr>
          <w:lang w:val="lt-LT"/>
        </w:rPr>
      </w:pPr>
      <w:bookmarkStart w:id="60" w:name="_Toc129243259"/>
      <w:bookmarkStart w:id="61" w:name="_Toc129243134"/>
      <w:bookmarkEnd w:id="60"/>
      <w:bookmarkEnd w:id="61"/>
      <w:r w:rsidRPr="00D7535D">
        <w:rPr>
          <w:lang w:val="lt-LT"/>
        </w:rPr>
        <w:br w:type="page"/>
      </w:r>
    </w:p>
    <w:p w14:paraId="1613B3AD" w14:textId="77777777" w:rsidR="00D77CF6" w:rsidRDefault="00D77CF6">
      <w:pPr>
        <w:pStyle w:val="Betarp"/>
        <w:jc w:val="center"/>
        <w:rPr>
          <w:b/>
          <w:lang w:val="lt-LT"/>
        </w:rPr>
      </w:pPr>
    </w:p>
    <w:p w14:paraId="0CE0A0CF" w14:textId="77777777" w:rsidR="00D77CF6" w:rsidRDefault="00D77CF6">
      <w:pPr>
        <w:pStyle w:val="Betarp"/>
        <w:jc w:val="center"/>
        <w:rPr>
          <w:b/>
          <w:lang w:val="lt-LT"/>
        </w:rPr>
      </w:pPr>
    </w:p>
    <w:p w14:paraId="2085D814" w14:textId="77777777" w:rsidR="00D77CF6" w:rsidRDefault="00D77CF6">
      <w:pPr>
        <w:pStyle w:val="Betarp"/>
        <w:jc w:val="center"/>
        <w:rPr>
          <w:b/>
          <w:lang w:val="lt-LT"/>
        </w:rPr>
      </w:pPr>
    </w:p>
    <w:p w14:paraId="49BF378E" w14:textId="77777777" w:rsidR="00D77CF6" w:rsidRDefault="00D77CF6">
      <w:pPr>
        <w:pStyle w:val="Betarp"/>
        <w:jc w:val="center"/>
        <w:rPr>
          <w:b/>
          <w:lang w:val="lt-LT"/>
        </w:rPr>
      </w:pPr>
    </w:p>
    <w:p w14:paraId="47C31695" w14:textId="77777777" w:rsidR="00D77CF6" w:rsidRDefault="00D77CF6">
      <w:pPr>
        <w:pStyle w:val="Betarp"/>
        <w:jc w:val="center"/>
        <w:rPr>
          <w:b/>
          <w:lang w:val="lt-LT"/>
        </w:rPr>
      </w:pPr>
    </w:p>
    <w:p w14:paraId="22461D5C" w14:textId="77777777" w:rsidR="00D77CF6" w:rsidRDefault="00D77CF6">
      <w:pPr>
        <w:pStyle w:val="Betarp"/>
        <w:jc w:val="center"/>
        <w:rPr>
          <w:b/>
          <w:lang w:val="lt-LT"/>
        </w:rPr>
      </w:pPr>
    </w:p>
    <w:p w14:paraId="76E113FB" w14:textId="77777777" w:rsidR="00D77CF6" w:rsidRDefault="00D77CF6">
      <w:pPr>
        <w:pStyle w:val="Betarp"/>
        <w:jc w:val="center"/>
        <w:rPr>
          <w:b/>
          <w:lang w:val="lt-LT"/>
        </w:rPr>
      </w:pPr>
    </w:p>
    <w:p w14:paraId="33C881EA" w14:textId="77777777" w:rsidR="00D77CF6" w:rsidRDefault="00D77CF6">
      <w:pPr>
        <w:pStyle w:val="Betarp"/>
        <w:jc w:val="center"/>
        <w:rPr>
          <w:b/>
          <w:lang w:val="lt-LT"/>
        </w:rPr>
      </w:pPr>
    </w:p>
    <w:p w14:paraId="2E2CC00E" w14:textId="77777777" w:rsidR="00D77CF6" w:rsidRDefault="00D77CF6">
      <w:pPr>
        <w:pStyle w:val="Betarp"/>
        <w:jc w:val="center"/>
        <w:rPr>
          <w:b/>
          <w:lang w:val="lt-LT"/>
        </w:rPr>
      </w:pPr>
    </w:p>
    <w:p w14:paraId="05D0AEF5" w14:textId="77777777" w:rsidR="00D77CF6" w:rsidRDefault="00D77CF6">
      <w:pPr>
        <w:pStyle w:val="Betarp"/>
        <w:jc w:val="center"/>
        <w:rPr>
          <w:b/>
          <w:lang w:val="lt-LT"/>
        </w:rPr>
      </w:pPr>
    </w:p>
    <w:p w14:paraId="31D4A6A0" w14:textId="77777777" w:rsidR="00D77CF6" w:rsidRDefault="00D77CF6">
      <w:pPr>
        <w:pStyle w:val="Betarp"/>
        <w:jc w:val="center"/>
        <w:rPr>
          <w:b/>
          <w:lang w:val="lt-LT"/>
        </w:rPr>
      </w:pPr>
    </w:p>
    <w:p w14:paraId="460915C0" w14:textId="77777777" w:rsidR="00D77CF6" w:rsidRDefault="00D77CF6">
      <w:pPr>
        <w:pStyle w:val="Betarp"/>
        <w:jc w:val="center"/>
        <w:rPr>
          <w:b/>
          <w:lang w:val="lt-LT"/>
        </w:rPr>
      </w:pPr>
    </w:p>
    <w:p w14:paraId="6594477B" w14:textId="77777777" w:rsidR="00D77CF6" w:rsidRDefault="00D77CF6">
      <w:pPr>
        <w:pStyle w:val="Betarp"/>
        <w:jc w:val="center"/>
        <w:rPr>
          <w:b/>
          <w:lang w:val="lt-LT"/>
        </w:rPr>
      </w:pPr>
    </w:p>
    <w:p w14:paraId="048726A2" w14:textId="77777777" w:rsidR="00D77CF6" w:rsidRDefault="00D77CF6">
      <w:pPr>
        <w:pStyle w:val="Betarp"/>
        <w:jc w:val="center"/>
        <w:rPr>
          <w:b/>
          <w:lang w:val="lt-LT"/>
        </w:rPr>
      </w:pPr>
    </w:p>
    <w:p w14:paraId="4FE1CC5F" w14:textId="77777777" w:rsidR="00D77CF6" w:rsidRDefault="00D77CF6">
      <w:pPr>
        <w:pStyle w:val="Betarp"/>
        <w:jc w:val="center"/>
        <w:rPr>
          <w:b/>
          <w:lang w:val="lt-LT"/>
        </w:rPr>
      </w:pPr>
    </w:p>
    <w:p w14:paraId="246A4935" w14:textId="77777777" w:rsidR="00D77CF6" w:rsidRDefault="00D77CF6">
      <w:pPr>
        <w:pStyle w:val="Betarp"/>
        <w:jc w:val="center"/>
        <w:rPr>
          <w:b/>
          <w:lang w:val="lt-LT"/>
        </w:rPr>
      </w:pPr>
    </w:p>
    <w:p w14:paraId="1C8730ED" w14:textId="77777777" w:rsidR="00D77CF6" w:rsidRDefault="00D77CF6">
      <w:pPr>
        <w:pStyle w:val="Betarp"/>
        <w:jc w:val="center"/>
        <w:rPr>
          <w:b/>
          <w:lang w:val="lt-LT"/>
        </w:rPr>
      </w:pPr>
    </w:p>
    <w:p w14:paraId="096CB032" w14:textId="77777777" w:rsidR="00D77CF6" w:rsidRDefault="00D77CF6">
      <w:pPr>
        <w:pStyle w:val="Betarp"/>
        <w:jc w:val="center"/>
        <w:rPr>
          <w:b/>
          <w:lang w:val="lt-LT"/>
        </w:rPr>
      </w:pPr>
    </w:p>
    <w:p w14:paraId="29B01534" w14:textId="77777777" w:rsidR="00D77CF6" w:rsidRDefault="00D77CF6">
      <w:pPr>
        <w:pStyle w:val="Betarp"/>
        <w:jc w:val="center"/>
        <w:rPr>
          <w:b/>
          <w:lang w:val="lt-LT"/>
        </w:rPr>
      </w:pPr>
    </w:p>
    <w:p w14:paraId="632A37B7" w14:textId="77777777" w:rsidR="00D77CF6" w:rsidRDefault="00D77CF6">
      <w:pPr>
        <w:pStyle w:val="Betarp"/>
        <w:jc w:val="center"/>
        <w:rPr>
          <w:b/>
          <w:lang w:val="lt-LT"/>
        </w:rPr>
      </w:pPr>
    </w:p>
    <w:p w14:paraId="65A860CA" w14:textId="77777777" w:rsidR="00D77CF6" w:rsidRDefault="00D77CF6">
      <w:pPr>
        <w:pStyle w:val="Betarp"/>
        <w:jc w:val="center"/>
        <w:rPr>
          <w:b/>
          <w:lang w:val="lt-LT"/>
        </w:rPr>
      </w:pPr>
    </w:p>
    <w:p w14:paraId="07960226" w14:textId="77777777" w:rsidR="00D77CF6" w:rsidRDefault="00D77CF6">
      <w:pPr>
        <w:pStyle w:val="Betarp"/>
        <w:jc w:val="center"/>
        <w:rPr>
          <w:b/>
          <w:lang w:val="lt-LT"/>
        </w:rPr>
      </w:pPr>
    </w:p>
    <w:p w14:paraId="20DD1A56" w14:textId="77777777" w:rsidR="00D77CF6" w:rsidRDefault="00D77CF6">
      <w:pPr>
        <w:pStyle w:val="Betarp"/>
        <w:jc w:val="center"/>
        <w:rPr>
          <w:b/>
          <w:lang w:val="lt-LT"/>
        </w:rPr>
      </w:pPr>
    </w:p>
    <w:p w14:paraId="5D48275D" w14:textId="77777777" w:rsidR="00D77CF6" w:rsidRDefault="00B25D9E">
      <w:pPr>
        <w:pStyle w:val="Betarp"/>
        <w:jc w:val="center"/>
        <w:rPr>
          <w:b/>
          <w:lang w:val="lt-LT"/>
        </w:rPr>
      </w:pPr>
      <w:bookmarkStart w:id="62" w:name="_Toc129243262"/>
      <w:bookmarkStart w:id="63" w:name="_Toc129243137"/>
      <w:r>
        <w:rPr>
          <w:b/>
          <w:lang w:val="lt-LT"/>
        </w:rPr>
        <w:t>B. PAKUOTĖS LAPELIS</w:t>
      </w:r>
      <w:bookmarkEnd w:id="62"/>
      <w:bookmarkEnd w:id="63"/>
      <w:r w:rsidRPr="00D7535D">
        <w:rPr>
          <w:lang w:val="lt-LT"/>
        </w:rPr>
        <w:br w:type="page"/>
      </w:r>
    </w:p>
    <w:p w14:paraId="341AF79F" w14:textId="77777777" w:rsidR="00D77CF6" w:rsidRDefault="00B25D9E">
      <w:pPr>
        <w:pStyle w:val="Betarp"/>
        <w:jc w:val="center"/>
        <w:rPr>
          <w:b/>
          <w:lang w:val="lt-LT"/>
        </w:rPr>
      </w:pPr>
      <w:bookmarkStart w:id="64" w:name="_Toc129243263"/>
      <w:bookmarkStart w:id="65" w:name="_Toc129243138"/>
      <w:r>
        <w:rPr>
          <w:b/>
          <w:lang w:val="lt-LT"/>
        </w:rPr>
        <w:t xml:space="preserve">Pakuotės lapelis: informacija </w:t>
      </w:r>
      <w:bookmarkEnd w:id="64"/>
      <w:bookmarkEnd w:id="65"/>
      <w:r>
        <w:rPr>
          <w:b/>
          <w:lang w:val="lt-LT"/>
        </w:rPr>
        <w:t>pacientui</w:t>
      </w:r>
    </w:p>
    <w:p w14:paraId="099A6AA1" w14:textId="77777777" w:rsidR="00D77CF6" w:rsidRDefault="00D77CF6">
      <w:pPr>
        <w:pStyle w:val="Betarp"/>
        <w:jc w:val="center"/>
        <w:rPr>
          <w:b/>
          <w:lang w:val="lt-LT"/>
        </w:rPr>
      </w:pPr>
    </w:p>
    <w:p w14:paraId="03F94A21" w14:textId="77777777" w:rsidR="00D77CF6" w:rsidRDefault="00B25D9E">
      <w:pPr>
        <w:pStyle w:val="Betarp"/>
        <w:jc w:val="center"/>
        <w:rPr>
          <w:b/>
          <w:lang w:val="lt-LT"/>
        </w:rPr>
      </w:pPr>
      <w:r>
        <w:rPr>
          <w:b/>
          <w:lang w:val="lt-LT"/>
        </w:rPr>
        <w:t>Fixopost 50 mikrogramų/ml + 5 mg/ml akių lašai (tirpalas)</w:t>
      </w:r>
    </w:p>
    <w:p w14:paraId="0D9D8AD7" w14:textId="77777777" w:rsidR="00D77CF6" w:rsidRDefault="00B25D9E">
      <w:pPr>
        <w:pStyle w:val="Betarp"/>
        <w:jc w:val="center"/>
        <w:rPr>
          <w:lang w:val="lt-LT"/>
        </w:rPr>
      </w:pPr>
      <w:r>
        <w:rPr>
          <w:lang w:val="lt-LT"/>
        </w:rPr>
        <w:t>latanoprostas/timololis</w:t>
      </w:r>
    </w:p>
    <w:p w14:paraId="6FE40C14" w14:textId="77777777" w:rsidR="00D77CF6" w:rsidRDefault="00D77CF6">
      <w:pPr>
        <w:pStyle w:val="Betarp"/>
        <w:rPr>
          <w:b/>
          <w:lang w:val="lt-LT"/>
        </w:rPr>
      </w:pPr>
    </w:p>
    <w:p w14:paraId="1AB06164" w14:textId="77777777" w:rsidR="00D77CF6" w:rsidRDefault="00B25D9E">
      <w:pPr>
        <w:pStyle w:val="Betarp"/>
        <w:rPr>
          <w:b/>
          <w:lang w:val="lt-LT"/>
        </w:rPr>
      </w:pPr>
      <w:r>
        <w:rPr>
          <w:b/>
          <w:lang w:val="lt-LT"/>
        </w:rPr>
        <w:t>Atidžiai perskaitykite visą šį lapelį, prieš pradėdami vartoti vaistą, nes jame pateikiama Jums svarbi informacija.</w:t>
      </w:r>
    </w:p>
    <w:p w14:paraId="7B94F232" w14:textId="77777777" w:rsidR="00D77CF6" w:rsidRDefault="00B25D9E">
      <w:pPr>
        <w:pStyle w:val="Betarp"/>
        <w:numPr>
          <w:ilvl w:val="0"/>
          <w:numId w:val="1"/>
        </w:numPr>
        <w:ind w:left="567" w:hanging="567"/>
        <w:rPr>
          <w:lang w:val="lt-LT"/>
        </w:rPr>
      </w:pPr>
      <w:r>
        <w:rPr>
          <w:lang w:val="lt-LT"/>
        </w:rPr>
        <w:t>Neišmeskite šio lapelio, nes vėl gali prireikti jį perskaityti.</w:t>
      </w:r>
    </w:p>
    <w:p w14:paraId="1C1C6333" w14:textId="77777777" w:rsidR="00D77CF6" w:rsidRDefault="00B25D9E">
      <w:pPr>
        <w:pStyle w:val="Betarp"/>
        <w:numPr>
          <w:ilvl w:val="0"/>
          <w:numId w:val="1"/>
        </w:numPr>
        <w:ind w:left="567" w:hanging="567"/>
        <w:rPr>
          <w:lang w:val="lt-LT"/>
        </w:rPr>
      </w:pPr>
      <w:r>
        <w:rPr>
          <w:lang w:val="lt-LT"/>
        </w:rPr>
        <w:t>Jeigu kiltų daugiau klausimų, kreipkitės į gydytoją, vaistininką arba slaugytoją.</w:t>
      </w:r>
    </w:p>
    <w:p w14:paraId="081658E6" w14:textId="77777777" w:rsidR="00D77CF6" w:rsidRDefault="00B25D9E">
      <w:pPr>
        <w:pStyle w:val="Betarp"/>
        <w:numPr>
          <w:ilvl w:val="0"/>
          <w:numId w:val="1"/>
        </w:numPr>
        <w:ind w:left="567" w:hanging="567"/>
        <w:rPr>
          <w:lang w:val="lt-LT"/>
        </w:rPr>
      </w:pPr>
      <w:r>
        <w:rPr>
          <w:lang w:val="lt-LT"/>
        </w:rPr>
        <w:t>Šis vaistas skirtas tik Jums, todėl kitiems žmonėms jo duoti negalima. Vaistas gali jiems pakenkti (net tiems, kurių ligos požymiai yra tokie patys kaip Jūsų).</w:t>
      </w:r>
    </w:p>
    <w:p w14:paraId="5C5D19F6" w14:textId="77777777" w:rsidR="00D77CF6" w:rsidRDefault="00B25D9E">
      <w:pPr>
        <w:pStyle w:val="Betarp"/>
        <w:numPr>
          <w:ilvl w:val="0"/>
          <w:numId w:val="1"/>
        </w:numPr>
        <w:ind w:left="567" w:hanging="567"/>
        <w:rPr>
          <w:lang w:val="lt-LT"/>
        </w:rPr>
      </w:pPr>
      <w:r>
        <w:rPr>
          <w:lang w:val="lt-LT"/>
        </w:rPr>
        <w:t>Jeigu pasireiškė šalutinis poveikis (net jeigu jis šiame lapelyje nenurodytas), kreipkitės į gydytoją, vaistininką arba slaugytoją. Žr. 4 skyrių.</w:t>
      </w:r>
    </w:p>
    <w:p w14:paraId="7AB9EB39" w14:textId="77777777" w:rsidR="00D77CF6" w:rsidRDefault="00D77CF6">
      <w:pPr>
        <w:pStyle w:val="Betarp"/>
        <w:rPr>
          <w:lang w:val="lt-LT"/>
        </w:rPr>
      </w:pPr>
    </w:p>
    <w:p w14:paraId="4981E962" w14:textId="77777777" w:rsidR="00D77CF6" w:rsidRDefault="00D77CF6">
      <w:pPr>
        <w:pStyle w:val="Betarp"/>
        <w:rPr>
          <w:lang w:val="lt-LT"/>
        </w:rPr>
      </w:pPr>
    </w:p>
    <w:p w14:paraId="17E34239" w14:textId="77777777" w:rsidR="00D77CF6" w:rsidRDefault="00B25D9E">
      <w:pPr>
        <w:pStyle w:val="Betarp"/>
        <w:rPr>
          <w:b/>
          <w:lang w:val="lt-LT"/>
        </w:rPr>
      </w:pPr>
      <w:r>
        <w:rPr>
          <w:b/>
          <w:lang w:val="lt-LT"/>
        </w:rPr>
        <w:t>Apie ką rašoma šiame lapelyje?</w:t>
      </w:r>
    </w:p>
    <w:p w14:paraId="04705496" w14:textId="77777777" w:rsidR="00D77CF6" w:rsidRDefault="00B25D9E">
      <w:pPr>
        <w:pStyle w:val="Betarp"/>
        <w:rPr>
          <w:lang w:val="lt-LT"/>
        </w:rPr>
      </w:pPr>
      <w:r>
        <w:rPr>
          <w:lang w:val="lt-LT"/>
        </w:rPr>
        <w:t>1.</w:t>
      </w:r>
      <w:r>
        <w:rPr>
          <w:lang w:val="lt-LT"/>
        </w:rPr>
        <w:tab/>
        <w:t>Kas yra Fixopost ir kam jis vartojamas</w:t>
      </w:r>
    </w:p>
    <w:p w14:paraId="6469A3BB" w14:textId="77777777" w:rsidR="00D77CF6" w:rsidRDefault="00B25D9E">
      <w:pPr>
        <w:pStyle w:val="Betarp"/>
        <w:rPr>
          <w:lang w:val="lt-LT"/>
        </w:rPr>
      </w:pPr>
      <w:r>
        <w:rPr>
          <w:lang w:val="lt-LT"/>
        </w:rPr>
        <w:t>2.</w:t>
      </w:r>
      <w:r>
        <w:rPr>
          <w:lang w:val="lt-LT"/>
        </w:rPr>
        <w:tab/>
        <w:t>Kas žinotina prieš vartojant Fixopost</w:t>
      </w:r>
    </w:p>
    <w:p w14:paraId="43BB2156" w14:textId="77777777" w:rsidR="00D77CF6" w:rsidRDefault="00B25D9E">
      <w:pPr>
        <w:pStyle w:val="Betarp"/>
        <w:rPr>
          <w:lang w:val="lt-LT"/>
        </w:rPr>
      </w:pPr>
      <w:r>
        <w:rPr>
          <w:lang w:val="lt-LT"/>
        </w:rPr>
        <w:t>3.</w:t>
      </w:r>
      <w:r>
        <w:rPr>
          <w:lang w:val="lt-LT"/>
        </w:rPr>
        <w:tab/>
        <w:t xml:space="preserve">Kaip vartoti </w:t>
      </w:r>
      <w:r>
        <w:rPr>
          <w:lang w:val="fr-FR"/>
        </w:rPr>
        <w:t>Fixopost</w:t>
      </w:r>
    </w:p>
    <w:p w14:paraId="7CFAC95D" w14:textId="77777777" w:rsidR="00D77CF6" w:rsidRDefault="00B25D9E">
      <w:pPr>
        <w:pStyle w:val="Betarp"/>
        <w:rPr>
          <w:lang w:val="lt-LT"/>
        </w:rPr>
      </w:pPr>
      <w:r>
        <w:rPr>
          <w:lang w:val="lt-LT"/>
        </w:rPr>
        <w:t>4.</w:t>
      </w:r>
      <w:r>
        <w:rPr>
          <w:lang w:val="lt-LT"/>
        </w:rPr>
        <w:tab/>
        <w:t>Galimas šalutinis poveikis</w:t>
      </w:r>
    </w:p>
    <w:p w14:paraId="3C0BEEEB" w14:textId="77777777" w:rsidR="00D77CF6" w:rsidRDefault="00B25D9E">
      <w:pPr>
        <w:pStyle w:val="Betarp"/>
        <w:rPr>
          <w:lang w:val="lt-LT"/>
        </w:rPr>
      </w:pPr>
      <w:r>
        <w:rPr>
          <w:lang w:val="lt-LT"/>
        </w:rPr>
        <w:t>5.</w:t>
      </w:r>
      <w:r>
        <w:rPr>
          <w:lang w:val="lt-LT"/>
        </w:rPr>
        <w:tab/>
        <w:t>Kaip laikyti Fixopost</w:t>
      </w:r>
    </w:p>
    <w:p w14:paraId="30D98A35" w14:textId="77777777" w:rsidR="00D77CF6" w:rsidRDefault="00B25D9E">
      <w:pPr>
        <w:pStyle w:val="Betarp"/>
        <w:rPr>
          <w:lang w:val="lt-LT"/>
        </w:rPr>
      </w:pPr>
      <w:r>
        <w:rPr>
          <w:lang w:val="lt-LT"/>
        </w:rPr>
        <w:t>6.</w:t>
      </w:r>
      <w:r>
        <w:rPr>
          <w:lang w:val="lt-LT"/>
        </w:rPr>
        <w:tab/>
        <w:t>Pakuotės turinys ir kita informacija</w:t>
      </w:r>
    </w:p>
    <w:p w14:paraId="2497EF1E" w14:textId="77777777" w:rsidR="00D77CF6" w:rsidRDefault="00D77CF6">
      <w:pPr>
        <w:pStyle w:val="Betarp"/>
        <w:rPr>
          <w:lang w:val="lt-LT"/>
        </w:rPr>
      </w:pPr>
    </w:p>
    <w:p w14:paraId="73BD1FE5" w14:textId="77777777" w:rsidR="00D77CF6" w:rsidRDefault="00D77CF6">
      <w:pPr>
        <w:pStyle w:val="Betarp"/>
        <w:rPr>
          <w:b/>
          <w:lang w:val="lt-LT"/>
        </w:rPr>
      </w:pPr>
    </w:p>
    <w:p w14:paraId="397D97C4" w14:textId="77777777" w:rsidR="00D77CF6" w:rsidRDefault="00B25D9E">
      <w:pPr>
        <w:pStyle w:val="Betarp"/>
        <w:rPr>
          <w:b/>
          <w:lang w:val="lt-LT"/>
        </w:rPr>
      </w:pPr>
      <w:bookmarkStart w:id="66" w:name="_Toc129243264"/>
      <w:bookmarkStart w:id="67" w:name="_Toc129243139"/>
      <w:r>
        <w:rPr>
          <w:b/>
          <w:lang w:val="lt-LT"/>
        </w:rPr>
        <w:t>1.</w:t>
      </w:r>
      <w:r>
        <w:rPr>
          <w:b/>
          <w:lang w:val="lt-LT"/>
        </w:rPr>
        <w:tab/>
        <w:t>Kas yra Fixopost ir kam jis vartojamas</w:t>
      </w:r>
      <w:bookmarkEnd w:id="66"/>
      <w:bookmarkEnd w:id="67"/>
    </w:p>
    <w:p w14:paraId="2234128C" w14:textId="77777777" w:rsidR="00D77CF6" w:rsidRDefault="00D77CF6">
      <w:pPr>
        <w:pStyle w:val="Betarp"/>
        <w:rPr>
          <w:lang w:val="lt-LT"/>
        </w:rPr>
      </w:pPr>
    </w:p>
    <w:p w14:paraId="42B83E41" w14:textId="4A032BB9" w:rsidR="00D77CF6" w:rsidRPr="00D7535D" w:rsidRDefault="00B25D9E">
      <w:pPr>
        <w:pStyle w:val="Betarp"/>
        <w:rPr>
          <w:lang w:val="lt-LT"/>
        </w:rPr>
      </w:pPr>
      <w:r>
        <w:rPr>
          <w:lang w:val="fr-FR"/>
        </w:rPr>
        <w:t>Fixopost</w:t>
      </w:r>
      <w:r>
        <w:rPr>
          <w:lang w:val="lt-LT"/>
        </w:rPr>
        <w:t xml:space="preserve"> sudėtyje yra dvi veikliosios medžiagos: latanoprostas ir timololis. </w:t>
      </w:r>
      <w:r>
        <w:rPr>
          <w:rFonts w:eastAsia="Times New Roman"/>
          <w:kern w:val="2"/>
          <w:lang w:val="lt-LT"/>
        </w:rPr>
        <w:t>Latanoprostas priklauso vaistų grupei, kuri vadinama prostaglandinų analogais. Timololis priklauso vaistų grupei, kuri vadinama beta adrenoblokatoriais. Latanoprostas veikia didindamas skysčio iš akies vidaus į kraujotaką natūralų nutekėjimą. Timololis sulėtina skysčio susidarymą akies viduje.</w:t>
      </w:r>
    </w:p>
    <w:p w14:paraId="313922B3" w14:textId="77777777" w:rsidR="00D77CF6" w:rsidRDefault="00D77CF6">
      <w:pPr>
        <w:pStyle w:val="Betarp"/>
        <w:rPr>
          <w:rFonts w:eastAsia="Times New Roman"/>
          <w:kern w:val="2"/>
          <w:lang w:val="lt-LT"/>
        </w:rPr>
      </w:pPr>
    </w:p>
    <w:p w14:paraId="77F4F3C2" w14:textId="091E6DE9" w:rsidR="00D77CF6" w:rsidRPr="00D7535D" w:rsidRDefault="00B25D9E">
      <w:pPr>
        <w:pStyle w:val="Betarp"/>
        <w:rPr>
          <w:lang w:val="lt-LT"/>
        </w:rPr>
      </w:pPr>
      <w:r>
        <w:rPr>
          <w:lang w:val="lt-LT"/>
        </w:rPr>
        <w:t>Fixopost</w:t>
      </w:r>
      <w:r>
        <w:rPr>
          <w:rFonts w:eastAsia="Times New Roman"/>
          <w:kern w:val="2"/>
          <w:lang w:val="lt-LT"/>
        </w:rPr>
        <w:t xml:space="preserve"> vartojamas akispūdžiui Jūsų akyje sumažinti, sergant atviro akies kampo glaukoma arba akies hipertenzija. Šios būklės susijusios su padidėjusiu akispūdžiu Jūsų akyje, dėl ko galimas regėjimo sutrikimas. Gydytojas Jums paskirs vartoti </w:t>
      </w:r>
      <w:r>
        <w:rPr>
          <w:lang w:val="lt-LT"/>
        </w:rPr>
        <w:t>Fixopost</w:t>
      </w:r>
      <w:r>
        <w:rPr>
          <w:rFonts w:eastAsia="Times New Roman"/>
          <w:kern w:val="2"/>
          <w:lang w:val="lt-LT"/>
        </w:rPr>
        <w:t>,</w:t>
      </w:r>
      <w:r>
        <w:rPr>
          <w:rFonts w:eastAsia="Times New Roman"/>
          <w:bCs/>
          <w:kern w:val="2"/>
          <w:lang w:val="lt-LT"/>
        </w:rPr>
        <w:t xml:space="preserve"> kai kiti vaistai yra nepakankamai veiksmingi.</w:t>
      </w:r>
    </w:p>
    <w:p w14:paraId="0B38454D" w14:textId="77777777" w:rsidR="00D77CF6" w:rsidRDefault="00D77CF6">
      <w:pPr>
        <w:pStyle w:val="Betarp"/>
        <w:rPr>
          <w:rFonts w:eastAsia="Times New Roman"/>
          <w:bCs/>
          <w:kern w:val="2"/>
          <w:lang w:val="lt-LT"/>
        </w:rPr>
      </w:pPr>
    </w:p>
    <w:p w14:paraId="08C75D23" w14:textId="77777777" w:rsidR="00D77CF6" w:rsidRDefault="00B25D9E">
      <w:pPr>
        <w:pStyle w:val="Betarp"/>
        <w:rPr>
          <w:rFonts w:eastAsia="Times New Roman"/>
          <w:kern w:val="2"/>
          <w:lang w:val="lt-LT"/>
        </w:rPr>
      </w:pPr>
      <w:r>
        <w:rPr>
          <w:rFonts w:eastAsia="Times New Roman"/>
          <w:kern w:val="2"/>
          <w:lang w:val="lt-LT"/>
        </w:rPr>
        <w:t>Fixopost yra akių lašai (tirpalas) be konservantų.</w:t>
      </w:r>
    </w:p>
    <w:p w14:paraId="634CCA19" w14:textId="77777777" w:rsidR="00D77CF6" w:rsidRDefault="00D77CF6">
      <w:pPr>
        <w:pStyle w:val="Betarp"/>
        <w:rPr>
          <w:lang w:val="lt-LT"/>
        </w:rPr>
      </w:pPr>
    </w:p>
    <w:p w14:paraId="13F21EBD" w14:textId="77777777" w:rsidR="00D77CF6" w:rsidRDefault="00D77CF6">
      <w:pPr>
        <w:pStyle w:val="Betarp"/>
        <w:rPr>
          <w:b/>
          <w:lang w:val="lt-LT"/>
        </w:rPr>
      </w:pPr>
    </w:p>
    <w:p w14:paraId="4A920397" w14:textId="77777777" w:rsidR="00D77CF6" w:rsidRDefault="00B25D9E">
      <w:pPr>
        <w:pStyle w:val="Betarp"/>
        <w:rPr>
          <w:b/>
          <w:lang w:val="lt-LT"/>
        </w:rPr>
      </w:pPr>
      <w:bookmarkStart w:id="68" w:name="_Toc129243265"/>
      <w:bookmarkStart w:id="69" w:name="_Toc129243140"/>
      <w:r>
        <w:rPr>
          <w:b/>
          <w:lang w:val="lt-LT"/>
        </w:rPr>
        <w:t>2.</w:t>
      </w:r>
      <w:r>
        <w:rPr>
          <w:b/>
          <w:lang w:val="lt-LT"/>
        </w:rPr>
        <w:tab/>
        <w:t xml:space="preserve">Kas žinotina prieš vartojant </w:t>
      </w:r>
      <w:bookmarkEnd w:id="68"/>
      <w:bookmarkEnd w:id="69"/>
      <w:r>
        <w:rPr>
          <w:b/>
          <w:lang w:val="lt-LT"/>
        </w:rPr>
        <w:t>Fixopost</w:t>
      </w:r>
    </w:p>
    <w:p w14:paraId="5EA083E8" w14:textId="77777777" w:rsidR="00D77CF6" w:rsidRDefault="00D77CF6">
      <w:pPr>
        <w:pStyle w:val="Betarp"/>
        <w:rPr>
          <w:lang w:val="lt-LT"/>
        </w:rPr>
      </w:pPr>
    </w:p>
    <w:p w14:paraId="4EF14322" w14:textId="77777777" w:rsidR="00D77CF6" w:rsidRDefault="00B25D9E">
      <w:pPr>
        <w:pStyle w:val="Betarp"/>
        <w:rPr>
          <w:lang w:val="lt-LT"/>
        </w:rPr>
      </w:pPr>
      <w:r>
        <w:rPr>
          <w:lang w:val="lt-LT"/>
        </w:rPr>
        <w:t>Fixopost gali vartoti suaugę vyrai ir moterys, bet šio vaisto nerekomenduojama Jums vartoti, jei esate jaunesnis kaip 18 metų.</w:t>
      </w:r>
    </w:p>
    <w:p w14:paraId="18A93FC1" w14:textId="77777777" w:rsidR="00D77CF6" w:rsidRDefault="00D77CF6">
      <w:pPr>
        <w:pStyle w:val="Betarp"/>
        <w:rPr>
          <w:b/>
          <w:lang w:val="lt-LT"/>
        </w:rPr>
      </w:pPr>
    </w:p>
    <w:p w14:paraId="2FFF7EC5" w14:textId="77777777" w:rsidR="00D77CF6" w:rsidRDefault="00B25D9E">
      <w:pPr>
        <w:pStyle w:val="Betarp"/>
        <w:rPr>
          <w:rFonts w:eastAsia="SimSun"/>
          <w:b/>
          <w:bCs/>
          <w:lang w:val="lt-LT"/>
        </w:rPr>
      </w:pPr>
      <w:r>
        <w:rPr>
          <w:b/>
        </w:rPr>
        <w:t>Fixopost</w:t>
      </w:r>
      <w:r>
        <w:rPr>
          <w:rFonts w:eastAsia="SimSun"/>
          <w:b/>
          <w:bCs/>
          <w:lang w:val="lt-LT"/>
        </w:rPr>
        <w:t xml:space="preserve"> vartoti negalima:</w:t>
      </w:r>
    </w:p>
    <w:p w14:paraId="77AF131F" w14:textId="77777777" w:rsidR="00D77CF6" w:rsidRDefault="00B25D9E">
      <w:pPr>
        <w:pStyle w:val="Betarp"/>
        <w:numPr>
          <w:ilvl w:val="0"/>
          <w:numId w:val="2"/>
        </w:numPr>
        <w:ind w:left="567" w:hanging="567"/>
        <w:rPr>
          <w:rFonts w:eastAsia="SimSun"/>
          <w:lang w:val="lt-LT"/>
        </w:rPr>
      </w:pPr>
      <w:r>
        <w:rPr>
          <w:rFonts w:eastAsia="SimSun"/>
          <w:lang w:val="lt-LT"/>
        </w:rPr>
        <w:t xml:space="preserve">jeigu yra alergija </w:t>
      </w:r>
      <w:r>
        <w:rPr>
          <w:lang w:val="lt-LT"/>
        </w:rPr>
        <w:t xml:space="preserve">(padidėjęs jautrumas) </w:t>
      </w:r>
      <w:r>
        <w:rPr>
          <w:rFonts w:eastAsia="SimSun"/>
          <w:lang w:val="lt-LT"/>
        </w:rPr>
        <w:t xml:space="preserve">latanoprostui, timololiui, </w:t>
      </w:r>
      <w:r>
        <w:rPr>
          <w:lang w:val="lt-LT"/>
        </w:rPr>
        <w:t>beta adrenoblokatoriams</w:t>
      </w:r>
      <w:r>
        <w:rPr>
          <w:rFonts w:eastAsia="SimSun"/>
          <w:lang w:val="lt-LT"/>
        </w:rPr>
        <w:t xml:space="preserve"> arba bet kuriai pagalbinei šio vaisto medžiagai (jos išvardytos 6 skyriuje);</w:t>
      </w:r>
    </w:p>
    <w:p w14:paraId="127D7803" w14:textId="6F6B4235" w:rsidR="00D77CF6" w:rsidRPr="00D7535D" w:rsidRDefault="00B25D9E">
      <w:pPr>
        <w:pStyle w:val="Betarp"/>
        <w:numPr>
          <w:ilvl w:val="0"/>
          <w:numId w:val="2"/>
        </w:numPr>
        <w:ind w:left="567" w:hanging="567"/>
        <w:rPr>
          <w:lang w:val="lt-LT"/>
        </w:rPr>
      </w:pPr>
      <w:r>
        <w:rPr>
          <w:rFonts w:eastAsia="SimSun"/>
          <w:lang w:val="lt-LT"/>
        </w:rPr>
        <w:t>jeigu yra ar buvo kvėpavimo sutrikimų, tokių kaip astma ar sunkus lėtinis obstrukcinis bronchitas (sunki plaučių liga, galinti sukelti švokštimą, kvėpavimo pasunkėjimą ir (arba) ilgalaikį kosulį);</w:t>
      </w:r>
    </w:p>
    <w:p w14:paraId="7271C65B" w14:textId="77777777" w:rsidR="00D77CF6" w:rsidRDefault="00B25D9E">
      <w:pPr>
        <w:pStyle w:val="Betarp"/>
        <w:numPr>
          <w:ilvl w:val="0"/>
          <w:numId w:val="2"/>
        </w:numPr>
        <w:ind w:left="567" w:hanging="567"/>
        <w:rPr>
          <w:rFonts w:eastAsia="SimSun"/>
          <w:lang w:val="lt-LT"/>
        </w:rPr>
      </w:pPr>
      <w:r>
        <w:rPr>
          <w:rFonts w:eastAsia="SimSun"/>
          <w:lang w:val="lt-LT"/>
        </w:rPr>
        <w:t>jeigu sergate sunkiomis širdies ligomis arba sutrikęs Jūsų širdies ritmas.</w:t>
      </w:r>
    </w:p>
    <w:p w14:paraId="11D384E7" w14:textId="77777777" w:rsidR="00D77CF6" w:rsidRDefault="00D77CF6">
      <w:pPr>
        <w:pStyle w:val="Betarp"/>
        <w:rPr>
          <w:rFonts w:eastAsia="SimSun"/>
          <w:b/>
          <w:lang w:val="lt-LT"/>
        </w:rPr>
      </w:pPr>
    </w:p>
    <w:p w14:paraId="7A9E3E7F" w14:textId="77777777" w:rsidR="00D77CF6" w:rsidRDefault="00B25D9E">
      <w:pPr>
        <w:pStyle w:val="Betarp"/>
        <w:rPr>
          <w:rFonts w:eastAsia="SimSun"/>
          <w:b/>
          <w:bCs/>
          <w:lang w:val="lt-LT"/>
        </w:rPr>
      </w:pPr>
      <w:r>
        <w:rPr>
          <w:rFonts w:eastAsia="SimSun"/>
          <w:b/>
          <w:bCs/>
          <w:lang w:val="lt-LT"/>
        </w:rPr>
        <w:t>Įspėjimai ir atsargumo priemonės</w:t>
      </w:r>
    </w:p>
    <w:p w14:paraId="23D09143" w14:textId="00D7DECC" w:rsidR="00D77CF6" w:rsidRPr="00D7535D" w:rsidRDefault="00B25D9E">
      <w:pPr>
        <w:pStyle w:val="Betarp"/>
        <w:rPr>
          <w:lang w:val="lt-LT"/>
        </w:rPr>
      </w:pPr>
      <w:r>
        <w:rPr>
          <w:rFonts w:eastAsia="Times New Roman"/>
          <w:color w:val="000000"/>
          <w:lang w:val="lt-LT" w:eastAsia="el-GR"/>
        </w:rPr>
        <w:t xml:space="preserve">Pasitarkite su gydytoju, vaistininku arba slaugytoju, prieš pradėdami vartoti </w:t>
      </w:r>
      <w:r>
        <w:rPr>
          <w:lang w:val="lt-LT"/>
        </w:rPr>
        <w:t>Fixopost</w:t>
      </w:r>
      <w:r>
        <w:rPr>
          <w:rFonts w:eastAsia="Times New Roman"/>
          <w:color w:val="000000"/>
          <w:lang w:val="lt-LT" w:eastAsia="el-GR"/>
        </w:rPr>
        <w:t xml:space="preserve">, </w:t>
      </w:r>
      <w:r>
        <w:rPr>
          <w:lang w:val="lt-LT"/>
        </w:rPr>
        <w:t>jei Jums yra arba praeityje buvo:</w:t>
      </w:r>
    </w:p>
    <w:p w14:paraId="13618C63" w14:textId="1106A4F6" w:rsidR="00D77CF6" w:rsidRPr="00D7535D" w:rsidRDefault="00B25D9E">
      <w:pPr>
        <w:pStyle w:val="Betarp"/>
        <w:numPr>
          <w:ilvl w:val="0"/>
          <w:numId w:val="3"/>
        </w:numPr>
        <w:ind w:left="567" w:hanging="567"/>
        <w:rPr>
          <w:lang w:val="lt-LT"/>
        </w:rPr>
      </w:pPr>
      <w:r>
        <w:rPr>
          <w:rFonts w:eastAsia="SimSun"/>
          <w:lang w:val="lt-LT"/>
        </w:rPr>
        <w:t>koronarinė širdies liga (galimi simptomai yra krūtinės skausmas ar veržimas, dusulys arba oro stoka), širdies nepakankamumas, žemas kraujospūdis;</w:t>
      </w:r>
    </w:p>
    <w:p w14:paraId="20536BA9" w14:textId="46F329F0" w:rsidR="00D77CF6" w:rsidRDefault="00B25D9E">
      <w:pPr>
        <w:pStyle w:val="Betarp"/>
        <w:numPr>
          <w:ilvl w:val="0"/>
          <w:numId w:val="3"/>
        </w:numPr>
        <w:ind w:left="567" w:hanging="567"/>
      </w:pPr>
      <w:r>
        <w:rPr>
          <w:rFonts w:eastAsia="SimSun"/>
          <w:lang w:val="lt-LT"/>
        </w:rPr>
        <w:t>širdies ritmo sutrikimas, pvz., retas širdies plakimas;</w:t>
      </w:r>
    </w:p>
    <w:p w14:paraId="3B5606FD" w14:textId="799CBB58" w:rsidR="00D77CF6" w:rsidRDefault="00B25D9E">
      <w:pPr>
        <w:pStyle w:val="Betarp"/>
        <w:numPr>
          <w:ilvl w:val="0"/>
          <w:numId w:val="3"/>
        </w:numPr>
        <w:ind w:left="567" w:hanging="567"/>
      </w:pPr>
      <w:r>
        <w:rPr>
          <w:rFonts w:eastAsia="SimSun"/>
          <w:lang w:val="lt-LT"/>
        </w:rPr>
        <w:t>kvėpavimo sutrikimai, astma arba lėtinė obstrukcinė plaučių liga;</w:t>
      </w:r>
    </w:p>
    <w:p w14:paraId="6E56F485" w14:textId="0CCC1309" w:rsidR="00D77CF6" w:rsidRDefault="00B25D9E">
      <w:pPr>
        <w:pStyle w:val="Betarp"/>
        <w:numPr>
          <w:ilvl w:val="0"/>
          <w:numId w:val="4"/>
        </w:numPr>
        <w:ind w:left="567" w:hanging="567"/>
      </w:pPr>
      <w:r>
        <w:rPr>
          <w:lang w:val="lt-LT"/>
        </w:rPr>
        <w:t>sutrikusios kraujotakos ligos (pvz., Reino (</w:t>
      </w:r>
      <w:r>
        <w:rPr>
          <w:i/>
          <w:iCs/>
          <w:lang w:val="lt-LT"/>
        </w:rPr>
        <w:t>Raynaud</w:t>
      </w:r>
      <w:r>
        <w:rPr>
          <w:lang w:val="lt-LT"/>
        </w:rPr>
        <w:t>) liga arba Reino (</w:t>
      </w:r>
      <w:r>
        <w:rPr>
          <w:i/>
          <w:lang w:val="lt-LT"/>
        </w:rPr>
        <w:t>Raynaud</w:t>
      </w:r>
      <w:r>
        <w:rPr>
          <w:lang w:val="lt-LT"/>
        </w:rPr>
        <w:t>) sindromas);</w:t>
      </w:r>
    </w:p>
    <w:p w14:paraId="18EF7FA4" w14:textId="0C0301AF" w:rsidR="00D77CF6" w:rsidRDefault="00B25D9E">
      <w:pPr>
        <w:pStyle w:val="Betarp"/>
        <w:numPr>
          <w:ilvl w:val="0"/>
          <w:numId w:val="4"/>
        </w:numPr>
        <w:ind w:left="567" w:hanging="567"/>
      </w:pPr>
      <w:r>
        <w:rPr>
          <w:rFonts w:eastAsia="SimSun"/>
          <w:lang w:val="lt-LT"/>
        </w:rPr>
        <w:t xml:space="preserve">cukrinis diabetas, </w:t>
      </w:r>
      <w:r>
        <w:rPr>
          <w:lang w:val="lt-LT"/>
        </w:rPr>
        <w:t>nes timololis gali slėpti sumažėjusio cukraus kiekio kraujyje požymius ir simptomus;</w:t>
      </w:r>
    </w:p>
    <w:p w14:paraId="37006AA7" w14:textId="6A646000" w:rsidR="00D77CF6" w:rsidRDefault="00B25D9E">
      <w:pPr>
        <w:pStyle w:val="Betarp"/>
        <w:numPr>
          <w:ilvl w:val="0"/>
          <w:numId w:val="4"/>
        </w:numPr>
        <w:ind w:left="567" w:hanging="567"/>
      </w:pPr>
      <w:r>
        <w:rPr>
          <w:rFonts w:eastAsia="SimSun"/>
          <w:lang w:val="lt-LT"/>
        </w:rPr>
        <w:t>padidėjusi skydliaukės funkcija, nes timololis gali slėpti jos požymius ir simptomus;</w:t>
      </w:r>
    </w:p>
    <w:p w14:paraId="26086BBA" w14:textId="27C3E081" w:rsidR="00D77CF6" w:rsidRDefault="00B25D9E">
      <w:pPr>
        <w:pStyle w:val="Betarp"/>
        <w:numPr>
          <w:ilvl w:val="0"/>
          <w:numId w:val="4"/>
        </w:numPr>
        <w:ind w:left="567" w:hanging="567"/>
      </w:pPr>
      <w:r>
        <w:rPr>
          <w:lang w:val="lt-LT"/>
        </w:rPr>
        <w:t>jeigu Jums planuojama atlikti akių operaciją (įskaitant kataraktos operaciją) arba tokia operacija buvo atlikta;</w:t>
      </w:r>
    </w:p>
    <w:p w14:paraId="2C1976FE" w14:textId="20887C0C" w:rsidR="00D77CF6" w:rsidRDefault="00B25D9E">
      <w:pPr>
        <w:pStyle w:val="Betarp"/>
        <w:numPr>
          <w:ilvl w:val="0"/>
          <w:numId w:val="4"/>
        </w:numPr>
        <w:ind w:left="567" w:hanging="567"/>
      </w:pPr>
      <w:r>
        <w:rPr>
          <w:lang w:val="lt-LT"/>
        </w:rPr>
        <w:t>jeigu Jums yra akių sutrikimų (pvz., akių skausmas, akių dirginimas, akių uždegimas arba neryškus matymas);</w:t>
      </w:r>
    </w:p>
    <w:p w14:paraId="67F6BF7E" w14:textId="2F0BA144" w:rsidR="00D77CF6" w:rsidRPr="001A7D1A" w:rsidRDefault="00B25D9E">
      <w:pPr>
        <w:pStyle w:val="Betarp"/>
        <w:numPr>
          <w:ilvl w:val="0"/>
          <w:numId w:val="4"/>
        </w:numPr>
        <w:ind w:left="567" w:hanging="567"/>
      </w:pPr>
      <w:r>
        <w:rPr>
          <w:lang w:val="lt-LT"/>
        </w:rPr>
        <w:t>jeigu Jums yra akių sausumas;</w:t>
      </w:r>
    </w:p>
    <w:p w14:paraId="001D4115" w14:textId="6C367D6D" w:rsidR="00D77CF6" w:rsidRPr="001A7D1A" w:rsidRDefault="00B25D9E">
      <w:pPr>
        <w:pStyle w:val="Betarp"/>
        <w:numPr>
          <w:ilvl w:val="0"/>
          <w:numId w:val="4"/>
        </w:numPr>
        <w:ind w:left="567" w:hanging="567"/>
      </w:pPr>
      <w:r>
        <w:rPr>
          <w:lang w:val="lt-LT"/>
        </w:rPr>
        <w:t>jeigu nešiojate kontaktinius lęšius. Jūs galite vartoti Fixopost, bet turite laikytis nurodymų, kurie taikomi nešiojantiesiems kontaktinius lęšius ir aprašyti 3 skyriuje;</w:t>
      </w:r>
    </w:p>
    <w:p w14:paraId="7D568337" w14:textId="0176A2A2" w:rsidR="00D77CF6" w:rsidRPr="001A7D1A" w:rsidRDefault="00B25D9E">
      <w:pPr>
        <w:pStyle w:val="Betarp"/>
        <w:numPr>
          <w:ilvl w:val="0"/>
          <w:numId w:val="4"/>
        </w:numPr>
        <w:ind w:left="567" w:hanging="567"/>
      </w:pPr>
      <w:r>
        <w:rPr>
          <w:lang w:val="lt-LT"/>
        </w:rPr>
        <w:t>jeigu žinote kad sergate krūtinės angina (žinoma būtent kaip Princmetalo (</w:t>
      </w:r>
      <w:r>
        <w:rPr>
          <w:i/>
          <w:iCs/>
          <w:lang w:val="lt-LT"/>
        </w:rPr>
        <w:t>Prinzmetal</w:t>
      </w:r>
      <w:r>
        <w:rPr>
          <w:lang w:val="lt-LT"/>
        </w:rPr>
        <w:t>) angina);</w:t>
      </w:r>
    </w:p>
    <w:p w14:paraId="7AF4C4D9" w14:textId="3F49C0D9" w:rsidR="00D77CF6" w:rsidRPr="001A7D1A" w:rsidRDefault="00B25D9E">
      <w:pPr>
        <w:pStyle w:val="Betarp"/>
        <w:numPr>
          <w:ilvl w:val="0"/>
          <w:numId w:val="4"/>
        </w:numPr>
        <w:ind w:left="567" w:hanging="567"/>
      </w:pPr>
      <w:r>
        <w:rPr>
          <w:lang w:val="lt-LT"/>
        </w:rPr>
        <w:t>jeigu Jums būna sunkių alerginių reakcijų, kurias būtina gydyti ligoninėje;</w:t>
      </w:r>
    </w:p>
    <w:p w14:paraId="1B30A867" w14:textId="77777777" w:rsidR="00D77CF6" w:rsidRDefault="00B25D9E">
      <w:pPr>
        <w:pStyle w:val="Betarp"/>
        <w:numPr>
          <w:ilvl w:val="0"/>
          <w:numId w:val="4"/>
        </w:numPr>
        <w:ind w:left="567" w:hanging="567"/>
        <w:rPr>
          <w:lang w:val="lt-LT"/>
        </w:rPr>
      </w:pPr>
      <w:r>
        <w:rPr>
          <w:lang w:val="lt-LT"/>
        </w:rPr>
        <w:t>jeigu anksčiau turėjote ar dabar turite pūslelinės (</w:t>
      </w:r>
      <w:r>
        <w:rPr>
          <w:i/>
          <w:lang w:val="lt-LT"/>
        </w:rPr>
        <w:t>Herpes simplex</w:t>
      </w:r>
      <w:r>
        <w:rPr>
          <w:lang w:val="lt-LT"/>
        </w:rPr>
        <w:t>) viruso sukeltą akių infekciją.</w:t>
      </w:r>
    </w:p>
    <w:p w14:paraId="34B93CBA" w14:textId="77777777" w:rsidR="00D77CF6" w:rsidRDefault="00D77CF6">
      <w:pPr>
        <w:pStyle w:val="Betarp"/>
        <w:ind w:left="567" w:hanging="567"/>
        <w:rPr>
          <w:lang w:val="lt-LT"/>
        </w:rPr>
      </w:pPr>
    </w:p>
    <w:p w14:paraId="415B8615" w14:textId="77777777" w:rsidR="00D77CF6" w:rsidRDefault="00B25D9E">
      <w:pPr>
        <w:pStyle w:val="Betarp"/>
        <w:rPr>
          <w:rFonts w:eastAsia="SimSun"/>
          <w:lang w:val="lt-LT"/>
        </w:rPr>
      </w:pPr>
      <w:r>
        <w:rPr>
          <w:lang w:val="lt-LT"/>
        </w:rPr>
        <w:t>Prieš operaciją pasakykite gydytojui, kad vartojate Fixopost, nes timololis gali turėti įtakos kai kurių vaistų, vartojamų anestezijai, poveikiui.</w:t>
      </w:r>
    </w:p>
    <w:p w14:paraId="6F33BDA6" w14:textId="77777777" w:rsidR="00D77CF6" w:rsidRDefault="00D77CF6">
      <w:pPr>
        <w:pStyle w:val="Betarp"/>
        <w:rPr>
          <w:b/>
          <w:lang w:val="lt-LT"/>
        </w:rPr>
      </w:pPr>
    </w:p>
    <w:p w14:paraId="2EFF8A55" w14:textId="77777777" w:rsidR="00D77CF6" w:rsidRDefault="00B25D9E">
      <w:pPr>
        <w:pStyle w:val="Betarp"/>
        <w:rPr>
          <w:b/>
          <w:lang w:val="lt-LT"/>
        </w:rPr>
      </w:pPr>
      <w:r>
        <w:rPr>
          <w:b/>
          <w:lang w:val="lt-LT"/>
        </w:rPr>
        <w:t>Kiti vaistai ir Fixopost</w:t>
      </w:r>
    </w:p>
    <w:p w14:paraId="1C6AB0A1" w14:textId="77777777" w:rsidR="00D77CF6" w:rsidRDefault="00B25D9E">
      <w:pPr>
        <w:pStyle w:val="Betarp"/>
        <w:rPr>
          <w:lang w:val="lt-LT"/>
        </w:rPr>
      </w:pPr>
      <w:r>
        <w:rPr>
          <w:lang w:val="lt-LT"/>
        </w:rPr>
        <w:t>Jeigu vartojate ar neseniai vartojote kitų vaistų, įskaitant akių lašus ir vaistus, įsigytus be recepto, arba dėl to nesate tikri, apie tai pasakykite gydytojui arba vaistininkui.</w:t>
      </w:r>
    </w:p>
    <w:p w14:paraId="4406CA7C" w14:textId="77777777" w:rsidR="00D77CF6" w:rsidRDefault="00B25D9E">
      <w:pPr>
        <w:pStyle w:val="Betarp"/>
        <w:rPr>
          <w:lang w:val="lt-LT"/>
        </w:rPr>
      </w:pPr>
      <w:r>
        <w:rPr>
          <w:lang w:val="lt-LT"/>
        </w:rPr>
        <w:t>Fixopost</w:t>
      </w:r>
      <w:r>
        <w:rPr>
          <w:rFonts w:eastAsia="SimSun"/>
          <w:lang w:val="lt-LT"/>
        </w:rPr>
        <w:t xml:space="preserve"> gali </w:t>
      </w:r>
      <w:r>
        <w:rPr>
          <w:lang w:val="lt-LT"/>
        </w:rPr>
        <w:t>veikti ar patys būti veikiami kitų Jūsų vartojamų vaistų, tame tarpe ir kitų akių lašų, skirtų glaukomai gydyti. Pasakykite gydytojui, jei vartojate ar ketinate vartoti kitų vaistų kraujospūdžiui mažinti, vaistų širdžiai ar vaistų cukriniam diabetui gydyti.</w:t>
      </w:r>
    </w:p>
    <w:p w14:paraId="5392C126" w14:textId="77777777" w:rsidR="00D77CF6" w:rsidRDefault="00D77CF6">
      <w:pPr>
        <w:pStyle w:val="Betarp"/>
        <w:ind w:left="567" w:hanging="567"/>
        <w:rPr>
          <w:rFonts w:eastAsia="SimSun"/>
          <w:lang w:val="lt-LT"/>
        </w:rPr>
      </w:pPr>
    </w:p>
    <w:p w14:paraId="4008C14C" w14:textId="77777777" w:rsidR="00D77CF6" w:rsidRDefault="00B25D9E">
      <w:pPr>
        <w:pStyle w:val="Betarp"/>
        <w:rPr>
          <w:rFonts w:eastAsia="SimSun"/>
          <w:lang w:val="lt-LT"/>
        </w:rPr>
      </w:pPr>
      <w:r>
        <w:rPr>
          <w:rFonts w:eastAsia="SimSun"/>
          <w:lang w:val="lt-LT"/>
        </w:rPr>
        <w:t>Ypač svarbu pasakyti gydytojui arba vaistininkui, jei vartojate bet kurį iš toliau išvardytų vaistų:</w:t>
      </w:r>
    </w:p>
    <w:p w14:paraId="2AEC4911" w14:textId="0B780DD1" w:rsidR="00D77CF6" w:rsidRDefault="00B25D9E">
      <w:pPr>
        <w:pStyle w:val="Betarp"/>
        <w:numPr>
          <w:ilvl w:val="0"/>
          <w:numId w:val="5"/>
        </w:numPr>
        <w:ind w:left="567" w:hanging="567"/>
      </w:pPr>
      <w:r>
        <w:rPr>
          <w:rFonts w:eastAsia="SimSun"/>
          <w:lang w:val="lt-LT"/>
        </w:rPr>
        <w:t>prostagalandinų, prostaglandinų analogų arba prostaglandinių darinių;</w:t>
      </w:r>
    </w:p>
    <w:p w14:paraId="45BBDD74" w14:textId="17B6C6B9" w:rsidR="00D77CF6" w:rsidRDefault="00B25D9E">
      <w:pPr>
        <w:pStyle w:val="Betarp"/>
        <w:numPr>
          <w:ilvl w:val="0"/>
          <w:numId w:val="5"/>
        </w:numPr>
        <w:ind w:left="567" w:hanging="567"/>
      </w:pPr>
      <w:r>
        <w:rPr>
          <w:rFonts w:eastAsia="SimSun"/>
          <w:lang w:val="lt-LT"/>
        </w:rPr>
        <w:t>beta receptorius blokuojančių vaistų;</w:t>
      </w:r>
    </w:p>
    <w:p w14:paraId="532B8188" w14:textId="59F258BC" w:rsidR="00D77CF6" w:rsidRDefault="00B25D9E">
      <w:pPr>
        <w:pStyle w:val="Betarp"/>
        <w:numPr>
          <w:ilvl w:val="0"/>
          <w:numId w:val="5"/>
        </w:numPr>
        <w:ind w:left="567" w:hanging="567"/>
      </w:pPr>
      <w:r>
        <w:rPr>
          <w:rFonts w:eastAsia="SimSun"/>
          <w:lang w:val="lt-LT"/>
        </w:rPr>
        <w:t>epinefrino;</w:t>
      </w:r>
    </w:p>
    <w:p w14:paraId="471528CE" w14:textId="4143009C" w:rsidR="00D77CF6" w:rsidRDefault="00B25D9E">
      <w:pPr>
        <w:pStyle w:val="Betarp"/>
        <w:numPr>
          <w:ilvl w:val="0"/>
          <w:numId w:val="5"/>
        </w:numPr>
        <w:ind w:left="567" w:hanging="567"/>
      </w:pPr>
      <w:r>
        <w:rPr>
          <w:rFonts w:eastAsia="SimSun"/>
          <w:lang w:val="lt-LT"/>
        </w:rPr>
        <w:t>vaistų, skirtų gydyti aukštą kraujo spaudimą, pavyzdžiui, geriamų kalcio kanalų blokatorių,</w:t>
      </w:r>
      <w:r>
        <w:rPr>
          <w:lang w:val="lt-LT"/>
        </w:rPr>
        <w:t xml:space="preserve"> </w:t>
      </w:r>
      <w:r>
        <w:rPr>
          <w:rFonts w:eastAsia="SimSun"/>
          <w:lang w:val="lt-LT"/>
        </w:rPr>
        <w:t>guanetidino, antiaritminių vaistų, širdį veikiančių glikozidų arba parasimpatinę nervų sistemą veikiančių vaistų;</w:t>
      </w:r>
    </w:p>
    <w:p w14:paraId="11CB3DFB" w14:textId="427B321E" w:rsidR="00D77CF6" w:rsidRDefault="00B25D9E">
      <w:pPr>
        <w:pStyle w:val="Betarp"/>
        <w:numPr>
          <w:ilvl w:val="0"/>
          <w:numId w:val="5"/>
        </w:numPr>
        <w:ind w:left="567" w:hanging="567"/>
      </w:pPr>
      <w:r>
        <w:rPr>
          <w:rFonts w:eastAsia="SimSun"/>
          <w:lang w:val="lt-LT"/>
        </w:rPr>
        <w:t>chinidino (juo gydomi širdies sutrikimai ir tam tikro tipo maliarija);</w:t>
      </w:r>
    </w:p>
    <w:p w14:paraId="3D15832D" w14:textId="77777777" w:rsidR="00D77CF6" w:rsidRDefault="00B25D9E">
      <w:pPr>
        <w:pStyle w:val="Betarp"/>
        <w:numPr>
          <w:ilvl w:val="0"/>
          <w:numId w:val="5"/>
        </w:numPr>
        <w:ind w:left="567" w:hanging="567"/>
        <w:rPr>
          <w:rFonts w:eastAsia="SimSun"/>
          <w:lang w:val="lt-LT"/>
        </w:rPr>
      </w:pPr>
      <w:r>
        <w:rPr>
          <w:rFonts w:eastAsia="SimSun"/>
          <w:lang w:val="lt-LT"/>
        </w:rPr>
        <w:t>antidepresantų, tokių kaip fluoksetinas ir paroksetinas.</w:t>
      </w:r>
    </w:p>
    <w:p w14:paraId="7D5629A3" w14:textId="77777777" w:rsidR="00D77CF6" w:rsidRDefault="00D77CF6">
      <w:pPr>
        <w:pStyle w:val="Betarp"/>
        <w:rPr>
          <w:lang w:val="lt-LT"/>
        </w:rPr>
      </w:pPr>
    </w:p>
    <w:p w14:paraId="6D885FAD" w14:textId="77777777" w:rsidR="00D77CF6" w:rsidRDefault="00B25D9E">
      <w:pPr>
        <w:pStyle w:val="Betarp"/>
        <w:rPr>
          <w:bCs/>
          <w:lang w:val="lt-LT"/>
        </w:rPr>
      </w:pPr>
      <w:r>
        <w:rPr>
          <w:b/>
          <w:lang w:val="fr-FR"/>
        </w:rPr>
        <w:t>Fixopost</w:t>
      </w:r>
      <w:r>
        <w:rPr>
          <w:b/>
          <w:bCs/>
          <w:lang w:val="lt-LT"/>
        </w:rPr>
        <w:t xml:space="preserve"> vartojimas su maistu ir gėrimais</w:t>
      </w:r>
    </w:p>
    <w:p w14:paraId="23CB6DA8" w14:textId="77777777" w:rsidR="00D77CF6" w:rsidRDefault="00B25D9E">
      <w:pPr>
        <w:pStyle w:val="Betarp"/>
        <w:rPr>
          <w:lang w:val="lt-LT"/>
        </w:rPr>
      </w:pPr>
      <w:r>
        <w:rPr>
          <w:bCs/>
          <w:lang w:val="lt-LT"/>
        </w:rPr>
        <w:t xml:space="preserve">Įprasti užkandžiai, maistas ar gėrimai įtakos kada ar kaip turite vartoti </w:t>
      </w:r>
      <w:r>
        <w:rPr>
          <w:lang w:val="lt-LT"/>
        </w:rPr>
        <w:t>Fixopost</w:t>
      </w:r>
      <w:r>
        <w:rPr>
          <w:bCs/>
          <w:lang w:val="lt-LT"/>
        </w:rPr>
        <w:t xml:space="preserve"> neturi.</w:t>
      </w:r>
    </w:p>
    <w:p w14:paraId="4E3A789B" w14:textId="77777777" w:rsidR="00D77CF6" w:rsidRDefault="00D77CF6">
      <w:pPr>
        <w:pStyle w:val="Betarp"/>
        <w:rPr>
          <w:b/>
          <w:lang w:val="lt-LT"/>
        </w:rPr>
      </w:pPr>
    </w:p>
    <w:p w14:paraId="3431C374" w14:textId="77777777" w:rsidR="00D77CF6" w:rsidRDefault="00B25D9E">
      <w:pPr>
        <w:pStyle w:val="Betarp"/>
        <w:rPr>
          <w:b/>
          <w:lang w:val="lt-LT"/>
        </w:rPr>
      </w:pPr>
      <w:r>
        <w:rPr>
          <w:b/>
          <w:lang w:val="lt-LT"/>
        </w:rPr>
        <w:t>Nėštumas, žindymo laikotarpis ir vaisingumas</w:t>
      </w:r>
    </w:p>
    <w:p w14:paraId="7423F741" w14:textId="77777777" w:rsidR="00D77CF6" w:rsidRDefault="00B25D9E">
      <w:pPr>
        <w:pStyle w:val="Betarp"/>
        <w:rPr>
          <w:lang w:val="lt-LT"/>
        </w:rPr>
      </w:pPr>
      <w:r>
        <w:rPr>
          <w:b/>
          <w:lang w:val="lt-LT"/>
        </w:rPr>
        <w:t xml:space="preserve">Fixopost </w:t>
      </w:r>
      <w:r>
        <w:rPr>
          <w:lang w:val="lt-LT"/>
        </w:rPr>
        <w:t xml:space="preserve">nėštumo ar žindymo laikotarpiu </w:t>
      </w:r>
      <w:r>
        <w:rPr>
          <w:b/>
          <w:lang w:val="lt-LT"/>
        </w:rPr>
        <w:t>vartoti</w:t>
      </w:r>
      <w:r>
        <w:rPr>
          <w:lang w:val="lt-LT"/>
        </w:rPr>
        <w:t xml:space="preserve"> </w:t>
      </w:r>
      <w:r>
        <w:rPr>
          <w:b/>
          <w:lang w:val="lt-LT"/>
        </w:rPr>
        <w:t>negalima</w:t>
      </w:r>
      <w:r>
        <w:rPr>
          <w:lang w:val="lt-LT"/>
        </w:rPr>
        <w:t xml:space="preserve">. </w:t>
      </w:r>
    </w:p>
    <w:p w14:paraId="22D168B5" w14:textId="77777777" w:rsidR="00D77CF6" w:rsidRDefault="00B25D9E">
      <w:pPr>
        <w:pStyle w:val="Betarp"/>
        <w:rPr>
          <w:lang w:val="lt-LT"/>
        </w:rPr>
      </w:pPr>
      <w:r>
        <w:rPr>
          <w:lang w:val="fr-FR"/>
        </w:rPr>
        <w:t>Fixopost</w:t>
      </w:r>
      <w:r>
        <w:rPr>
          <w:lang w:val="lt-LT"/>
        </w:rPr>
        <w:t xml:space="preserve"> g</w:t>
      </w:r>
      <w:r>
        <w:rPr>
          <w:lang w:val="lt-LT" w:eastAsia="el-GR"/>
        </w:rPr>
        <w:t>ali patekti į Jūsų pieną.</w:t>
      </w:r>
    </w:p>
    <w:p w14:paraId="56AAB767" w14:textId="77777777" w:rsidR="00D77CF6" w:rsidRDefault="00B25D9E">
      <w:pPr>
        <w:pStyle w:val="Betarp"/>
        <w:rPr>
          <w:lang w:val="lt-LT"/>
        </w:rPr>
      </w:pPr>
      <w:r>
        <w:rPr>
          <w:color w:val="000000"/>
          <w:lang w:val="lt-LT" w:eastAsia="el-GR"/>
        </w:rPr>
        <w:t>Tyrimų su gyvūnais metu nustatyta, kad latanoprostas ir timololis neturi įtakos patinų ar patelių vaisingumui.</w:t>
      </w:r>
    </w:p>
    <w:p w14:paraId="6E4AC77A" w14:textId="77777777" w:rsidR="00D77CF6" w:rsidRDefault="00B25D9E">
      <w:pPr>
        <w:pStyle w:val="Betarp"/>
        <w:rPr>
          <w:lang w:val="lt-LT"/>
        </w:rPr>
      </w:pPr>
      <w:r>
        <w:rPr>
          <w:lang w:val="lt-LT"/>
        </w:rPr>
        <w:t>Jeigu esate nėščia, žindote kūdikį, manote, kad galbūt esate nėščia, arba planuojate pastoti, tai prieš vartodama šį vaistą, pasitarkite su gydytoju arba vaistininku.</w:t>
      </w:r>
    </w:p>
    <w:p w14:paraId="45D38416" w14:textId="77777777" w:rsidR="00D77CF6" w:rsidRDefault="00D77CF6">
      <w:pPr>
        <w:pStyle w:val="Betarp"/>
        <w:rPr>
          <w:b/>
          <w:lang w:val="lt-LT"/>
        </w:rPr>
      </w:pPr>
    </w:p>
    <w:p w14:paraId="5E7F2811" w14:textId="77777777" w:rsidR="00D77CF6" w:rsidRDefault="00B25D9E">
      <w:pPr>
        <w:pStyle w:val="Betarp"/>
        <w:rPr>
          <w:b/>
          <w:lang w:val="lt-LT"/>
        </w:rPr>
      </w:pPr>
      <w:r>
        <w:rPr>
          <w:b/>
          <w:lang w:val="lt-LT"/>
        </w:rPr>
        <w:t>Vairavimas ir mechanizmų valdymas</w:t>
      </w:r>
    </w:p>
    <w:p w14:paraId="4F30F97A" w14:textId="77777777" w:rsidR="00D77CF6" w:rsidRDefault="00B25D9E">
      <w:pPr>
        <w:pStyle w:val="Betarp"/>
        <w:rPr>
          <w:lang w:val="lt-LT"/>
        </w:rPr>
      </w:pPr>
      <w:r>
        <w:rPr>
          <w:lang w:val="lt-LT"/>
        </w:rPr>
        <w:t>Vartojant Fixopost, matymas trumpam gali pasidaryti neryškus. Jeigu tai atsitiktų Jums - nevairuokite transporto priemonių, nevaldykite mechanizmų ir įrengimų, kol matymas vėl netaps normalus.</w:t>
      </w:r>
    </w:p>
    <w:p w14:paraId="24DFAD57" w14:textId="77777777" w:rsidR="00D77CF6" w:rsidRDefault="00D77CF6">
      <w:pPr>
        <w:pStyle w:val="Betarp"/>
        <w:rPr>
          <w:b/>
          <w:lang w:val="lt-LT"/>
        </w:rPr>
      </w:pPr>
    </w:p>
    <w:p w14:paraId="3409AB49" w14:textId="77777777" w:rsidR="00D77CF6" w:rsidRDefault="00B25D9E">
      <w:pPr>
        <w:pStyle w:val="Betarp"/>
        <w:rPr>
          <w:lang w:val="lt-LT"/>
        </w:rPr>
      </w:pPr>
      <w:r>
        <w:rPr>
          <w:b/>
          <w:lang w:val="lt-LT"/>
        </w:rPr>
        <w:t>Fixopost sudėtyje yra makrogolglicerolio hidroksistearato</w:t>
      </w:r>
      <w:r>
        <w:rPr>
          <w:lang w:val="lt-LT"/>
        </w:rPr>
        <w:t xml:space="preserve"> (ricinos aliejaus darinys), kuris gali sukelti odos reakcijų.</w:t>
      </w:r>
    </w:p>
    <w:p w14:paraId="71FCF0B3" w14:textId="77777777" w:rsidR="00D77CF6" w:rsidRDefault="00D77CF6">
      <w:pPr>
        <w:pStyle w:val="Betarp"/>
        <w:rPr>
          <w:lang w:val="lt-LT"/>
        </w:rPr>
      </w:pPr>
    </w:p>
    <w:p w14:paraId="0FAAF36C" w14:textId="77777777" w:rsidR="00D77CF6" w:rsidRDefault="00D77CF6">
      <w:pPr>
        <w:pStyle w:val="Betarp"/>
        <w:rPr>
          <w:b/>
          <w:lang w:val="lt-LT"/>
        </w:rPr>
      </w:pPr>
    </w:p>
    <w:p w14:paraId="2C493B65" w14:textId="77777777" w:rsidR="00D77CF6" w:rsidRDefault="00B25D9E">
      <w:pPr>
        <w:pStyle w:val="Betarp"/>
        <w:rPr>
          <w:b/>
          <w:lang w:val="lt-LT"/>
        </w:rPr>
      </w:pPr>
      <w:bookmarkStart w:id="70" w:name="_Toc129243266"/>
      <w:bookmarkStart w:id="71" w:name="_Toc129243141"/>
      <w:r>
        <w:rPr>
          <w:b/>
          <w:lang w:val="lt-LT"/>
        </w:rPr>
        <w:t>3.</w:t>
      </w:r>
      <w:r>
        <w:rPr>
          <w:b/>
          <w:lang w:val="lt-LT"/>
        </w:rPr>
        <w:tab/>
        <w:t xml:space="preserve">Kaip vartoti </w:t>
      </w:r>
      <w:bookmarkEnd w:id="70"/>
      <w:bookmarkEnd w:id="71"/>
      <w:r>
        <w:rPr>
          <w:b/>
          <w:lang w:val="lt-LT"/>
        </w:rPr>
        <w:t>Fixopost</w:t>
      </w:r>
    </w:p>
    <w:p w14:paraId="10785E45" w14:textId="77777777" w:rsidR="00D77CF6" w:rsidRDefault="00D77CF6">
      <w:pPr>
        <w:pStyle w:val="Betarp"/>
        <w:rPr>
          <w:lang w:val="lt-LT"/>
        </w:rPr>
      </w:pPr>
    </w:p>
    <w:p w14:paraId="74C548F7" w14:textId="77777777" w:rsidR="00D77CF6" w:rsidRDefault="00B25D9E">
      <w:pPr>
        <w:pStyle w:val="Betarp"/>
        <w:rPr>
          <w:lang w:val="lt-LT"/>
        </w:rPr>
      </w:pPr>
      <w:r>
        <w:rPr>
          <w:lang w:val="lt-LT"/>
        </w:rPr>
        <w:t>Visada vartokite šį vaistą tiksliai, kaip nurodė gydytojas arba vaistininkas. Jeigu abejojate, kreipkitės į gydytoją arba vaistininką.</w:t>
      </w:r>
    </w:p>
    <w:p w14:paraId="4F8D2C02" w14:textId="77777777" w:rsidR="00D77CF6" w:rsidRDefault="00B25D9E">
      <w:pPr>
        <w:pStyle w:val="Betarp"/>
        <w:rPr>
          <w:lang w:val="lt-LT"/>
        </w:rPr>
      </w:pPr>
      <w:r>
        <w:rPr>
          <w:lang w:val="lt-LT"/>
        </w:rPr>
        <w:t>Rekomenduojama dozė suaugusiesiems (įskaitant senyvus) yra 1 lašas ant pažeistos (-ų) akies (-ių) 1</w:t>
      </w:r>
      <w:r>
        <w:rPr>
          <w:b/>
          <w:lang w:val="lt-LT"/>
        </w:rPr>
        <w:t> </w:t>
      </w:r>
      <w:r>
        <w:rPr>
          <w:lang w:val="lt-LT"/>
        </w:rPr>
        <w:t>kartą per parą.</w:t>
      </w:r>
    </w:p>
    <w:p w14:paraId="75DE215D" w14:textId="77777777" w:rsidR="00D77CF6" w:rsidRDefault="00B25D9E">
      <w:pPr>
        <w:pStyle w:val="Betarp"/>
        <w:rPr>
          <w:lang w:val="lt-LT"/>
        </w:rPr>
      </w:pPr>
      <w:r>
        <w:rPr>
          <w:lang w:val="lt-LT"/>
        </w:rPr>
        <w:t>Nevartokite Fixopost</w:t>
      </w:r>
      <w:r>
        <w:rPr>
          <w:bCs/>
          <w:lang w:val="lt-LT"/>
        </w:rPr>
        <w:t xml:space="preserve"> </w:t>
      </w:r>
      <w:r>
        <w:rPr>
          <w:lang w:val="lt-LT"/>
        </w:rPr>
        <w:t>daugiau kaip 1</w:t>
      </w:r>
      <w:r>
        <w:rPr>
          <w:b/>
          <w:lang w:val="lt-LT"/>
        </w:rPr>
        <w:t> </w:t>
      </w:r>
      <w:r>
        <w:rPr>
          <w:lang w:val="lt-LT"/>
        </w:rPr>
        <w:t>kartą per parą, nes dažniau vartojant gydymo veiksmingumas sumažėja.</w:t>
      </w:r>
    </w:p>
    <w:p w14:paraId="65B2E86A" w14:textId="77777777" w:rsidR="00D77CF6" w:rsidRDefault="00B25D9E">
      <w:pPr>
        <w:pStyle w:val="Betarp"/>
        <w:rPr>
          <w:lang w:val="lt-LT"/>
        </w:rPr>
      </w:pPr>
      <w:r>
        <w:rPr>
          <w:lang w:val="lt-LT"/>
        </w:rPr>
        <w:t>Fixopost</w:t>
      </w:r>
      <w:r>
        <w:rPr>
          <w:bCs/>
          <w:lang w:val="lt-LT"/>
        </w:rPr>
        <w:t xml:space="preserve"> v</w:t>
      </w:r>
      <w:r>
        <w:rPr>
          <w:lang w:val="lt-LT"/>
        </w:rPr>
        <w:t>artokite pagal gydytojo nurodymus tol, kol gydytojas nurodys nutraukti vaisto vartojimą.</w:t>
      </w:r>
    </w:p>
    <w:p w14:paraId="1B8B1FA0" w14:textId="77777777" w:rsidR="00D77CF6" w:rsidRDefault="00B25D9E">
      <w:pPr>
        <w:pStyle w:val="Betarp"/>
        <w:rPr>
          <w:lang w:val="lt-LT"/>
        </w:rPr>
      </w:pPr>
      <w:r>
        <w:rPr>
          <w:lang w:val="lt-LT"/>
        </w:rPr>
        <w:t>Vartojant Fixopost</w:t>
      </w:r>
      <w:r>
        <w:rPr>
          <w:bCs/>
          <w:lang w:val="lt-LT"/>
        </w:rPr>
        <w:t xml:space="preserve"> Jūsų g</w:t>
      </w:r>
      <w:r>
        <w:rPr>
          <w:lang w:val="lt-LT"/>
        </w:rPr>
        <w:t>ydytojas gali nurodyti atlikti papildomus širdies ir kraujotakos tyrimus.</w:t>
      </w:r>
    </w:p>
    <w:p w14:paraId="4348ECEE" w14:textId="77777777" w:rsidR="00D77CF6" w:rsidRDefault="00B25D9E">
      <w:pPr>
        <w:pStyle w:val="Betarp"/>
        <w:rPr>
          <w:lang w:val="lt-LT"/>
        </w:rPr>
      </w:pPr>
      <w:r>
        <w:rPr>
          <w:lang w:val="lt-LT"/>
        </w:rPr>
        <w:t>Šis vaistas yra akių lašai (tirpalas) be konservantų. Venkite buteliuko galiuko sąlyčio su akimis ar sritimis aplink akis. Jis gali užsiteršti bakterijomis, kurios gali sukelti akių infekcijas, galinčias stipriai pažeisti akį, ar net sukelti regėjimo praradimą. Norėdami išvengti galimo buteliuko užteršimo, buteliuko galiuką saugokite nuo sąlyčio su bet kokiu paviršiumi.</w:t>
      </w:r>
    </w:p>
    <w:p w14:paraId="5FB63BF4" w14:textId="77777777" w:rsidR="00D77CF6" w:rsidRDefault="00D77CF6">
      <w:pPr>
        <w:pStyle w:val="Betarp"/>
        <w:rPr>
          <w:lang w:val="lt-LT"/>
        </w:rPr>
      </w:pPr>
    </w:p>
    <w:p w14:paraId="6D26E325" w14:textId="77777777" w:rsidR="00D77CF6" w:rsidRDefault="00B25D9E">
      <w:pPr>
        <w:pStyle w:val="Betarp"/>
        <w:rPr>
          <w:b/>
          <w:lang w:val="lt-LT"/>
        </w:rPr>
      </w:pPr>
      <w:r>
        <w:rPr>
          <w:b/>
          <w:lang w:val="lt-LT"/>
        </w:rPr>
        <w:t>Kontaktinius lęšius nešiojantys žmonės</w:t>
      </w:r>
    </w:p>
    <w:p w14:paraId="07E4E4AD" w14:textId="77777777" w:rsidR="00D77CF6" w:rsidRDefault="00B25D9E">
      <w:pPr>
        <w:pStyle w:val="Betarp"/>
        <w:rPr>
          <w:lang w:val="lt-LT"/>
        </w:rPr>
      </w:pPr>
      <w:r>
        <w:rPr>
          <w:lang w:val="lt-LT"/>
        </w:rPr>
        <w:t>Jeigu nešiojate kontaktinius lęšius, juos reikia išimti prieš Fixopost vartojimą. Pavartojus Fixopost, vėl įsidėti kontaktinius lęšius į akis galima po 15</w:t>
      </w:r>
      <w:r>
        <w:rPr>
          <w:b/>
          <w:lang w:val="lt-LT"/>
        </w:rPr>
        <w:t> </w:t>
      </w:r>
      <w:r>
        <w:rPr>
          <w:lang w:val="lt-LT"/>
        </w:rPr>
        <w:t>minučių.</w:t>
      </w:r>
    </w:p>
    <w:p w14:paraId="7325796A" w14:textId="77777777" w:rsidR="00D77CF6" w:rsidRDefault="00D77CF6">
      <w:pPr>
        <w:pStyle w:val="Betarp"/>
        <w:rPr>
          <w:b/>
          <w:lang w:val="lt-LT"/>
        </w:rPr>
      </w:pPr>
    </w:p>
    <w:p w14:paraId="7FAFDD07" w14:textId="77777777" w:rsidR="00D77CF6" w:rsidRDefault="00B25D9E">
      <w:pPr>
        <w:pStyle w:val="Betarp"/>
        <w:rPr>
          <w:b/>
          <w:lang w:val="lt-LT"/>
        </w:rPr>
      </w:pPr>
      <w:r>
        <w:rPr>
          <w:b/>
          <w:lang w:val="lt-LT"/>
        </w:rPr>
        <w:t>Vartojimo instrukcija</w:t>
      </w:r>
    </w:p>
    <w:p w14:paraId="18BF49C2" w14:textId="77777777" w:rsidR="00D77CF6" w:rsidRDefault="00B25D9E">
      <w:pPr>
        <w:pStyle w:val="Betarp"/>
        <w:rPr>
          <w:lang w:val="lt-LT"/>
        </w:rPr>
      </w:pPr>
      <w:r>
        <w:rPr>
          <w:lang w:val="lt-LT"/>
        </w:rPr>
        <w:t>Šis vaistas skirtas vartoti ant akių.</w:t>
      </w:r>
    </w:p>
    <w:p w14:paraId="7D7D66D2" w14:textId="7AB6E0F9" w:rsidR="00D77CF6" w:rsidRPr="00D7535D" w:rsidRDefault="00B25D9E">
      <w:pPr>
        <w:pStyle w:val="Betarp"/>
        <w:rPr>
          <w:lang w:val="lt-LT"/>
        </w:rPr>
      </w:pPr>
      <w:r>
        <w:rPr>
          <w:lang w:val="lt-LT"/>
        </w:rPr>
        <w:t>Vartojant šį vaistą svarbu laikytis toliau išvardytų nurodymų.</w:t>
      </w:r>
    </w:p>
    <w:p w14:paraId="4EDE9434" w14:textId="77777777" w:rsidR="00D77CF6" w:rsidRDefault="00D77CF6">
      <w:pPr>
        <w:pStyle w:val="Betarp"/>
        <w:rPr>
          <w:lang w:val="lt-LT"/>
        </w:rPr>
      </w:pPr>
    </w:p>
    <w:tbl>
      <w:tblPr>
        <w:tblW w:w="5000" w:type="pct"/>
        <w:jc w:val="center"/>
        <w:tblLook w:val="04A0" w:firstRow="1" w:lastRow="0" w:firstColumn="1" w:lastColumn="0" w:noHBand="0" w:noVBand="1"/>
      </w:tblPr>
      <w:tblGrid>
        <w:gridCol w:w="1803"/>
        <w:gridCol w:w="7257"/>
      </w:tblGrid>
      <w:tr w:rsidR="00D77CF6" w:rsidRPr="00CA1BDC" w14:paraId="02228246" w14:textId="77777777">
        <w:trPr>
          <w:trHeight w:val="2573"/>
          <w:jc w:val="center"/>
        </w:trPr>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4BE869EE" w14:textId="77777777" w:rsidR="00D77CF6" w:rsidRDefault="00B25D9E">
            <w:pPr>
              <w:tabs>
                <w:tab w:val="left" w:pos="567"/>
                <w:tab w:val="left" w:pos="708"/>
              </w:tabs>
              <w:spacing w:line="240" w:lineRule="auto"/>
              <w:rPr>
                <w:rFonts w:eastAsia="Times New Roman"/>
                <w:b/>
                <w:szCs w:val="24"/>
                <w:lang w:val="en-GB"/>
              </w:rPr>
            </w:pPr>
            <w:r>
              <w:rPr>
                <w:noProof/>
                <w:lang w:val="lt-LT" w:eastAsia="lt-LT"/>
              </w:rPr>
              <w:drawing>
                <wp:inline distT="0" distB="0" distL="0" distR="0" wp14:anchorId="6F4C1671" wp14:editId="5505E456">
                  <wp:extent cx="692150" cy="1206500"/>
                  <wp:effectExtent l="0" t="0" r="0" b="0"/>
                  <wp:docPr id="1" name="Picture 8" descr="C:\Users\aldebert\AppData\Local\Microsoft\Windows\Temporary Internet Files\Content.Outlook\G8HBPI3V\illu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descr="C:\Users\aldebert\AppData\Local\Microsoft\Windows\Temporary Internet Files\Content.Outlook\G8HBPI3V\illu0.jpg"/>
                          <pic:cNvPicPr>
                            <a:picLocks noChangeAspect="1" noChangeArrowheads="1"/>
                          </pic:cNvPicPr>
                        </pic:nvPicPr>
                        <pic:blipFill>
                          <a:blip r:embed="rId14"/>
                          <a:stretch>
                            <a:fillRect/>
                          </a:stretch>
                        </pic:blipFill>
                        <pic:spPr bwMode="auto">
                          <a:xfrm>
                            <a:off x="0" y="0"/>
                            <a:ext cx="692150" cy="1206500"/>
                          </a:xfrm>
                          <a:prstGeom prst="rect">
                            <a:avLst/>
                          </a:prstGeom>
                        </pic:spPr>
                      </pic:pic>
                    </a:graphicData>
                  </a:graphic>
                </wp:inline>
              </w:drawing>
            </w:r>
          </w:p>
        </w:tc>
        <w:tc>
          <w:tcPr>
            <w:tcW w:w="7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49D8A" w14:textId="77777777" w:rsidR="00D77CF6" w:rsidRDefault="00B25D9E">
            <w:pPr>
              <w:tabs>
                <w:tab w:val="left" w:pos="0"/>
                <w:tab w:val="left" w:pos="567"/>
              </w:tabs>
              <w:spacing w:line="240" w:lineRule="auto"/>
              <w:contextualSpacing/>
              <w:rPr>
                <w:rFonts w:eastAsia="Times New Roman"/>
                <w:b/>
                <w:szCs w:val="24"/>
                <w:lang w:val="fi-FI"/>
              </w:rPr>
            </w:pPr>
            <w:r>
              <w:rPr>
                <w:rFonts w:eastAsia="Times New Roman"/>
                <w:b/>
                <w:szCs w:val="24"/>
                <w:lang w:val="lt-LT"/>
              </w:rPr>
              <w:t>Prieš vartojant vaistą pirmą kartą</w:t>
            </w:r>
            <w:r>
              <w:rPr>
                <w:rFonts w:eastAsia="Times New Roman"/>
                <w:b/>
                <w:szCs w:val="24"/>
                <w:lang w:val="fi-FI"/>
              </w:rPr>
              <w:t>:</w:t>
            </w:r>
          </w:p>
          <w:p w14:paraId="338C74F3" w14:textId="77777777" w:rsidR="00D77CF6" w:rsidRDefault="00B25D9E">
            <w:pPr>
              <w:numPr>
                <w:ilvl w:val="0"/>
                <w:numId w:val="9"/>
              </w:numPr>
              <w:tabs>
                <w:tab w:val="left" w:pos="0"/>
                <w:tab w:val="left" w:pos="567"/>
              </w:tabs>
              <w:spacing w:line="240" w:lineRule="auto"/>
              <w:contextualSpacing/>
              <w:jc w:val="both"/>
              <w:rPr>
                <w:rFonts w:eastAsia="Times New Roman"/>
                <w:b/>
                <w:szCs w:val="24"/>
                <w:lang w:val="lt-LT"/>
              </w:rPr>
            </w:pPr>
            <w:r>
              <w:rPr>
                <w:rFonts w:eastAsia="Times New Roman"/>
                <w:b/>
                <w:szCs w:val="24"/>
                <w:lang w:val="lt-LT"/>
              </w:rPr>
              <w:t>Patikrinkite ar apsauginis dangtelis yra nesulaužytas. Tada tvirtai atsukite apsauginį dangtelį, kad atidarytumėte buteliuką.</w:t>
            </w:r>
          </w:p>
          <w:p w14:paraId="2E6F6280" w14:textId="77777777" w:rsidR="00D77CF6" w:rsidRDefault="00B25D9E">
            <w:pPr>
              <w:numPr>
                <w:ilvl w:val="0"/>
                <w:numId w:val="9"/>
              </w:numPr>
              <w:tabs>
                <w:tab w:val="left" w:pos="0"/>
                <w:tab w:val="left" w:pos="567"/>
              </w:tabs>
              <w:spacing w:line="240" w:lineRule="auto"/>
              <w:contextualSpacing/>
              <w:jc w:val="both"/>
              <w:rPr>
                <w:rFonts w:eastAsia="Times New Roman"/>
                <w:b/>
                <w:szCs w:val="24"/>
                <w:lang w:val="lt-LT"/>
              </w:rPr>
            </w:pPr>
            <w:r>
              <w:rPr>
                <w:rFonts w:eastAsia="Times New Roman"/>
                <w:b/>
                <w:szCs w:val="24"/>
                <w:lang w:val="lt-LT"/>
              </w:rPr>
              <w:t xml:space="preserve">Kruopščiai nusiplaukite rankas ir nuimkite dangtelį nuo buteliuko galiuko. Kad aktyvuotumėte siurbimo mechanizmą kelis kartus paspauskite apverstą žemyn buteliuką, kol pasirodys pirmasis lašas. </w:t>
            </w:r>
            <w:r>
              <w:rPr>
                <w:rFonts w:eastAsia="Times New Roman"/>
                <w:b/>
                <w:szCs w:val="24"/>
                <w:u w:val="single"/>
                <w:lang w:val="lt-LT"/>
              </w:rPr>
              <w:t>Šis procesas skirtas tik pirmajam vartojimui ir jo nereikės sekantiems vartojimams.</w:t>
            </w:r>
          </w:p>
        </w:tc>
      </w:tr>
      <w:tr w:rsidR="00D77CF6" w14:paraId="4DCD5F83" w14:textId="77777777">
        <w:trPr>
          <w:trHeight w:val="2117"/>
          <w:jc w:val="center"/>
        </w:trPr>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00EC6CA2" w14:textId="77777777" w:rsidR="00D77CF6" w:rsidRDefault="00B25D9E">
            <w:pPr>
              <w:tabs>
                <w:tab w:val="left" w:pos="567"/>
                <w:tab w:val="left" w:pos="708"/>
              </w:tabs>
              <w:spacing w:line="240" w:lineRule="auto"/>
              <w:rPr>
                <w:rFonts w:eastAsia="Times New Roman"/>
                <w:szCs w:val="24"/>
              </w:rPr>
            </w:pPr>
            <w:r>
              <w:rPr>
                <w:noProof/>
                <w:lang w:val="lt-LT" w:eastAsia="lt-LT"/>
              </w:rPr>
              <w:drawing>
                <wp:inline distT="0" distB="0" distL="0" distR="0" wp14:anchorId="5E1597AC" wp14:editId="7D6898EB">
                  <wp:extent cx="692150" cy="1200150"/>
                  <wp:effectExtent l="0" t="0" r="0" b="0"/>
                  <wp:docPr id="2" name="Picture 7" descr="C:\Users\aldebert\AppData\Local\Microsoft\Windows\Temporary Internet Files\Content.Outlook\G8HBPI3V\ill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descr="C:\Users\aldebert\AppData\Local\Microsoft\Windows\Temporary Internet Files\Content.Outlook\G8HBPI3V\illu1.jpg"/>
                          <pic:cNvPicPr>
                            <a:picLocks noChangeAspect="1" noChangeArrowheads="1"/>
                          </pic:cNvPicPr>
                        </pic:nvPicPr>
                        <pic:blipFill>
                          <a:blip r:embed="rId15"/>
                          <a:stretch>
                            <a:fillRect/>
                          </a:stretch>
                        </pic:blipFill>
                        <pic:spPr bwMode="auto">
                          <a:xfrm>
                            <a:off x="0" y="0"/>
                            <a:ext cx="692150" cy="1200150"/>
                          </a:xfrm>
                          <a:prstGeom prst="rect">
                            <a:avLst/>
                          </a:prstGeom>
                        </pic:spPr>
                      </pic:pic>
                    </a:graphicData>
                  </a:graphic>
                </wp:inline>
              </w:drawing>
            </w:r>
          </w:p>
        </w:tc>
        <w:tc>
          <w:tcPr>
            <w:tcW w:w="7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034FC" w14:textId="77777777" w:rsidR="00D77CF6" w:rsidRDefault="00B25D9E">
            <w:pPr>
              <w:tabs>
                <w:tab w:val="left" w:pos="357"/>
                <w:tab w:val="left" w:pos="567"/>
              </w:tabs>
              <w:spacing w:line="240" w:lineRule="auto"/>
              <w:ind w:left="212" w:hanging="212"/>
              <w:contextualSpacing/>
              <w:rPr>
                <w:rFonts w:eastAsia="Times New Roman"/>
                <w:szCs w:val="24"/>
              </w:rPr>
            </w:pPr>
            <w:r>
              <w:rPr>
                <w:rFonts w:eastAsia="Times New Roman"/>
                <w:szCs w:val="24"/>
              </w:rPr>
              <w:t xml:space="preserve">1. </w:t>
            </w:r>
            <w:r>
              <w:rPr>
                <w:rFonts w:eastAsia="Times New Roman"/>
                <w:szCs w:val="24"/>
                <w:lang w:val="lt-LT"/>
              </w:rPr>
              <w:t xml:space="preserve">Prieš </w:t>
            </w:r>
            <w:r>
              <w:rPr>
                <w:rFonts w:eastAsia="Times New Roman"/>
                <w:szCs w:val="24"/>
                <w:u w:val="single"/>
                <w:lang w:val="lt-LT"/>
              </w:rPr>
              <w:t>kiekvieną vartojimą</w:t>
            </w:r>
            <w:r>
              <w:rPr>
                <w:rFonts w:eastAsia="Times New Roman"/>
                <w:szCs w:val="24"/>
                <w:lang w:val="lt-LT"/>
              </w:rPr>
              <w:t xml:space="preserve"> kruopščiai nusiplaukite rankas ir nuimkite dangtelį nuo buteliuko galiuko. Venkite bet kokio buteliuko galiuko sąlyčio su pirštais.</w:t>
            </w:r>
          </w:p>
        </w:tc>
      </w:tr>
      <w:tr w:rsidR="00D77CF6" w14:paraId="330D75FA" w14:textId="77777777">
        <w:trPr>
          <w:trHeight w:val="1549"/>
          <w:jc w:val="center"/>
        </w:trPr>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5AD6059A" w14:textId="77777777" w:rsidR="00D77CF6" w:rsidRDefault="00B25D9E">
            <w:pPr>
              <w:tabs>
                <w:tab w:val="left" w:pos="357"/>
                <w:tab w:val="left" w:pos="567"/>
              </w:tabs>
              <w:spacing w:line="240" w:lineRule="auto"/>
              <w:rPr>
                <w:rFonts w:eastAsia="Times New Roman"/>
                <w:szCs w:val="24"/>
                <w:lang w:val="en-GB"/>
              </w:rPr>
            </w:pPr>
            <w:r>
              <w:rPr>
                <w:noProof/>
                <w:lang w:val="lt-LT" w:eastAsia="lt-LT"/>
              </w:rPr>
              <w:drawing>
                <wp:inline distT="0" distB="0" distL="0" distR="0" wp14:anchorId="30BF5DBE" wp14:editId="387C0AEE">
                  <wp:extent cx="902335" cy="1054735"/>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pic:cNvPicPr>
                            <a:picLocks noChangeAspect="1" noChangeArrowheads="1"/>
                          </pic:cNvPicPr>
                        </pic:nvPicPr>
                        <pic:blipFill>
                          <a:blip r:embed="rId16"/>
                          <a:stretch>
                            <a:fillRect/>
                          </a:stretch>
                        </pic:blipFill>
                        <pic:spPr bwMode="auto">
                          <a:xfrm>
                            <a:off x="0" y="0"/>
                            <a:ext cx="902335" cy="1054735"/>
                          </a:xfrm>
                          <a:prstGeom prst="rect">
                            <a:avLst/>
                          </a:prstGeom>
                        </pic:spPr>
                      </pic:pic>
                    </a:graphicData>
                  </a:graphic>
                </wp:inline>
              </w:drawing>
            </w:r>
          </w:p>
          <w:p w14:paraId="5FA1CF44" w14:textId="77777777" w:rsidR="00D77CF6" w:rsidRDefault="00D77CF6">
            <w:pPr>
              <w:tabs>
                <w:tab w:val="left" w:pos="567"/>
              </w:tabs>
              <w:spacing w:line="260" w:lineRule="exact"/>
              <w:jc w:val="center"/>
              <w:rPr>
                <w:szCs w:val="24"/>
              </w:rPr>
            </w:pPr>
          </w:p>
          <w:p w14:paraId="5D995A3D" w14:textId="77777777" w:rsidR="00D77CF6" w:rsidRDefault="00D77CF6">
            <w:pPr>
              <w:tabs>
                <w:tab w:val="left" w:pos="567"/>
              </w:tabs>
              <w:spacing w:line="260" w:lineRule="exact"/>
              <w:rPr>
                <w:szCs w:val="24"/>
              </w:rPr>
            </w:pPr>
          </w:p>
        </w:tc>
        <w:tc>
          <w:tcPr>
            <w:tcW w:w="7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7BDA2" w14:textId="77777777" w:rsidR="00D77CF6" w:rsidRDefault="00B25D9E">
            <w:pPr>
              <w:tabs>
                <w:tab w:val="left" w:pos="357"/>
              </w:tabs>
              <w:spacing w:line="240" w:lineRule="auto"/>
              <w:contextualSpacing/>
              <w:rPr>
                <w:rFonts w:eastAsia="Times New Roman"/>
                <w:szCs w:val="24"/>
                <w:lang w:val="lt-LT"/>
              </w:rPr>
            </w:pPr>
            <w:r>
              <w:rPr>
                <w:rFonts w:eastAsia="Times New Roman"/>
                <w:szCs w:val="24"/>
                <w:lang w:val="en-GB"/>
              </w:rPr>
              <w:t xml:space="preserve">2. </w:t>
            </w:r>
            <w:r>
              <w:rPr>
                <w:rFonts w:eastAsia="Times New Roman"/>
                <w:szCs w:val="24"/>
                <w:lang w:val="lt-LT"/>
              </w:rPr>
              <w:t>Uždėkite nykštį ant buteliuko viršuje esančio skirtuko, o rodomąjį pirštą ant buteliuko pagrindo. Tada taip pat uždėkite vidurinį pirštą ant antrojo skirtuko ties buteliuko pagrindu. Laikykite buteliuką apverstą.</w:t>
            </w:r>
          </w:p>
          <w:p w14:paraId="12A2EA23" w14:textId="77777777" w:rsidR="00D77CF6" w:rsidRDefault="00D77CF6">
            <w:pPr>
              <w:tabs>
                <w:tab w:val="left" w:pos="357"/>
              </w:tabs>
              <w:spacing w:line="240" w:lineRule="auto"/>
              <w:contextualSpacing/>
              <w:rPr>
                <w:rFonts w:eastAsia="Times New Roman"/>
                <w:szCs w:val="24"/>
                <w:lang w:val="lt-LT"/>
              </w:rPr>
            </w:pPr>
          </w:p>
          <w:p w14:paraId="0EFD04FA" w14:textId="77777777" w:rsidR="00D77CF6" w:rsidRDefault="00D77CF6">
            <w:pPr>
              <w:tabs>
                <w:tab w:val="left" w:pos="357"/>
              </w:tabs>
              <w:spacing w:line="240" w:lineRule="auto"/>
              <w:contextualSpacing/>
              <w:rPr>
                <w:rFonts w:eastAsia="Times New Roman"/>
                <w:szCs w:val="24"/>
                <w:lang w:val="lt-LT"/>
              </w:rPr>
            </w:pPr>
          </w:p>
          <w:p w14:paraId="1BB4B082" w14:textId="77777777" w:rsidR="00D77CF6" w:rsidRDefault="00D77CF6">
            <w:pPr>
              <w:tabs>
                <w:tab w:val="left" w:pos="357"/>
              </w:tabs>
              <w:spacing w:line="240" w:lineRule="auto"/>
              <w:contextualSpacing/>
              <w:rPr>
                <w:rFonts w:eastAsia="Times New Roman"/>
                <w:szCs w:val="24"/>
                <w:lang w:val="lt-LT"/>
              </w:rPr>
            </w:pPr>
          </w:p>
          <w:p w14:paraId="7DE41BDA" w14:textId="77777777" w:rsidR="00D77CF6" w:rsidRDefault="00D77CF6">
            <w:pPr>
              <w:tabs>
                <w:tab w:val="left" w:pos="357"/>
              </w:tabs>
              <w:spacing w:line="240" w:lineRule="auto"/>
              <w:contextualSpacing/>
              <w:rPr>
                <w:szCs w:val="24"/>
                <w:lang w:val="lt-LT"/>
              </w:rPr>
            </w:pPr>
          </w:p>
        </w:tc>
      </w:tr>
      <w:tr w:rsidR="00D77CF6" w14:paraId="4342A333" w14:textId="77777777">
        <w:trPr>
          <w:jc w:val="center"/>
        </w:trPr>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2673D45C" w14:textId="77777777" w:rsidR="00D77CF6" w:rsidRDefault="00B25D9E">
            <w:pPr>
              <w:tabs>
                <w:tab w:val="left" w:pos="357"/>
                <w:tab w:val="left" w:pos="567"/>
              </w:tabs>
              <w:spacing w:line="240" w:lineRule="auto"/>
              <w:rPr>
                <w:szCs w:val="24"/>
              </w:rPr>
            </w:pPr>
            <w:r>
              <w:rPr>
                <w:noProof/>
                <w:lang w:val="lt-LT" w:eastAsia="lt-LT"/>
              </w:rPr>
              <w:drawing>
                <wp:inline distT="0" distB="0" distL="0" distR="0" wp14:anchorId="09BC1C30" wp14:editId="10921B1B">
                  <wp:extent cx="927100" cy="1187450"/>
                  <wp:effectExtent l="0" t="0" r="0" b="0"/>
                  <wp:docPr id="4" name="Picture 6" descr="C:\Users\aldebert\AppData\Local\Microsoft\Windows\Temporary Internet Files\Content.Outlook\G8HBPI3V\illu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C:\Users\aldebert\AppData\Local\Microsoft\Windows\Temporary Internet Files\Content.Outlook\G8HBPI3V\illu3.jpg"/>
                          <pic:cNvPicPr>
                            <a:picLocks noChangeAspect="1" noChangeArrowheads="1"/>
                          </pic:cNvPicPr>
                        </pic:nvPicPr>
                        <pic:blipFill>
                          <a:blip r:embed="rId17"/>
                          <a:stretch>
                            <a:fillRect/>
                          </a:stretch>
                        </pic:blipFill>
                        <pic:spPr bwMode="auto">
                          <a:xfrm>
                            <a:off x="0" y="0"/>
                            <a:ext cx="927100" cy="1187450"/>
                          </a:xfrm>
                          <a:prstGeom prst="rect">
                            <a:avLst/>
                          </a:prstGeom>
                        </pic:spPr>
                      </pic:pic>
                    </a:graphicData>
                  </a:graphic>
                </wp:inline>
              </w:drawing>
            </w:r>
          </w:p>
        </w:tc>
        <w:tc>
          <w:tcPr>
            <w:tcW w:w="7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68D69" w14:textId="77777777" w:rsidR="00D77CF6" w:rsidRDefault="00B25D9E">
            <w:pPr>
              <w:tabs>
                <w:tab w:val="left" w:pos="357"/>
                <w:tab w:val="left" w:pos="567"/>
              </w:tabs>
              <w:ind w:left="175" w:hanging="175"/>
              <w:contextualSpacing/>
              <w:rPr>
                <w:rFonts w:eastAsia="Times New Roman"/>
                <w:szCs w:val="24"/>
                <w:lang w:val="lt-LT"/>
              </w:rPr>
            </w:pPr>
            <w:r>
              <w:rPr>
                <w:rFonts w:eastAsia="Times New Roman"/>
                <w:szCs w:val="24"/>
                <w:lang w:val="en"/>
              </w:rPr>
              <w:t xml:space="preserve">3. </w:t>
            </w:r>
            <w:r>
              <w:rPr>
                <w:rFonts w:eastAsia="Times New Roman"/>
                <w:szCs w:val="24"/>
                <w:lang w:val="lt-LT"/>
              </w:rPr>
              <w:t>Norėdami vartoti, šiek tiek pakreipkite galvą atgal ir vertikaliai virš akies laikykite buteliuko lašintuvą. Kitos rankos rodomuoju pirštu šiek tiek patraukite žemyn apatinį voką. Sukurta erdvė vadinama apatiniu junginės maišeliu. Venkite buteliuko galiuko sąlyčio su pirštais ar akimis.</w:t>
            </w:r>
          </w:p>
          <w:p w14:paraId="448BD3A1" w14:textId="77777777" w:rsidR="00D77CF6" w:rsidRDefault="00B25D9E">
            <w:pPr>
              <w:tabs>
                <w:tab w:val="left" w:pos="357"/>
                <w:tab w:val="left" w:pos="567"/>
              </w:tabs>
              <w:spacing w:line="240" w:lineRule="auto"/>
              <w:ind w:left="175"/>
              <w:contextualSpacing/>
              <w:rPr>
                <w:rFonts w:eastAsia="Times New Roman"/>
                <w:szCs w:val="24"/>
                <w:lang w:val="lt-LT"/>
              </w:rPr>
            </w:pPr>
            <w:r>
              <w:rPr>
                <w:rFonts w:eastAsia="Times New Roman"/>
                <w:szCs w:val="24"/>
                <w:lang w:val="lt-LT"/>
              </w:rPr>
              <w:t xml:space="preserve">Norėdami įlašinti lašą į pažeistos (-ų) akies (-ių) apatinį junginės maišelį, </w:t>
            </w:r>
            <w:r>
              <w:rPr>
                <w:rFonts w:eastAsia="Times New Roman"/>
                <w:b/>
                <w:bCs/>
                <w:szCs w:val="24"/>
                <w:lang w:val="lt-LT"/>
              </w:rPr>
              <w:t>trumpai ir tvirtai paspauskite</w:t>
            </w:r>
            <w:r>
              <w:rPr>
                <w:rFonts w:eastAsia="Times New Roman"/>
                <w:szCs w:val="24"/>
                <w:lang w:val="lt-LT"/>
              </w:rPr>
              <w:t xml:space="preserve"> buteliuką. Dėl automatinio dozavimo lašas išleidžiamas tiksliai kiekvieno pumpavimo metu.</w:t>
            </w:r>
          </w:p>
        </w:tc>
      </w:tr>
      <w:tr w:rsidR="00D77CF6" w14:paraId="1CCC9319" w14:textId="77777777">
        <w:trPr>
          <w:jc w:val="center"/>
        </w:trPr>
        <w:tc>
          <w:tcPr>
            <w:tcW w:w="9069" w:type="dxa"/>
            <w:gridSpan w:val="2"/>
            <w:tcBorders>
              <w:top w:val="single" w:sz="4" w:space="0" w:color="000000"/>
              <w:left w:val="single" w:sz="4" w:space="0" w:color="000000"/>
              <w:bottom w:val="single" w:sz="4" w:space="0" w:color="000000"/>
              <w:right w:val="single" w:sz="4" w:space="0" w:color="000000"/>
            </w:tcBorders>
            <w:shd w:val="clear" w:color="auto" w:fill="auto"/>
          </w:tcPr>
          <w:p w14:paraId="6E7BC1F4" w14:textId="77777777" w:rsidR="00D77CF6" w:rsidRDefault="00B25D9E">
            <w:pPr>
              <w:tabs>
                <w:tab w:val="left" w:pos="357"/>
                <w:tab w:val="left" w:pos="567"/>
              </w:tabs>
              <w:spacing w:line="240" w:lineRule="auto"/>
              <w:contextualSpacing/>
              <w:rPr>
                <w:rFonts w:eastAsia="Times New Roman"/>
                <w:b/>
                <w:szCs w:val="24"/>
                <w:lang w:val="lt-LT"/>
              </w:rPr>
            </w:pPr>
            <w:r>
              <w:rPr>
                <w:rFonts w:eastAsia="Times New Roman"/>
                <w:b/>
                <w:szCs w:val="24"/>
                <w:lang w:val="lt-LT"/>
              </w:rPr>
              <w:t>Jei lašas nenukrenta, atsargiai nupurtykite buteliuką, kad pašalintumėte likusį lašą nuo galiuko. Tokiu atveju pakartokite 3 veiksmą.</w:t>
            </w:r>
          </w:p>
        </w:tc>
      </w:tr>
      <w:tr w:rsidR="00D77CF6" w:rsidRPr="00CA1BDC" w14:paraId="2CB22D75" w14:textId="77777777">
        <w:trPr>
          <w:jc w:val="center"/>
        </w:trPr>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6F33D775" w14:textId="77777777" w:rsidR="00D77CF6" w:rsidRDefault="00B25D9E">
            <w:pPr>
              <w:tabs>
                <w:tab w:val="left" w:pos="357"/>
                <w:tab w:val="left" w:pos="567"/>
              </w:tabs>
              <w:spacing w:line="240" w:lineRule="auto"/>
              <w:rPr>
                <w:szCs w:val="24"/>
              </w:rPr>
            </w:pPr>
            <w:r>
              <w:rPr>
                <w:noProof/>
                <w:lang w:val="lt-LT" w:eastAsia="lt-LT"/>
              </w:rPr>
              <w:drawing>
                <wp:inline distT="0" distB="0" distL="0" distR="0" wp14:anchorId="5026A117" wp14:editId="74FED7BA">
                  <wp:extent cx="787400" cy="1123950"/>
                  <wp:effectExtent l="0" t="0" r="0" b="0"/>
                  <wp:docPr id="5" name="Picture 5" descr="C:\Users\aldebert\AppData\Local\Microsoft\Windows\Temporary Internet Files\Content.Outlook\G8HBPI3V\illu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aldebert\AppData\Local\Microsoft\Windows\Temporary Internet Files\Content.Outlook\G8HBPI3V\illu4.jpg"/>
                          <pic:cNvPicPr>
                            <a:picLocks noChangeAspect="1" noChangeArrowheads="1"/>
                          </pic:cNvPicPr>
                        </pic:nvPicPr>
                        <pic:blipFill>
                          <a:blip r:embed="rId18"/>
                          <a:stretch>
                            <a:fillRect/>
                          </a:stretch>
                        </pic:blipFill>
                        <pic:spPr bwMode="auto">
                          <a:xfrm>
                            <a:off x="0" y="0"/>
                            <a:ext cx="787400" cy="1123950"/>
                          </a:xfrm>
                          <a:prstGeom prst="rect">
                            <a:avLst/>
                          </a:prstGeom>
                        </pic:spPr>
                      </pic:pic>
                    </a:graphicData>
                  </a:graphic>
                </wp:inline>
              </w:drawing>
            </w:r>
            <w:r>
              <w:rPr>
                <w:rFonts w:eastAsia="Times New Roman"/>
                <w:szCs w:val="24"/>
                <w:lang w:val="en"/>
              </w:rPr>
              <w:t xml:space="preserve">  </w:t>
            </w:r>
          </w:p>
        </w:tc>
        <w:tc>
          <w:tcPr>
            <w:tcW w:w="7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D983E" w14:textId="77777777" w:rsidR="00D77CF6" w:rsidRDefault="00B25D9E">
            <w:pPr>
              <w:tabs>
                <w:tab w:val="left" w:pos="357"/>
                <w:tab w:val="left" w:pos="567"/>
              </w:tabs>
              <w:spacing w:line="240" w:lineRule="auto"/>
              <w:ind w:left="175" w:hanging="175"/>
              <w:contextualSpacing/>
              <w:rPr>
                <w:rFonts w:eastAsia="Times New Roman"/>
                <w:szCs w:val="24"/>
                <w:lang w:val="lt-LT"/>
              </w:rPr>
            </w:pPr>
            <w:r>
              <w:rPr>
                <w:rFonts w:eastAsia="Times New Roman"/>
                <w:szCs w:val="24"/>
                <w:lang w:val="fi-FI"/>
              </w:rPr>
              <w:t xml:space="preserve">4. </w:t>
            </w:r>
            <w:r>
              <w:rPr>
                <w:rFonts w:eastAsia="Times New Roman"/>
                <w:szCs w:val="24"/>
                <w:lang w:val="lt-LT"/>
              </w:rPr>
              <w:t>Užmerkite vokus ir pirštu 2 minutes paspauskite vidinį akies kampą šalia nosies. Tai padeda išvengti akių lašų plitimo į kitas kūno vietas.</w:t>
            </w:r>
          </w:p>
          <w:p w14:paraId="7A265C5C" w14:textId="77777777" w:rsidR="00D77CF6" w:rsidRDefault="00D77CF6">
            <w:pPr>
              <w:tabs>
                <w:tab w:val="left" w:pos="357"/>
                <w:tab w:val="left" w:pos="567"/>
              </w:tabs>
              <w:spacing w:line="240" w:lineRule="auto"/>
              <w:ind w:left="175" w:hanging="175"/>
              <w:contextualSpacing/>
              <w:rPr>
                <w:rFonts w:eastAsia="Times New Roman"/>
                <w:szCs w:val="24"/>
                <w:lang w:val="lt-LT"/>
              </w:rPr>
            </w:pPr>
          </w:p>
        </w:tc>
      </w:tr>
      <w:tr w:rsidR="00D77CF6" w:rsidRPr="00CA1BDC" w14:paraId="177BF568" w14:textId="77777777">
        <w:trPr>
          <w:jc w:val="center"/>
        </w:trPr>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4A86BB0B" w14:textId="77777777" w:rsidR="00D77CF6" w:rsidRDefault="00D77CF6">
            <w:pPr>
              <w:tabs>
                <w:tab w:val="left" w:pos="357"/>
                <w:tab w:val="left" w:pos="567"/>
              </w:tabs>
              <w:spacing w:line="240" w:lineRule="auto"/>
              <w:rPr>
                <w:szCs w:val="24"/>
                <w:lang w:val="lt-LT"/>
              </w:rPr>
            </w:pPr>
          </w:p>
        </w:tc>
        <w:tc>
          <w:tcPr>
            <w:tcW w:w="7266" w:type="dxa"/>
            <w:tcBorders>
              <w:top w:val="single" w:sz="4" w:space="0" w:color="000000"/>
              <w:left w:val="single" w:sz="4" w:space="0" w:color="000000"/>
              <w:bottom w:val="single" w:sz="4" w:space="0" w:color="000000"/>
              <w:right w:val="single" w:sz="4" w:space="0" w:color="000000"/>
            </w:tcBorders>
            <w:shd w:val="clear" w:color="auto" w:fill="auto"/>
          </w:tcPr>
          <w:p w14:paraId="2DC27129" w14:textId="77777777" w:rsidR="00D77CF6" w:rsidRDefault="00B25D9E">
            <w:pPr>
              <w:tabs>
                <w:tab w:val="left" w:pos="357"/>
                <w:tab w:val="left" w:pos="567"/>
              </w:tabs>
              <w:spacing w:line="240" w:lineRule="auto"/>
              <w:contextualSpacing/>
              <w:rPr>
                <w:szCs w:val="24"/>
                <w:lang w:val="lt-LT"/>
              </w:rPr>
            </w:pPr>
            <w:r>
              <w:rPr>
                <w:rFonts w:eastAsia="Times New Roman"/>
                <w:szCs w:val="24"/>
                <w:lang w:val="lt-LT"/>
              </w:rPr>
              <w:t>5. Iš karto po vartojimo butelio galiuką uždarykite dangteliu.</w:t>
            </w:r>
          </w:p>
        </w:tc>
      </w:tr>
    </w:tbl>
    <w:p w14:paraId="09826383" w14:textId="77777777" w:rsidR="00D77CF6" w:rsidRDefault="00D77CF6">
      <w:pPr>
        <w:pStyle w:val="Betarp"/>
        <w:rPr>
          <w:u w:val="single"/>
          <w:lang w:val="lt-LT"/>
        </w:rPr>
      </w:pPr>
    </w:p>
    <w:p w14:paraId="6A304C10" w14:textId="77777777" w:rsidR="00D77CF6" w:rsidRDefault="00B25D9E">
      <w:pPr>
        <w:pStyle w:val="Betarp"/>
        <w:rPr>
          <w:b/>
          <w:lang w:val="lt-LT"/>
        </w:rPr>
      </w:pPr>
      <w:r>
        <w:rPr>
          <w:b/>
          <w:lang w:val="lt-LT"/>
        </w:rPr>
        <w:t xml:space="preserve">Vartojant </w:t>
      </w:r>
      <w:r>
        <w:rPr>
          <w:b/>
          <w:lang w:val="fr-FR"/>
        </w:rPr>
        <w:t>Fixopost</w:t>
      </w:r>
      <w:r>
        <w:rPr>
          <w:b/>
          <w:lang w:val="lt-LT"/>
        </w:rPr>
        <w:t xml:space="preserve"> su kitais akių lašais</w:t>
      </w:r>
    </w:p>
    <w:p w14:paraId="59E2F9D9" w14:textId="77777777" w:rsidR="00D77CF6" w:rsidRDefault="00B25D9E">
      <w:pPr>
        <w:pStyle w:val="Betarp"/>
        <w:rPr>
          <w:lang w:val="lt-LT"/>
        </w:rPr>
      </w:pPr>
      <w:r>
        <w:rPr>
          <w:lang w:val="lt-LT"/>
        </w:rPr>
        <w:t>Tarp Fixopost ir kitų akių lašų vartojimo turi praeiti ne mažiau kaip 5 minutės.</w:t>
      </w:r>
    </w:p>
    <w:p w14:paraId="7397D338" w14:textId="77777777" w:rsidR="00D77CF6" w:rsidRDefault="00D77CF6">
      <w:pPr>
        <w:pStyle w:val="Betarp"/>
        <w:rPr>
          <w:lang w:val="lt-LT"/>
        </w:rPr>
      </w:pPr>
    </w:p>
    <w:p w14:paraId="228EFFEF" w14:textId="77777777" w:rsidR="00D77CF6" w:rsidRDefault="00B25D9E">
      <w:pPr>
        <w:pStyle w:val="Betarp"/>
        <w:rPr>
          <w:b/>
          <w:lang w:val="lt-LT"/>
        </w:rPr>
      </w:pPr>
      <w:r>
        <w:rPr>
          <w:b/>
          <w:lang w:val="lt-LT"/>
        </w:rPr>
        <w:t>Ką daryti pavartojus per didelę Fixopost dozę?</w:t>
      </w:r>
    </w:p>
    <w:p w14:paraId="62FD3F93" w14:textId="54E1A173" w:rsidR="00D77CF6" w:rsidRPr="00D7535D" w:rsidRDefault="00B25D9E">
      <w:pPr>
        <w:pStyle w:val="Betarp"/>
        <w:rPr>
          <w:lang w:val="lt-LT"/>
        </w:rPr>
      </w:pPr>
      <w:r>
        <w:rPr>
          <w:lang w:val="lt-LT"/>
        </w:rPr>
        <w:t>Jeigu į akį įlašinote per daug lašų, tai gali sukelti nedidelį akies dirginimą, akis gali pradėti ašaroti ir parausti. Tai turi praeiti, bet jeigu nerimaujate, kreipkitės patarimo į gydytoją.</w:t>
      </w:r>
    </w:p>
    <w:p w14:paraId="287CDCBF" w14:textId="77777777" w:rsidR="00D77CF6" w:rsidRDefault="00D77CF6">
      <w:pPr>
        <w:pStyle w:val="Betarp"/>
        <w:rPr>
          <w:lang w:val="lt-LT"/>
        </w:rPr>
      </w:pPr>
    </w:p>
    <w:p w14:paraId="592D45E8" w14:textId="77777777" w:rsidR="00D77CF6" w:rsidRDefault="00B25D9E">
      <w:pPr>
        <w:pStyle w:val="Betarp"/>
        <w:rPr>
          <w:rFonts w:eastAsia="Times New Roman"/>
          <w:kern w:val="2"/>
          <w:lang w:val="lt-LT"/>
        </w:rPr>
      </w:pPr>
      <w:r>
        <w:rPr>
          <w:rFonts w:eastAsia="Times New Roman"/>
          <w:b/>
          <w:kern w:val="2"/>
          <w:lang w:val="lt-LT"/>
        </w:rPr>
        <w:t xml:space="preserve">Nurijus </w:t>
      </w:r>
      <w:r>
        <w:rPr>
          <w:b/>
          <w:lang w:val="lt-LT"/>
        </w:rPr>
        <w:t>Fixopost</w:t>
      </w:r>
    </w:p>
    <w:p w14:paraId="38DFA9CD" w14:textId="77777777" w:rsidR="00D77CF6" w:rsidRDefault="00B25D9E">
      <w:pPr>
        <w:pStyle w:val="Betarp"/>
        <w:rPr>
          <w:lang w:val="lt-LT"/>
        </w:rPr>
      </w:pPr>
      <w:r>
        <w:rPr>
          <w:rFonts w:eastAsia="Times New Roman"/>
          <w:kern w:val="2"/>
          <w:lang w:val="lt-LT"/>
        </w:rPr>
        <w:t xml:space="preserve">Pasitarkite su gydytoju, jeigu Jūs netyčia nurijote </w:t>
      </w:r>
      <w:r>
        <w:rPr>
          <w:lang w:val="lt-LT"/>
        </w:rPr>
        <w:t>Fixopost</w:t>
      </w:r>
      <w:r>
        <w:rPr>
          <w:rFonts w:eastAsia="Times New Roman"/>
          <w:kern w:val="2"/>
          <w:lang w:val="lt-LT"/>
        </w:rPr>
        <w:t xml:space="preserve">. Nurijus didelį kiekį </w:t>
      </w:r>
      <w:r>
        <w:rPr>
          <w:lang w:val="lt-LT"/>
        </w:rPr>
        <w:t>Fixopost</w:t>
      </w:r>
      <w:r>
        <w:rPr>
          <w:rFonts w:eastAsia="Times New Roman"/>
          <w:bCs/>
          <w:kern w:val="2"/>
          <w:lang w:val="lt-LT"/>
        </w:rPr>
        <w:t xml:space="preserve"> gali atsirasti pykinimas, skrandžio skausmas, nuovargio pojūtis, paraudimas ir svaigulys ir prasidėti prakaitavimas.</w:t>
      </w:r>
    </w:p>
    <w:p w14:paraId="7781F31D" w14:textId="77777777" w:rsidR="00D77CF6" w:rsidRDefault="00D77CF6">
      <w:pPr>
        <w:pStyle w:val="Betarp"/>
        <w:rPr>
          <w:b/>
          <w:lang w:val="lt-LT"/>
        </w:rPr>
      </w:pPr>
    </w:p>
    <w:p w14:paraId="4F5890FA" w14:textId="77777777" w:rsidR="00D77CF6" w:rsidRDefault="00B25D9E">
      <w:pPr>
        <w:pStyle w:val="Betarp"/>
        <w:rPr>
          <w:b/>
          <w:lang w:val="lt-LT"/>
        </w:rPr>
      </w:pPr>
      <w:r>
        <w:rPr>
          <w:b/>
          <w:lang w:val="lt-LT"/>
        </w:rPr>
        <w:t>Pamiršus pavartoti Fixopost</w:t>
      </w:r>
    </w:p>
    <w:p w14:paraId="13BEA0F6" w14:textId="77777777" w:rsidR="00D77CF6" w:rsidRDefault="00B25D9E">
      <w:pPr>
        <w:pStyle w:val="Betarp"/>
        <w:rPr>
          <w:lang w:val="lt-LT"/>
        </w:rPr>
      </w:pPr>
      <w:r>
        <w:rPr>
          <w:lang w:val="lt-LT"/>
        </w:rPr>
        <w:t>Pamiršus įsilašinti, kitą dozę reikia lašinti įprastu laiku. Negalima vartoti dvigubos dozės norint kompensuoti praleistą dozę. Jeigu abejojate, kreipkitės į gydytoją arba vaistininką.</w:t>
      </w:r>
    </w:p>
    <w:p w14:paraId="1331C48D" w14:textId="77777777" w:rsidR="00D77CF6" w:rsidRDefault="00D77CF6">
      <w:pPr>
        <w:pStyle w:val="Betarp"/>
        <w:rPr>
          <w:lang w:val="lt-LT"/>
        </w:rPr>
      </w:pPr>
    </w:p>
    <w:p w14:paraId="774E1E20" w14:textId="77777777" w:rsidR="00D77CF6" w:rsidRDefault="00B25D9E">
      <w:pPr>
        <w:pStyle w:val="Betarp"/>
        <w:rPr>
          <w:b/>
          <w:lang w:val="lt-LT"/>
        </w:rPr>
      </w:pPr>
      <w:r>
        <w:rPr>
          <w:b/>
          <w:lang w:val="lt-LT"/>
        </w:rPr>
        <w:t>Nustojus vartoti Fixopost</w:t>
      </w:r>
    </w:p>
    <w:p w14:paraId="0AE6A7B7" w14:textId="77777777" w:rsidR="00D77CF6" w:rsidRDefault="00B25D9E">
      <w:pPr>
        <w:pStyle w:val="Betarp"/>
        <w:rPr>
          <w:lang w:val="lt-LT"/>
        </w:rPr>
      </w:pPr>
      <w:r>
        <w:rPr>
          <w:lang w:val="lt-LT"/>
        </w:rPr>
        <w:t>Fixopost vartokite taip, kaip nurodė gydytojas, kol gydytojas lieps nutraukti vartojimą. Nenutraukite Fixopost vartojimo nepasitarę su gydytoju.</w:t>
      </w:r>
    </w:p>
    <w:p w14:paraId="4DBCD525" w14:textId="77777777" w:rsidR="00D77CF6" w:rsidRDefault="00D77CF6">
      <w:pPr>
        <w:pStyle w:val="Betarp"/>
        <w:rPr>
          <w:lang w:val="lt-LT"/>
        </w:rPr>
      </w:pPr>
    </w:p>
    <w:p w14:paraId="6049D916" w14:textId="77777777" w:rsidR="00D77CF6" w:rsidRDefault="00B25D9E">
      <w:pPr>
        <w:pStyle w:val="Betarp"/>
        <w:rPr>
          <w:lang w:val="lt-LT"/>
        </w:rPr>
      </w:pPr>
      <w:r>
        <w:rPr>
          <w:rFonts w:eastAsia="Times New Roman"/>
          <w:szCs w:val="20"/>
          <w:lang w:val="lt-LT" w:eastAsia="lt-LT"/>
        </w:rPr>
        <w:t>Jeigu kiltų daugiau klausimų dėl šio vaisto vartojimo, kreipkitės į gydytoją, vaistininką arba slaugytoją.</w:t>
      </w:r>
    </w:p>
    <w:p w14:paraId="0C1A095F" w14:textId="77777777" w:rsidR="00D77CF6" w:rsidRDefault="00D77CF6">
      <w:pPr>
        <w:pStyle w:val="Betarp"/>
        <w:rPr>
          <w:lang w:val="lt-LT"/>
        </w:rPr>
      </w:pPr>
    </w:p>
    <w:p w14:paraId="5DE635F6" w14:textId="77777777" w:rsidR="00D77CF6" w:rsidRDefault="00D77CF6">
      <w:pPr>
        <w:pStyle w:val="Betarp"/>
        <w:rPr>
          <w:lang w:val="lt-LT"/>
        </w:rPr>
      </w:pPr>
    </w:p>
    <w:p w14:paraId="63B0FDE6" w14:textId="77777777" w:rsidR="00D77CF6" w:rsidRDefault="00B25D9E">
      <w:pPr>
        <w:pStyle w:val="Betarp"/>
        <w:rPr>
          <w:b/>
          <w:lang w:val="lt-LT"/>
        </w:rPr>
      </w:pPr>
      <w:bookmarkStart w:id="72" w:name="_Toc129243267"/>
      <w:bookmarkStart w:id="73" w:name="_Toc129243142"/>
      <w:r>
        <w:rPr>
          <w:b/>
          <w:lang w:val="lt-LT"/>
        </w:rPr>
        <w:t>4.</w:t>
      </w:r>
      <w:r>
        <w:rPr>
          <w:b/>
          <w:lang w:val="lt-LT"/>
        </w:rPr>
        <w:tab/>
        <w:t>Galimas šalutinis poveikis</w:t>
      </w:r>
      <w:bookmarkEnd w:id="72"/>
      <w:bookmarkEnd w:id="73"/>
    </w:p>
    <w:p w14:paraId="1809511A" w14:textId="77777777" w:rsidR="00D77CF6" w:rsidRDefault="00D77CF6">
      <w:pPr>
        <w:pStyle w:val="Betarp"/>
        <w:rPr>
          <w:lang w:val="lt-LT"/>
        </w:rPr>
      </w:pPr>
    </w:p>
    <w:p w14:paraId="3878FF2E" w14:textId="77777777" w:rsidR="00D77CF6" w:rsidRDefault="00B25D9E">
      <w:pPr>
        <w:pStyle w:val="Betarp"/>
        <w:rPr>
          <w:lang w:val="lt-LT"/>
        </w:rPr>
      </w:pPr>
      <w:r>
        <w:rPr>
          <w:lang w:val="lt-LT"/>
        </w:rPr>
        <w:t>Šis vaistas, kaip ir visi kiti vaistai, gali sukelti šalutinį poveikį, nors jis pasireiškia ne visiems žmonėms.</w:t>
      </w:r>
    </w:p>
    <w:p w14:paraId="14E24C0C" w14:textId="77777777" w:rsidR="00D77CF6" w:rsidRDefault="00B25D9E">
      <w:pPr>
        <w:pStyle w:val="Betarp"/>
        <w:rPr>
          <w:lang w:val="lt-LT"/>
        </w:rPr>
      </w:pPr>
      <w:r>
        <w:rPr>
          <w:lang w:val="lt-LT"/>
        </w:rPr>
        <w:t>Paprastai lašų vartojimą galima tęsti, nebent pasireiškia sunkus poveikis. Jei Jums neramu, pasitarkite su gydytoju arba vaistininku. Nenutraukite Fixopost vartojimo nepasitarę su gydytoju.</w:t>
      </w:r>
    </w:p>
    <w:p w14:paraId="488C3503" w14:textId="77777777" w:rsidR="00D77CF6" w:rsidRDefault="00D77CF6">
      <w:pPr>
        <w:pStyle w:val="BTEMEASMCA"/>
      </w:pPr>
    </w:p>
    <w:p w14:paraId="45DA86F6" w14:textId="77777777" w:rsidR="00D77CF6" w:rsidRDefault="00B25D9E">
      <w:pPr>
        <w:pStyle w:val="Betarp"/>
        <w:rPr>
          <w:lang w:val="lt-LT"/>
        </w:rPr>
      </w:pPr>
      <w:r>
        <w:rPr>
          <w:lang w:val="lt-LT"/>
        </w:rPr>
        <w:t>Toliau išvardytas šalutinis poveikis nustatytas tuomet, kai buvo vartojamas Fixopost. Svarbiausias šalutinis poveikis yra galimas laipsniškas, neišnykstantis akių spalvos pokytis. Taip pat, Fixopost gali sukelti sunkių širdies funkcijos sutrikimų. Jei pastebėjote širdies ritmo ar širdies funkcijos sutrikimus, pasitarkite su gydytoju ir pasakykite jam arba jai, kad vartojate Fixopost.</w:t>
      </w:r>
    </w:p>
    <w:p w14:paraId="6B786128" w14:textId="77777777" w:rsidR="00D77CF6" w:rsidRDefault="00D77CF6">
      <w:pPr>
        <w:pStyle w:val="Betarp"/>
        <w:rPr>
          <w:u w:val="single"/>
          <w:lang w:val="lt-LT"/>
        </w:rPr>
      </w:pPr>
    </w:p>
    <w:p w14:paraId="04343AEA" w14:textId="77777777" w:rsidR="00D77CF6" w:rsidRDefault="00B25D9E">
      <w:pPr>
        <w:pStyle w:val="Betarp"/>
        <w:rPr>
          <w:u w:val="single"/>
          <w:lang w:val="lt-LT"/>
        </w:rPr>
      </w:pPr>
      <w:r>
        <w:rPr>
          <w:u w:val="single"/>
          <w:lang w:val="lt-LT"/>
        </w:rPr>
        <w:t>Fixopost būdingas šalutinis poveikis</w:t>
      </w:r>
    </w:p>
    <w:p w14:paraId="62C4CE64" w14:textId="77777777" w:rsidR="00D77CF6" w:rsidRDefault="00B25D9E">
      <w:pPr>
        <w:pStyle w:val="Betarp"/>
        <w:rPr>
          <w:b/>
          <w:lang w:val="lt-LT"/>
        </w:rPr>
      </w:pPr>
      <w:r>
        <w:rPr>
          <w:b/>
          <w:lang w:val="lt-LT"/>
        </w:rPr>
        <w:t>Labai dažnas (gali pasitaikyti daugiau kaip 1 iš 10 žmonių):</w:t>
      </w:r>
    </w:p>
    <w:p w14:paraId="332EB2B0" w14:textId="6EFB8F51" w:rsidR="00D77CF6" w:rsidRPr="00D7535D" w:rsidRDefault="00B25D9E">
      <w:pPr>
        <w:pStyle w:val="Betarp"/>
        <w:ind w:left="567" w:hanging="567"/>
        <w:rPr>
          <w:lang w:val="lt-LT"/>
        </w:rPr>
      </w:pPr>
      <w:r>
        <w:rPr>
          <w:lang w:val="lt-LT"/>
        </w:rPr>
        <w:t>-</w:t>
      </w:r>
      <w:r>
        <w:rPr>
          <w:lang w:val="lt-LT"/>
        </w:rPr>
        <w:tab/>
        <w:t>laipsniškas Jūsų akies spalvos pokytis dėl padidėjusio rudo pigmento kiekio spalvotoje akies dalyje, kuri vadinama akies rainele. Jei Jūsų akių spalva mišri (melsvai ruda, pilkšvai ruda, gelsvai ruda ar žalsvai ruda), spalvos pokyčius pastebėsite labiau negu tais atvejais, kai akys yra vienspalvės (mėlynos, pilkos, žalios ar rudos). Bet kokiam akių spalvos pakitimui reikia kelerių metų. Spalvos pokyčiai gali būti pastovūs ir labiau pastebimi, kai Fixopost lašinamas tik į vieną akį. Jokių kitų sutrikimų, susijusių su akių spalvos pakitimu, nepasitaikė. Nutraukus Fixopost vartojimą akių spalvos kitimas nebesitęsia.</w:t>
      </w:r>
    </w:p>
    <w:p w14:paraId="2189D40B" w14:textId="77777777" w:rsidR="00D77CF6" w:rsidRDefault="00D77CF6">
      <w:pPr>
        <w:pStyle w:val="Betarp"/>
        <w:rPr>
          <w:b/>
          <w:lang w:val="lt-LT"/>
        </w:rPr>
      </w:pPr>
    </w:p>
    <w:p w14:paraId="3F987620" w14:textId="43B60EC3" w:rsidR="00D77CF6" w:rsidRPr="00D7535D" w:rsidRDefault="00B25D9E">
      <w:pPr>
        <w:pStyle w:val="Betarp"/>
        <w:rPr>
          <w:lang w:val="lt-LT"/>
        </w:rPr>
      </w:pPr>
      <w:r>
        <w:rPr>
          <w:b/>
          <w:lang w:val="lt-LT"/>
        </w:rPr>
        <w:t>Dažnas (gali pasitaikyti rečiau kaip 1 iš 10 žmonių):</w:t>
      </w:r>
    </w:p>
    <w:p w14:paraId="56F87214" w14:textId="3AC47F82" w:rsidR="00D77CF6" w:rsidRPr="00B85156" w:rsidRDefault="00B25D9E">
      <w:pPr>
        <w:pStyle w:val="Betarp"/>
        <w:ind w:left="567" w:hanging="567"/>
        <w:rPr>
          <w:lang w:val="lt-LT"/>
        </w:rPr>
      </w:pPr>
      <w:r>
        <w:rPr>
          <w:lang w:val="lt-LT"/>
        </w:rPr>
        <w:t>-</w:t>
      </w:r>
      <w:r>
        <w:rPr>
          <w:lang w:val="lt-LT"/>
        </w:rPr>
        <w:tab/>
        <w:t>akies dirginimas (deginimo, smėlio buvimo pojūtis, niežėjimas, gėlimas arba svetimkūnio akyje pojūtis) ir akies skausmas.</w:t>
      </w:r>
    </w:p>
    <w:p w14:paraId="143D5BE9" w14:textId="77777777" w:rsidR="00D77CF6" w:rsidRDefault="00D77CF6">
      <w:pPr>
        <w:pStyle w:val="Betarp"/>
        <w:rPr>
          <w:b/>
          <w:lang w:val="lt-LT"/>
        </w:rPr>
      </w:pPr>
    </w:p>
    <w:p w14:paraId="10FBA9AD" w14:textId="1F5C633D" w:rsidR="00D77CF6" w:rsidRPr="00B85156" w:rsidRDefault="00B25D9E">
      <w:pPr>
        <w:pStyle w:val="Betarp"/>
        <w:rPr>
          <w:lang w:val="lt-LT"/>
        </w:rPr>
      </w:pPr>
      <w:r>
        <w:rPr>
          <w:b/>
          <w:lang w:val="lt-LT"/>
        </w:rPr>
        <w:t>Nedažnas (gali pasitaikyti rečiau kaip 1 iš 100 žmonių):</w:t>
      </w:r>
    </w:p>
    <w:p w14:paraId="21A915E2" w14:textId="634B619E" w:rsidR="00D77CF6" w:rsidRPr="00B85156" w:rsidRDefault="00B25D9E">
      <w:pPr>
        <w:pStyle w:val="Betarp"/>
        <w:ind w:left="567" w:hanging="567"/>
        <w:rPr>
          <w:lang w:val="lt-LT"/>
        </w:rPr>
      </w:pPr>
      <w:r>
        <w:rPr>
          <w:lang w:val="lt-LT"/>
        </w:rPr>
        <w:t>-</w:t>
      </w:r>
      <w:r>
        <w:rPr>
          <w:lang w:val="lt-LT"/>
        </w:rPr>
        <w:tab/>
        <w:t>galvos skausmas;</w:t>
      </w:r>
    </w:p>
    <w:p w14:paraId="6EB9563E" w14:textId="21B4E6F8" w:rsidR="00D77CF6" w:rsidRPr="00B85156" w:rsidRDefault="00B25D9E">
      <w:pPr>
        <w:pStyle w:val="Betarp"/>
        <w:ind w:left="567" w:hanging="567"/>
        <w:rPr>
          <w:lang w:val="lt-LT"/>
        </w:rPr>
      </w:pPr>
      <w:r>
        <w:rPr>
          <w:lang w:val="lt-LT"/>
        </w:rPr>
        <w:t>-</w:t>
      </w:r>
      <w:r>
        <w:rPr>
          <w:lang w:val="lt-LT"/>
        </w:rPr>
        <w:tab/>
        <w:t>akies paraudimas, akies infekcija (konjunktyvitas), neryškus matymas, ašarojimas, vokų uždegimas, akies paviršiaus dirginimas arba irimas;</w:t>
      </w:r>
    </w:p>
    <w:p w14:paraId="572E6BE1" w14:textId="5CFEF3F4" w:rsidR="00D77CF6" w:rsidRDefault="00B25D9E">
      <w:pPr>
        <w:pStyle w:val="Betarp"/>
        <w:ind w:left="567" w:hanging="567"/>
        <w:rPr>
          <w:lang w:val="lt-LT"/>
        </w:rPr>
      </w:pPr>
      <w:r>
        <w:rPr>
          <w:lang w:val="lt-LT"/>
        </w:rPr>
        <w:t>-</w:t>
      </w:r>
      <w:r>
        <w:rPr>
          <w:lang w:val="lt-LT"/>
        </w:rPr>
        <w:tab/>
        <w:t>odos išbėrimas arba niežėjimas</w:t>
      </w:r>
      <w:r w:rsidR="007019D8">
        <w:rPr>
          <w:lang w:val="lt-LT"/>
        </w:rPr>
        <w:t>;</w:t>
      </w:r>
    </w:p>
    <w:p w14:paraId="02CADF2B" w14:textId="60058B93" w:rsidR="00050816" w:rsidRPr="00B85156" w:rsidRDefault="00050816">
      <w:pPr>
        <w:pStyle w:val="Betarp"/>
        <w:ind w:left="567" w:hanging="567"/>
        <w:rPr>
          <w:lang w:val="fi-FI"/>
        </w:rPr>
      </w:pPr>
      <w:r w:rsidRPr="00050816">
        <w:rPr>
          <w:lang w:val="fi-FI"/>
        </w:rPr>
        <w:t>-</w:t>
      </w:r>
      <w:r w:rsidRPr="00050816">
        <w:rPr>
          <w:lang w:val="fi-FI"/>
        </w:rPr>
        <w:tab/>
      </w:r>
      <w:r>
        <w:rPr>
          <w:lang w:val="fi-FI"/>
        </w:rPr>
        <w:t>pykinimas, v</w:t>
      </w:r>
      <w:r w:rsidRPr="00050816">
        <w:rPr>
          <w:lang w:val="fi-FI"/>
        </w:rPr>
        <w:t>ėmimas.</w:t>
      </w:r>
    </w:p>
    <w:p w14:paraId="2AED6B2F" w14:textId="77777777" w:rsidR="00D77CF6" w:rsidRDefault="00D77CF6">
      <w:pPr>
        <w:pStyle w:val="Betarp"/>
        <w:rPr>
          <w:b/>
          <w:lang w:val="lt-LT"/>
        </w:rPr>
      </w:pPr>
    </w:p>
    <w:p w14:paraId="7135B8BF" w14:textId="77777777" w:rsidR="00D77CF6" w:rsidRDefault="00B25D9E">
      <w:pPr>
        <w:pStyle w:val="Betarp"/>
        <w:rPr>
          <w:b/>
          <w:lang w:val="lt-LT"/>
        </w:rPr>
      </w:pPr>
      <w:r>
        <w:rPr>
          <w:b/>
          <w:lang w:val="lt-LT"/>
        </w:rPr>
        <w:t>Kitas šalutinis poveikis</w:t>
      </w:r>
    </w:p>
    <w:p w14:paraId="34FD6CF3" w14:textId="77777777" w:rsidR="00D77CF6" w:rsidRDefault="00D77CF6">
      <w:pPr>
        <w:pStyle w:val="Betarp"/>
        <w:rPr>
          <w:lang w:val="lt-LT"/>
        </w:rPr>
      </w:pPr>
    </w:p>
    <w:p w14:paraId="79497FF7" w14:textId="77777777" w:rsidR="00D77CF6" w:rsidRDefault="00B25D9E">
      <w:pPr>
        <w:pStyle w:val="Betarp"/>
        <w:rPr>
          <w:lang w:val="lt-LT"/>
        </w:rPr>
      </w:pPr>
      <w:r>
        <w:rPr>
          <w:lang w:val="lt-LT"/>
        </w:rPr>
        <w:t>Kaip ir kiti vaistai, vartojami ant akių, Fixopost (latanoprostas ir timololis) patenka į kraują. Vartojamų akių lašų šalutinių poveikių dažnis yra mažesnis, lyginant su vaistais, kurie yra, pavyzdžiui, geriami arba leidžiami.</w:t>
      </w:r>
    </w:p>
    <w:p w14:paraId="13BF10D5" w14:textId="5EDE051A" w:rsidR="00D77CF6" w:rsidRPr="00B85156" w:rsidRDefault="00B25D9E">
      <w:pPr>
        <w:pStyle w:val="Betarp"/>
        <w:rPr>
          <w:lang w:val="lt-LT"/>
        </w:rPr>
      </w:pPr>
      <w:r>
        <w:rPr>
          <w:lang w:val="lt-LT"/>
        </w:rPr>
        <w:t>Nors vartojant Fixopost toliau išvardytų šalutinių poveikių nepasitaikė, jie pastebėti vartojant panašius į Fixopost vaistus, kurių sudėtyje yra latanoproso ir timololio, todėl gali pasitaikyti ir vartojant Fixopost. Toliau išvardytas šalutinis poveikis apima reakcijas, kurios buvo nustatytos vartojusiems akims skirtų beta adrenoblokatorių klasės vaistų:</w:t>
      </w:r>
    </w:p>
    <w:p w14:paraId="23F576A6" w14:textId="0DE60E0E" w:rsidR="00D77CF6" w:rsidRPr="00B85156" w:rsidRDefault="00B25D9E">
      <w:pPr>
        <w:pStyle w:val="Betarp"/>
        <w:numPr>
          <w:ilvl w:val="0"/>
          <w:numId w:val="6"/>
        </w:numPr>
        <w:ind w:left="567" w:hanging="567"/>
        <w:rPr>
          <w:lang w:val="lt-LT"/>
        </w:rPr>
      </w:pPr>
      <w:r>
        <w:rPr>
          <w:lang w:val="lt-LT"/>
        </w:rPr>
        <w:t>paprastosios pūslelinės viruso (</w:t>
      </w:r>
      <w:r>
        <w:rPr>
          <w:i/>
          <w:iCs/>
          <w:lang w:val="lt-LT"/>
        </w:rPr>
        <w:t>Herpes simples</w:t>
      </w:r>
      <w:r>
        <w:rPr>
          <w:lang w:val="lt-LT"/>
        </w:rPr>
        <w:t>, HSV) suketa akių virusinė infekcija;</w:t>
      </w:r>
    </w:p>
    <w:p w14:paraId="1AD58BC8" w14:textId="74E8651A" w:rsidR="00D77CF6" w:rsidRPr="00B85156" w:rsidRDefault="00B25D9E">
      <w:pPr>
        <w:pStyle w:val="Betarp"/>
        <w:numPr>
          <w:ilvl w:val="0"/>
          <w:numId w:val="6"/>
        </w:numPr>
        <w:ind w:left="567" w:hanging="567"/>
        <w:rPr>
          <w:lang w:val="lt-LT"/>
        </w:rPr>
      </w:pPr>
      <w:r>
        <w:rPr>
          <w:lang w:val="lt-LT"/>
        </w:rPr>
        <w:t>išplitusios alerginės reakcijos, įskaitant poodžio patinimą, kuris atsiranda tokiose vietose kaip veidas, galūnės ir dėl kurių gali užsikišti kvėpavimo takai, dėl ko gali pasunkėti rijimas ir kvėpavimas, atsirasti dilgelinė ir niežtintys išbėrimai, vietinis ir išplitęs išbėrimas, niežėjimas, sunki staigi gyvybei pavojinga alerginė reakcija;</w:t>
      </w:r>
    </w:p>
    <w:p w14:paraId="0D604A75" w14:textId="27277478" w:rsidR="00D77CF6" w:rsidRDefault="00B25D9E">
      <w:pPr>
        <w:pStyle w:val="Betarp"/>
        <w:numPr>
          <w:ilvl w:val="0"/>
          <w:numId w:val="6"/>
        </w:numPr>
        <w:ind w:left="567" w:hanging="567"/>
      </w:pPr>
      <w:r>
        <w:rPr>
          <w:lang w:val="lt-LT"/>
        </w:rPr>
        <w:t>mažas gliukozės kiekis kraujyje,</w:t>
      </w:r>
    </w:p>
    <w:p w14:paraId="421512F7" w14:textId="77777777" w:rsidR="00D77CF6" w:rsidRDefault="00B25D9E">
      <w:pPr>
        <w:pStyle w:val="Betarp"/>
        <w:numPr>
          <w:ilvl w:val="0"/>
          <w:numId w:val="6"/>
        </w:numPr>
        <w:ind w:left="567" w:hanging="567"/>
      </w:pPr>
      <w:r>
        <w:rPr>
          <w:lang w:val="lt-LT"/>
        </w:rPr>
        <w:t>svaigulys;</w:t>
      </w:r>
    </w:p>
    <w:p w14:paraId="3D856ADE" w14:textId="68A34FF0" w:rsidR="00D77CF6" w:rsidRDefault="00B25D9E">
      <w:pPr>
        <w:pStyle w:val="Betarp"/>
        <w:numPr>
          <w:ilvl w:val="0"/>
          <w:numId w:val="6"/>
        </w:numPr>
        <w:ind w:left="567" w:hanging="567"/>
      </w:pPr>
      <w:r>
        <w:rPr>
          <w:lang w:val="lt-LT"/>
        </w:rPr>
        <w:t>sutrikęs miegas (nemiga), depresija, košmariški sapnai, atminties praradimas, haliucinacijos;</w:t>
      </w:r>
    </w:p>
    <w:p w14:paraId="42619805" w14:textId="678F38DD" w:rsidR="00D77CF6" w:rsidRDefault="00B25D9E">
      <w:pPr>
        <w:pStyle w:val="Betarp"/>
        <w:numPr>
          <w:ilvl w:val="0"/>
          <w:numId w:val="6"/>
        </w:numPr>
        <w:ind w:left="567" w:hanging="567"/>
      </w:pPr>
      <w:r>
        <w:rPr>
          <w:lang w:val="lt-LT"/>
        </w:rPr>
        <w:t>alpulys, insultas, sumažėjęs kraujo tiekimas smegenims, pasunkėję generalizuotos miastenijos (raumenų susirgimo) požymiai ir simptomai, neįprastas pojūtis – lyg badymas adatėlėmis ir galvos skausmas;</w:t>
      </w:r>
    </w:p>
    <w:p w14:paraId="3511DBB2" w14:textId="26BDAF7B" w:rsidR="00D77CF6" w:rsidRDefault="00B25D9E">
      <w:pPr>
        <w:pStyle w:val="Betarp"/>
        <w:numPr>
          <w:ilvl w:val="0"/>
          <w:numId w:val="6"/>
        </w:numPr>
        <w:ind w:left="567" w:hanging="567"/>
      </w:pPr>
      <w:r>
        <w:rPr>
          <w:lang w:val="lt-LT"/>
        </w:rPr>
        <w:t>užpakalinės akių srities patinimas (geltonosios dėmės edema), skysčiu užpildytos cistos spalvotoje akies dalyje (rainelės cistos), jautrumas šviesai (fotofobija), akių įdubimas (vokų plyšio pagilėjimas);</w:t>
      </w:r>
    </w:p>
    <w:p w14:paraId="09261A61" w14:textId="1E3E8D26" w:rsidR="00D77CF6" w:rsidRDefault="00B25D9E">
      <w:pPr>
        <w:pStyle w:val="Betarp"/>
        <w:numPr>
          <w:ilvl w:val="0"/>
          <w:numId w:val="6"/>
        </w:numPr>
        <w:ind w:left="567" w:hanging="567"/>
      </w:pPr>
      <w:r>
        <w:rPr>
          <w:lang w:val="lt-LT"/>
        </w:rPr>
        <w:t>akies sudirginimo požymiai ir simptomai (pvz., deginimas, gėlimas, niežėjimas, ašarojimas, paraudimas), akies voko uždegimas, ragenos uždegimas, neryškus matymas ir už tinklainės esančio audinio, kuriame yra kraujagyslės, atsisluoksniavimas po filtruojamosios  operacijos, dėl ko gali atsirasti regos sutrikimų, sumažėjęs ragenos jautrumas, akių sausumas, ragenos erozija (akies obuolio priekinės dalies pakenkimas), viršutinio voko nukritimas (akis atrodo pusiau užsimerkusi), dvejinimasis akyse;</w:t>
      </w:r>
    </w:p>
    <w:p w14:paraId="15CE9F22" w14:textId="504F8FE8" w:rsidR="00D77CF6" w:rsidRDefault="00B25D9E">
      <w:pPr>
        <w:pStyle w:val="Betarp"/>
        <w:numPr>
          <w:ilvl w:val="0"/>
          <w:numId w:val="6"/>
        </w:numPr>
        <w:ind w:left="567" w:hanging="567"/>
      </w:pPr>
      <w:r>
        <w:rPr>
          <w:lang w:val="lt-LT"/>
        </w:rPr>
        <w:t>odos aplink akis patamsėjimas, blakstienų ir smulkių plaukelių  aplink akis pokytis (kiekio padidėjimas pailgėjimas, pastorėjimas ir patamsėjimas), blakstienų augimas netinkama kryptimi, patinimas aplink akis, spalvotosios akių dalies patinimas (iritas/uveitas), akies paviršiaus randėjimas;</w:t>
      </w:r>
    </w:p>
    <w:p w14:paraId="32BB8F0E" w14:textId="0BDE8147" w:rsidR="00D77CF6" w:rsidRDefault="00B25D9E">
      <w:pPr>
        <w:pStyle w:val="Betarp"/>
        <w:numPr>
          <w:ilvl w:val="0"/>
          <w:numId w:val="7"/>
        </w:numPr>
        <w:ind w:left="567" w:hanging="567"/>
      </w:pPr>
      <w:r>
        <w:rPr>
          <w:lang w:val="lt-LT"/>
        </w:rPr>
        <w:t>švilpimas/ skambėjimas ausyse (</w:t>
      </w:r>
      <w:r>
        <w:rPr>
          <w:i/>
          <w:lang w:val="lt-LT"/>
        </w:rPr>
        <w:t>tinnitus</w:t>
      </w:r>
      <w:r>
        <w:rPr>
          <w:lang w:val="lt-LT"/>
        </w:rPr>
        <w:t>);</w:t>
      </w:r>
    </w:p>
    <w:p w14:paraId="606BCC4C" w14:textId="72123BE9" w:rsidR="00D77CF6" w:rsidRDefault="00B25D9E">
      <w:pPr>
        <w:pStyle w:val="Betarp"/>
        <w:numPr>
          <w:ilvl w:val="0"/>
          <w:numId w:val="7"/>
        </w:numPr>
        <w:ind w:left="567" w:hanging="567"/>
      </w:pPr>
      <w:r>
        <w:rPr>
          <w:lang w:val="lt-LT"/>
        </w:rPr>
        <w:t>krūtinės angina, krūtinės anginos pasunkėjimas širdies ligomis sergantiems pacientams.</w:t>
      </w:r>
    </w:p>
    <w:p w14:paraId="22897300" w14:textId="1F3FB8E6" w:rsidR="00D77CF6" w:rsidRDefault="00B25D9E">
      <w:pPr>
        <w:pStyle w:val="Betarp"/>
        <w:numPr>
          <w:ilvl w:val="0"/>
          <w:numId w:val="7"/>
        </w:numPr>
        <w:ind w:left="567" w:hanging="567"/>
      </w:pPr>
      <w:r>
        <w:rPr>
          <w:lang w:val="lt-LT"/>
        </w:rPr>
        <w:t>retas širdies ritmas, krūtinės skausmas, palpitacijos (juntamas širdies ritmas), edema (skysčio kaupimasis), širdies ritmo ir dažnio pokyčiai, stazinis širdies nepakankamumas (širdies liga, pasireiškianti  skysčių kaupimosi sukeltu dusuliu ir pėdų bei kojų tinimu), tam tikri širdies ritmo sutrikimai, infarktas, širdies nepakankamumas;</w:t>
      </w:r>
    </w:p>
    <w:p w14:paraId="0E0D965A" w14:textId="5B6E8DAB" w:rsidR="00D77CF6" w:rsidRDefault="00B25D9E">
      <w:pPr>
        <w:pStyle w:val="Betarp"/>
        <w:numPr>
          <w:ilvl w:val="0"/>
          <w:numId w:val="7"/>
        </w:numPr>
        <w:ind w:left="567" w:hanging="567"/>
      </w:pPr>
      <w:r>
        <w:rPr>
          <w:lang w:val="lt-LT"/>
        </w:rPr>
        <w:t>žemas kraujospūdis, blogos kraujotakos sukeltas rankų ir kojų pirštų tirpimas ir blyškumas, šaltos rankos ir pėdos;</w:t>
      </w:r>
    </w:p>
    <w:p w14:paraId="3A4DBBE2" w14:textId="43986B33" w:rsidR="00D77CF6" w:rsidRDefault="00B25D9E">
      <w:pPr>
        <w:pStyle w:val="Betarp"/>
        <w:numPr>
          <w:ilvl w:val="0"/>
          <w:numId w:val="7"/>
        </w:numPr>
        <w:ind w:left="567" w:hanging="567"/>
      </w:pPr>
      <w:r>
        <w:rPr>
          <w:lang w:val="lt-LT"/>
        </w:rPr>
        <w:t xml:space="preserve">dusulys, </w:t>
      </w:r>
      <w:r>
        <w:rPr>
          <w:lang w:val="lt-LT" w:eastAsia="et-EE"/>
        </w:rPr>
        <w:t>plaučiuose esančių kvėpavimo takų susiaurėjimas (daugiausia pasireiškia pacientams, jau sergantiems kvėpavimo takų liga), apsunkintas kvėpavimas,</w:t>
      </w:r>
      <w:r>
        <w:rPr>
          <w:lang w:val="lt-LT"/>
        </w:rPr>
        <w:t xml:space="preserve">  kosulys, astma, astmos pasunkėjimas;</w:t>
      </w:r>
    </w:p>
    <w:p w14:paraId="532DA7FD" w14:textId="77418093" w:rsidR="00D77CF6" w:rsidRPr="001A7D1A" w:rsidRDefault="00B25D9E">
      <w:pPr>
        <w:pStyle w:val="Betarp"/>
        <w:numPr>
          <w:ilvl w:val="0"/>
          <w:numId w:val="7"/>
        </w:numPr>
        <w:ind w:left="567" w:hanging="567"/>
      </w:pPr>
      <w:r>
        <w:rPr>
          <w:lang w:val="lt-LT"/>
        </w:rPr>
        <w:t>skonio sutrikimai, pykinimas, nevirškinimas, viduriavimas, burnos džiūvimas, pilvo skausmas, vėmimas;</w:t>
      </w:r>
    </w:p>
    <w:p w14:paraId="19927B6A" w14:textId="58494D70" w:rsidR="00D77CF6" w:rsidRPr="001A7D1A" w:rsidRDefault="00B25D9E">
      <w:pPr>
        <w:pStyle w:val="Betarp"/>
        <w:numPr>
          <w:ilvl w:val="0"/>
          <w:numId w:val="7"/>
        </w:numPr>
        <w:ind w:left="567" w:hanging="567"/>
      </w:pPr>
      <w:r>
        <w:rPr>
          <w:lang w:val="lt-LT"/>
        </w:rPr>
        <w:t>plaukų slinkimas, pilkai sidabrinės spalvos odos išbėrimas (į žv</w:t>
      </w:r>
      <w:r w:rsidR="001A7D1A">
        <w:rPr>
          <w:lang w:val="lt-LT"/>
        </w:rPr>
        <w:t>y</w:t>
      </w:r>
      <w:r>
        <w:rPr>
          <w:lang w:val="lt-LT"/>
        </w:rPr>
        <w:t>nelinę panašus išbėrimas) ar pasunkėjusi žvynelinė, odos išbėrimas;</w:t>
      </w:r>
    </w:p>
    <w:p w14:paraId="23955791" w14:textId="3F5CC470" w:rsidR="00D77CF6" w:rsidRPr="001A7D1A" w:rsidRDefault="00B25D9E">
      <w:pPr>
        <w:pStyle w:val="Betarp"/>
        <w:numPr>
          <w:ilvl w:val="0"/>
          <w:numId w:val="7"/>
        </w:numPr>
        <w:ind w:left="567" w:hanging="567"/>
      </w:pPr>
      <w:r>
        <w:rPr>
          <w:lang w:val="lt-LT"/>
        </w:rPr>
        <w:t>sąnarių skausmas, raumenų skausmas ne dėl mankštos, raumenų silpnumas, nuovargis;</w:t>
      </w:r>
    </w:p>
    <w:p w14:paraId="334D2926" w14:textId="64E8C930" w:rsidR="00D77CF6" w:rsidRDefault="00B25D9E">
      <w:pPr>
        <w:pStyle w:val="Betarp"/>
        <w:numPr>
          <w:ilvl w:val="0"/>
          <w:numId w:val="7"/>
        </w:numPr>
        <w:ind w:left="567" w:hanging="567"/>
        <w:rPr>
          <w:lang w:val="lt-LT"/>
        </w:rPr>
      </w:pPr>
      <w:r>
        <w:rPr>
          <w:lang w:val="lt-LT"/>
        </w:rPr>
        <w:t>lytinės funkcijos sutrikimas, sumažėjęs lytinis potraukis.</w:t>
      </w:r>
    </w:p>
    <w:p w14:paraId="3230579E" w14:textId="77777777" w:rsidR="00D77CF6" w:rsidRDefault="00D77CF6">
      <w:pPr>
        <w:pStyle w:val="Betarp"/>
        <w:rPr>
          <w:rFonts w:eastAsia="Times New Roman"/>
          <w:b/>
          <w:iCs/>
          <w:lang w:val="lt-LT" w:eastAsia="lt-LT"/>
        </w:rPr>
      </w:pPr>
    </w:p>
    <w:p w14:paraId="039E26D0" w14:textId="77777777" w:rsidR="00D77CF6" w:rsidRDefault="00B25D9E">
      <w:pPr>
        <w:pStyle w:val="Betarp"/>
        <w:rPr>
          <w:b/>
          <w:lang w:val="lt-LT"/>
        </w:rPr>
      </w:pPr>
      <w:r>
        <w:rPr>
          <w:b/>
          <w:lang w:val="lt-LT"/>
        </w:rPr>
        <w:t>Pranešimas apie šalutinį poveikį</w:t>
      </w:r>
    </w:p>
    <w:p w14:paraId="6543A7F1" w14:textId="77777777" w:rsidR="00D77CF6" w:rsidRPr="00D7535D" w:rsidRDefault="00B25D9E">
      <w:pPr>
        <w:pStyle w:val="Betarp"/>
        <w:rPr>
          <w:lang w:val="lt-LT"/>
        </w:rPr>
      </w:pPr>
      <w:r>
        <w:rPr>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lang w:val="lt-LT" w:eastAsia="zh-CN"/>
        </w:rPr>
        <w:t>elefonu 8 800 73568</w:t>
      </w:r>
      <w:r>
        <w:rPr>
          <w:lang w:val="lt-LT"/>
        </w:rPr>
        <w:t xml:space="preserve"> arba užpildyti interneto svetainėje </w:t>
      </w:r>
      <w:hyperlink r:id="rId19">
        <w:r>
          <w:rPr>
            <w:rStyle w:val="Internetosaitas"/>
            <w:rFonts w:eastAsia="SimSun"/>
            <w:lang w:val="lt-LT"/>
          </w:rPr>
          <w:t>www.vvkt.lt</w:t>
        </w:r>
      </w:hyperlink>
      <w:r>
        <w:rPr>
          <w:lang w:val="lt-LT"/>
        </w:rPr>
        <w:t xml:space="preserve"> esančią formą ir pateikti ją Valstybinei vaistų kontrolės tarnybai prie Lietuvos Respublikos sveikatos apsaugos ministerijos vienu iš šių būdų: raštu (adresu Žirmūnų g. 139A, LT-09120 Vilnius), </w:t>
      </w:r>
      <w:r>
        <w:rPr>
          <w:lang w:val="lt-LT" w:eastAsia="zh-CN"/>
        </w:rPr>
        <w:t xml:space="preserve">nemokamu </w:t>
      </w:r>
      <w:r>
        <w:rPr>
          <w:lang w:val="lt-LT"/>
        </w:rPr>
        <w:t>fakso numeriu 8 800 20131</w:t>
      </w:r>
      <w:r>
        <w:rPr>
          <w:lang w:val="lt-LT" w:eastAsia="zh-CN"/>
        </w:rPr>
        <w:t xml:space="preserve">, </w:t>
      </w:r>
      <w:r>
        <w:rPr>
          <w:lang w:val="lt-LT"/>
        </w:rPr>
        <w:t xml:space="preserve">el. paštu </w:t>
      </w:r>
      <w:hyperlink r:id="rId20">
        <w:r>
          <w:rPr>
            <w:rStyle w:val="Internetosaitas"/>
            <w:rFonts w:eastAsia="SimSun"/>
            <w:lang w:val="lt-LT"/>
          </w:rPr>
          <w:t>NepageidaujamaR@vvkt.lt</w:t>
        </w:r>
      </w:hyperlink>
      <w:r>
        <w:rPr>
          <w:lang w:val="lt-LT"/>
        </w:rPr>
        <w:t xml:space="preserve">, taip pat per Valstybinės vaistų kontrolės tarnybos prie Lietuvos Respublikos sveikatos apsaugos ministerijos interneto svetainę (adresu </w:t>
      </w:r>
      <w:hyperlink r:id="rId21">
        <w:r>
          <w:rPr>
            <w:rStyle w:val="Internetosaitas"/>
            <w:rFonts w:eastAsia="SimSun"/>
            <w:lang w:val="lt-LT"/>
          </w:rPr>
          <w:t>http://www.vvkt.lt</w:t>
        </w:r>
      </w:hyperlink>
      <w:r>
        <w:rPr>
          <w:lang w:val="lt-LT"/>
        </w:rPr>
        <w:t>). Pranešdami apie šalutinį poveikį galite mums padėti gauti daugiau informacijos apie šio vaisto saugumą.</w:t>
      </w:r>
    </w:p>
    <w:p w14:paraId="6F8EB319" w14:textId="77777777" w:rsidR="00D77CF6" w:rsidRDefault="00D77CF6">
      <w:pPr>
        <w:pStyle w:val="Betarp"/>
        <w:rPr>
          <w:lang w:val="lt-LT"/>
        </w:rPr>
      </w:pPr>
    </w:p>
    <w:p w14:paraId="5079AB29" w14:textId="77777777" w:rsidR="00D77CF6" w:rsidRDefault="00D77CF6">
      <w:pPr>
        <w:pStyle w:val="Betarp"/>
        <w:rPr>
          <w:bCs/>
          <w:lang w:val="lt-LT"/>
        </w:rPr>
      </w:pPr>
    </w:p>
    <w:p w14:paraId="66A81F15" w14:textId="77777777" w:rsidR="00D77CF6" w:rsidRDefault="00B25D9E">
      <w:pPr>
        <w:pStyle w:val="Betarp"/>
        <w:rPr>
          <w:b/>
          <w:lang w:val="lt-LT"/>
        </w:rPr>
      </w:pPr>
      <w:bookmarkStart w:id="74" w:name="_Toc129243268"/>
      <w:bookmarkStart w:id="75" w:name="_Toc129243143"/>
      <w:r>
        <w:rPr>
          <w:b/>
          <w:lang w:val="lt-LT"/>
        </w:rPr>
        <w:t>5.</w:t>
      </w:r>
      <w:r>
        <w:rPr>
          <w:b/>
          <w:lang w:val="lt-LT"/>
        </w:rPr>
        <w:tab/>
        <w:t xml:space="preserve">Kaip laikyti </w:t>
      </w:r>
      <w:bookmarkEnd w:id="74"/>
      <w:bookmarkEnd w:id="75"/>
      <w:r>
        <w:rPr>
          <w:b/>
          <w:lang w:val="lt-LT"/>
        </w:rPr>
        <w:t>Fixopost</w:t>
      </w:r>
    </w:p>
    <w:p w14:paraId="5ABD44A4" w14:textId="77777777" w:rsidR="00D77CF6" w:rsidRDefault="00D77CF6">
      <w:pPr>
        <w:pStyle w:val="Betarp"/>
        <w:rPr>
          <w:lang w:val="lt-LT"/>
        </w:rPr>
      </w:pPr>
    </w:p>
    <w:p w14:paraId="29FF2384" w14:textId="77777777" w:rsidR="00D77CF6" w:rsidRDefault="00B25D9E">
      <w:pPr>
        <w:pStyle w:val="Betarp"/>
        <w:rPr>
          <w:lang w:val="lt-LT"/>
        </w:rPr>
      </w:pPr>
      <w:r>
        <w:rPr>
          <w:lang w:val="lt-LT"/>
        </w:rPr>
        <w:t>Šį vaistą laikykite vaikams nepastebimoje ir nepasiekiamoje vietoje.</w:t>
      </w:r>
    </w:p>
    <w:p w14:paraId="3C0253EC" w14:textId="77777777" w:rsidR="00D77CF6" w:rsidRDefault="00D77CF6">
      <w:pPr>
        <w:pStyle w:val="Betarp"/>
        <w:rPr>
          <w:lang w:val="lt-LT"/>
        </w:rPr>
      </w:pPr>
    </w:p>
    <w:p w14:paraId="405A5DD3" w14:textId="77777777" w:rsidR="00D77CF6" w:rsidRDefault="00B25D9E">
      <w:pPr>
        <w:pStyle w:val="Betarp"/>
        <w:rPr>
          <w:lang w:val="lt-LT"/>
        </w:rPr>
      </w:pPr>
      <w:r>
        <w:rPr>
          <w:lang w:val="lt-LT"/>
        </w:rPr>
        <w:t>Ant dėžutės ir buteliuko po ,,EXP“ nurodytam tinkamumo laikui pasibaigus, šio vaisto vartoti negalima. Vaistas tinkamas vartoti iki paskutinės nurodyto mėnesio dienos.</w:t>
      </w:r>
    </w:p>
    <w:p w14:paraId="65CE405E" w14:textId="77777777" w:rsidR="00D77CF6" w:rsidRDefault="00B25D9E">
      <w:pPr>
        <w:pStyle w:val="Betarp"/>
        <w:rPr>
          <w:lang w:val="lt-LT"/>
        </w:rPr>
      </w:pPr>
      <w:r>
        <w:rPr>
          <w:u w:val="single"/>
          <w:lang w:val="lt-LT"/>
        </w:rPr>
        <w:t>Prieš pirmąjį atidarymą</w:t>
      </w:r>
      <w:r>
        <w:rPr>
          <w:lang w:val="lt-LT"/>
        </w:rPr>
        <w:t xml:space="preserve">: </w:t>
      </w:r>
      <w:r>
        <w:rPr>
          <w:rFonts w:eastAsia="Times New Roman"/>
          <w:lang w:val="lt-LT"/>
        </w:rPr>
        <w:t>š</w:t>
      </w:r>
      <w:r>
        <w:rPr>
          <w:lang w:val="lt-LT"/>
        </w:rPr>
        <w:t>iam vaistui specialių laikymo sąlygų nereikia.</w:t>
      </w:r>
    </w:p>
    <w:p w14:paraId="34883263" w14:textId="77777777" w:rsidR="00D77CF6" w:rsidRDefault="00B25D9E">
      <w:pPr>
        <w:pStyle w:val="Betarp"/>
        <w:rPr>
          <w:lang w:val="lt-LT"/>
        </w:rPr>
      </w:pPr>
      <w:r>
        <w:rPr>
          <w:u w:val="single"/>
          <w:lang w:val="lt-LT"/>
        </w:rPr>
        <w:t>Po pirmojo atidarymo</w:t>
      </w:r>
      <w:r>
        <w:rPr>
          <w:lang w:val="lt-LT"/>
        </w:rPr>
        <w:t>: 2,5 ml Fixopost buteliuką galima vartoti iki 4 savaičių ir 6 ml buteliuką iki 3 mėnesių, be jokių specialių laikymo sąlygų.</w:t>
      </w:r>
    </w:p>
    <w:p w14:paraId="6801CA71" w14:textId="77777777" w:rsidR="00D77CF6" w:rsidRDefault="00B25D9E">
      <w:pPr>
        <w:pStyle w:val="Betarp"/>
        <w:rPr>
          <w:lang w:val="lt-LT"/>
        </w:rPr>
      </w:pPr>
      <w:r>
        <w:rPr>
          <w:lang w:val="lt-LT"/>
        </w:rPr>
        <w:t>Ant dėžutės užrašykite pirmojo atidarymo datą.</w:t>
      </w:r>
    </w:p>
    <w:p w14:paraId="27C04005" w14:textId="77777777" w:rsidR="00D77CF6" w:rsidRDefault="00D77CF6">
      <w:pPr>
        <w:pStyle w:val="Betarp"/>
        <w:rPr>
          <w:lang w:val="lt-LT"/>
        </w:rPr>
      </w:pPr>
    </w:p>
    <w:p w14:paraId="1564DA08" w14:textId="77777777" w:rsidR="00D77CF6" w:rsidRDefault="00B25D9E">
      <w:pPr>
        <w:pStyle w:val="Betarp"/>
        <w:rPr>
          <w:lang w:val="lt-LT"/>
        </w:rPr>
      </w:pPr>
      <w:r>
        <w:rPr>
          <w:lang w:val="lt-LT"/>
        </w:rPr>
        <w:t>Vaistų negalima išmesti į kanalizaciją arba su buitinėmis atliekomis. Kaip išmesti nereikalingus vaistus, klauskite vaistininko. Šios priemonės padės apsaugoti aplinką.</w:t>
      </w:r>
    </w:p>
    <w:p w14:paraId="590D330E" w14:textId="77777777" w:rsidR="00D77CF6" w:rsidRDefault="00D77CF6">
      <w:pPr>
        <w:pStyle w:val="Betarp"/>
        <w:rPr>
          <w:lang w:val="lt-LT"/>
        </w:rPr>
      </w:pPr>
    </w:p>
    <w:p w14:paraId="6A6C8B3B" w14:textId="77777777" w:rsidR="00D77CF6" w:rsidRDefault="00D77CF6">
      <w:pPr>
        <w:pStyle w:val="Betarp"/>
        <w:rPr>
          <w:bCs/>
          <w:lang w:val="lt-LT"/>
        </w:rPr>
      </w:pPr>
    </w:p>
    <w:p w14:paraId="61264CE5" w14:textId="77777777" w:rsidR="00D77CF6" w:rsidRDefault="00B25D9E">
      <w:pPr>
        <w:pStyle w:val="Betarp"/>
        <w:rPr>
          <w:b/>
          <w:lang w:val="lt-LT"/>
        </w:rPr>
      </w:pPr>
      <w:bookmarkStart w:id="76" w:name="_Toc129243269"/>
      <w:bookmarkStart w:id="77" w:name="_Toc129243144"/>
      <w:r>
        <w:rPr>
          <w:b/>
          <w:lang w:val="lt-LT"/>
        </w:rPr>
        <w:t>6.</w:t>
      </w:r>
      <w:r>
        <w:rPr>
          <w:b/>
          <w:lang w:val="lt-LT"/>
        </w:rPr>
        <w:tab/>
        <w:t>Pakuotės turinys ir kita informacija</w:t>
      </w:r>
      <w:bookmarkEnd w:id="76"/>
      <w:bookmarkEnd w:id="77"/>
    </w:p>
    <w:p w14:paraId="1560CDB4" w14:textId="77777777" w:rsidR="00D77CF6" w:rsidRDefault="00D77CF6">
      <w:pPr>
        <w:pStyle w:val="Betarp"/>
        <w:rPr>
          <w:b/>
          <w:lang w:val="lt-LT"/>
        </w:rPr>
      </w:pPr>
    </w:p>
    <w:p w14:paraId="3DC02412" w14:textId="77777777" w:rsidR="00D77CF6" w:rsidRDefault="00B25D9E">
      <w:pPr>
        <w:pStyle w:val="Betarp"/>
        <w:rPr>
          <w:b/>
          <w:lang w:val="lt-LT"/>
        </w:rPr>
      </w:pPr>
      <w:r>
        <w:rPr>
          <w:b/>
          <w:lang w:val="lt-LT"/>
        </w:rPr>
        <w:t>Fixopost sudėtis</w:t>
      </w:r>
    </w:p>
    <w:p w14:paraId="0F348A6D" w14:textId="77777777" w:rsidR="00D77CF6" w:rsidRDefault="00B25D9E">
      <w:pPr>
        <w:pStyle w:val="Betarp"/>
        <w:ind w:left="705" w:hanging="705"/>
        <w:rPr>
          <w:lang w:val="lt-LT"/>
        </w:rPr>
      </w:pPr>
      <w:r>
        <w:rPr>
          <w:lang w:val="lt-LT"/>
        </w:rPr>
        <w:t>-</w:t>
      </w:r>
      <w:r>
        <w:rPr>
          <w:lang w:val="lt-LT"/>
        </w:rPr>
        <w:tab/>
        <w:t>Veikliosios medžiagos yra 50 mikrogramų/ml latanoprosto ir 5 mg/ml timololio (timololio maleato pavidalu).</w:t>
      </w:r>
    </w:p>
    <w:p w14:paraId="6DAF40CD" w14:textId="77777777" w:rsidR="00D77CF6" w:rsidRDefault="00B25D9E">
      <w:pPr>
        <w:pStyle w:val="Betarp"/>
        <w:ind w:left="705" w:hanging="705"/>
        <w:rPr>
          <w:lang w:val="lt-LT"/>
        </w:rPr>
      </w:pPr>
      <w:r>
        <w:rPr>
          <w:lang w:val="lt-LT"/>
        </w:rPr>
        <w:t>-</w:t>
      </w:r>
      <w:r>
        <w:rPr>
          <w:lang w:val="lt-LT"/>
        </w:rPr>
        <w:tab/>
        <w:t>Pagalbinės medžiagos yra makrogolglicerolio hidroksistearatas, sorbitolis, makrogolis, karbomeras, dinatrio edetatas, natrio hidroksidas (pH koreguoti), vanduo.</w:t>
      </w:r>
    </w:p>
    <w:p w14:paraId="7755E411" w14:textId="77777777" w:rsidR="00D77CF6" w:rsidRDefault="00D77CF6">
      <w:pPr>
        <w:pStyle w:val="Betarp"/>
        <w:rPr>
          <w:b/>
          <w:lang w:val="lt-LT"/>
        </w:rPr>
      </w:pPr>
    </w:p>
    <w:p w14:paraId="351B5A16" w14:textId="77777777" w:rsidR="00D77CF6" w:rsidRDefault="00B25D9E">
      <w:pPr>
        <w:pStyle w:val="Betarp"/>
        <w:keepNext/>
        <w:rPr>
          <w:b/>
          <w:lang w:val="lt-LT"/>
        </w:rPr>
      </w:pPr>
      <w:r>
        <w:rPr>
          <w:b/>
          <w:lang w:val="lt-LT"/>
        </w:rPr>
        <w:t>Fixopost išvaizda ir kiekis pakuotėje</w:t>
      </w:r>
    </w:p>
    <w:p w14:paraId="755BC5D8" w14:textId="517B21BC" w:rsidR="00D77CF6" w:rsidRDefault="00B25D9E">
      <w:pPr>
        <w:pStyle w:val="Betarp"/>
        <w:keepNext/>
        <w:rPr>
          <w:lang w:val="lt-LT"/>
        </w:rPr>
      </w:pPr>
      <w:r>
        <w:rPr>
          <w:lang w:val="lt-LT"/>
        </w:rPr>
        <w:t>Fixopost akių lašai (tirpalas) yra šviesiai geltonas, opalinis tirpalas, beveik be dalelių.</w:t>
      </w:r>
    </w:p>
    <w:p w14:paraId="5CC1F716" w14:textId="77777777" w:rsidR="00D77CF6" w:rsidRDefault="00D77CF6">
      <w:pPr>
        <w:pStyle w:val="Betarp"/>
        <w:keepNext/>
        <w:rPr>
          <w:lang w:val="lt-LT"/>
        </w:rPr>
      </w:pPr>
    </w:p>
    <w:p w14:paraId="1830FE81" w14:textId="77777777" w:rsidR="00D77CF6" w:rsidRDefault="00B25D9E">
      <w:pPr>
        <w:pStyle w:val="Betarp"/>
        <w:keepNext/>
        <w:rPr>
          <w:lang w:val="lt-LT"/>
        </w:rPr>
      </w:pPr>
      <w:r>
        <w:rPr>
          <w:lang w:val="lt-LT"/>
        </w:rPr>
        <w:t>Yra šių dydžių Fixopost pakuotės:</w:t>
      </w:r>
    </w:p>
    <w:p w14:paraId="2AA069D7" w14:textId="77777777" w:rsidR="00D77CF6" w:rsidRDefault="00B25D9E">
      <w:pPr>
        <w:numPr>
          <w:ilvl w:val="0"/>
          <w:numId w:val="9"/>
        </w:numPr>
        <w:tabs>
          <w:tab w:val="left" w:pos="567"/>
        </w:tabs>
        <w:spacing w:line="240" w:lineRule="auto"/>
        <w:jc w:val="both"/>
        <w:rPr>
          <w:rFonts w:eastAsia="Times New Roman"/>
          <w:lang w:val="lt-LT"/>
        </w:rPr>
      </w:pPr>
      <w:r>
        <w:rPr>
          <w:rFonts w:eastAsia="Times New Roman"/>
          <w:lang w:val="lt-LT"/>
        </w:rPr>
        <w:t>Vienas 2,5 ml buteliukas (ne mažiau kaip 80 lašų be konservantų), skirtas 4 savaičių gydymui, su pompa ir „Easygrip“ prietaisu su ergonomiškomis atramomis.</w:t>
      </w:r>
      <w:bookmarkStart w:id="78" w:name="_Hlk50710713"/>
      <w:bookmarkEnd w:id="78"/>
    </w:p>
    <w:p w14:paraId="670921D0" w14:textId="77777777" w:rsidR="00D77CF6" w:rsidRDefault="00B25D9E">
      <w:pPr>
        <w:pStyle w:val="Sraopastraipa"/>
        <w:numPr>
          <w:ilvl w:val="0"/>
          <w:numId w:val="9"/>
        </w:numPr>
        <w:spacing w:after="0" w:line="240" w:lineRule="auto"/>
        <w:rPr>
          <w:rFonts w:ascii="Times New Roman" w:eastAsia="Times New Roman" w:hAnsi="Times New Roman"/>
        </w:rPr>
      </w:pPr>
      <w:r>
        <w:rPr>
          <w:rFonts w:ascii="Times New Roman" w:eastAsia="Times New Roman" w:hAnsi="Times New Roman"/>
        </w:rPr>
        <w:t>Vienas 6 ml buteliukas (ne mažiau kaip 190 lašų be konservantų), skirtas 3 mėnesių gydymui, su pompa ir „Easygrip“ prietaisu su ergonomiškomis atramomis.</w:t>
      </w:r>
    </w:p>
    <w:p w14:paraId="6463180E" w14:textId="77777777" w:rsidR="00D77CF6" w:rsidRDefault="00D77CF6">
      <w:pPr>
        <w:pStyle w:val="Betarp"/>
        <w:keepNext/>
        <w:rPr>
          <w:lang w:val="lt-LT"/>
        </w:rPr>
      </w:pPr>
    </w:p>
    <w:p w14:paraId="489EB5B7" w14:textId="77777777" w:rsidR="00D77CF6" w:rsidRDefault="00B25D9E">
      <w:pPr>
        <w:pStyle w:val="Betarp"/>
        <w:rPr>
          <w:lang w:val="lt-LT"/>
        </w:rPr>
      </w:pPr>
      <w:r>
        <w:rPr>
          <w:lang w:val="lt-LT"/>
        </w:rPr>
        <w:t>Gali būti tiekiamos ne visų dydžių pakuotės.</w:t>
      </w:r>
    </w:p>
    <w:p w14:paraId="0BAE0526" w14:textId="77777777" w:rsidR="00D77CF6" w:rsidRDefault="00D77CF6">
      <w:pPr>
        <w:pStyle w:val="Betarp"/>
        <w:rPr>
          <w:b/>
          <w:lang w:val="lt-LT"/>
        </w:rPr>
      </w:pPr>
    </w:p>
    <w:p w14:paraId="2E084A36" w14:textId="77777777" w:rsidR="00D77CF6" w:rsidRDefault="00B25D9E">
      <w:pPr>
        <w:pStyle w:val="Betarp"/>
        <w:rPr>
          <w:b/>
          <w:lang w:val="lt-LT"/>
        </w:rPr>
      </w:pPr>
      <w:r>
        <w:rPr>
          <w:b/>
          <w:lang w:val="lt-LT"/>
        </w:rPr>
        <w:t>Registruotojas ir gamintojas</w:t>
      </w:r>
    </w:p>
    <w:p w14:paraId="0F13D76E" w14:textId="77777777" w:rsidR="00D77CF6" w:rsidRDefault="00D77CF6">
      <w:pPr>
        <w:pStyle w:val="Betarp"/>
        <w:rPr>
          <w:u w:val="single"/>
          <w:lang w:val="lt-LT"/>
        </w:rPr>
      </w:pPr>
    </w:p>
    <w:p w14:paraId="073C5A53" w14:textId="77777777" w:rsidR="00D77CF6" w:rsidRDefault="00B25D9E">
      <w:pPr>
        <w:pStyle w:val="Betarp"/>
        <w:rPr>
          <w:bCs/>
          <w:u w:val="single"/>
          <w:lang w:val="lt-LT"/>
        </w:rPr>
      </w:pPr>
      <w:r>
        <w:rPr>
          <w:u w:val="single"/>
          <w:lang w:val="lt-LT"/>
        </w:rPr>
        <w:t>Registruotojas</w:t>
      </w:r>
    </w:p>
    <w:p w14:paraId="3161E0F2" w14:textId="77777777" w:rsidR="00D77CF6" w:rsidRDefault="00B25D9E">
      <w:pPr>
        <w:pStyle w:val="Betarp"/>
        <w:rPr>
          <w:lang w:val="lt-LT"/>
        </w:rPr>
      </w:pPr>
      <w:r>
        <w:rPr>
          <w:lang w:val="lt-LT"/>
        </w:rPr>
        <w:t>Laboratoires THEA</w:t>
      </w:r>
    </w:p>
    <w:p w14:paraId="12FF5FA3" w14:textId="77777777" w:rsidR="00D77CF6" w:rsidRDefault="00B25D9E">
      <w:pPr>
        <w:pStyle w:val="Betarp"/>
        <w:rPr>
          <w:lang w:val="lt-LT"/>
        </w:rPr>
      </w:pPr>
      <w:r>
        <w:rPr>
          <w:lang w:val="lt-LT"/>
        </w:rPr>
        <w:t>12 rue Louis Bleriot</w:t>
      </w:r>
    </w:p>
    <w:p w14:paraId="6A049AC6" w14:textId="77777777" w:rsidR="00D77CF6" w:rsidRDefault="00B25D9E">
      <w:pPr>
        <w:pStyle w:val="Betarp"/>
        <w:rPr>
          <w:lang w:val="lt-LT"/>
        </w:rPr>
      </w:pPr>
      <w:r>
        <w:rPr>
          <w:lang w:val="lt-LT"/>
        </w:rPr>
        <w:t>63017 Clermont-Ferrand Cedex 2</w:t>
      </w:r>
    </w:p>
    <w:p w14:paraId="4DB27E5D" w14:textId="77777777" w:rsidR="00D77CF6" w:rsidRDefault="00B25D9E">
      <w:pPr>
        <w:pStyle w:val="Betarp"/>
        <w:rPr>
          <w:caps/>
          <w:lang w:val="lt-LT"/>
        </w:rPr>
      </w:pPr>
      <w:r>
        <w:rPr>
          <w:lang w:val="lt-LT"/>
        </w:rPr>
        <w:t>Prancūzija</w:t>
      </w:r>
    </w:p>
    <w:p w14:paraId="53A686DB" w14:textId="77777777" w:rsidR="00D77CF6" w:rsidRDefault="00D77CF6">
      <w:pPr>
        <w:pStyle w:val="Betarp"/>
        <w:rPr>
          <w:u w:val="single"/>
          <w:lang w:val="lt-LT"/>
        </w:rPr>
      </w:pPr>
    </w:p>
    <w:p w14:paraId="36906DEE" w14:textId="77777777" w:rsidR="00D77CF6" w:rsidRDefault="00B25D9E">
      <w:pPr>
        <w:pStyle w:val="Betarp"/>
        <w:rPr>
          <w:u w:val="single"/>
          <w:lang w:val="lt-LT"/>
        </w:rPr>
      </w:pPr>
      <w:r>
        <w:rPr>
          <w:u w:val="single"/>
          <w:lang w:val="lt-LT"/>
        </w:rPr>
        <w:t>Gamintojas</w:t>
      </w:r>
    </w:p>
    <w:p w14:paraId="5DD60C4A" w14:textId="77777777" w:rsidR="00D77CF6" w:rsidRDefault="00B25D9E">
      <w:pPr>
        <w:pStyle w:val="Betarp"/>
        <w:rPr>
          <w:lang w:val="fr-FR"/>
        </w:rPr>
      </w:pPr>
      <w:r>
        <w:rPr>
          <w:lang w:val="fr-FR"/>
        </w:rPr>
        <w:t>DELPHARM TOURS</w:t>
      </w:r>
    </w:p>
    <w:p w14:paraId="77A26200" w14:textId="77777777" w:rsidR="00D77CF6" w:rsidRDefault="00B25D9E">
      <w:pPr>
        <w:pStyle w:val="Betarp"/>
        <w:rPr>
          <w:lang w:val="fr-FR"/>
        </w:rPr>
      </w:pPr>
      <w:r>
        <w:rPr>
          <w:lang w:val="fr-FR"/>
        </w:rPr>
        <w:t>Rue Paul Langevin</w:t>
      </w:r>
    </w:p>
    <w:p w14:paraId="2B968227" w14:textId="77777777" w:rsidR="00D77CF6" w:rsidRDefault="00B25D9E">
      <w:pPr>
        <w:pStyle w:val="Betarp"/>
        <w:rPr>
          <w:lang w:val="lt-LT"/>
        </w:rPr>
      </w:pPr>
      <w:r>
        <w:rPr>
          <w:lang w:val="fr-FR"/>
        </w:rPr>
        <w:t>37170 Chambray Les Tours</w:t>
      </w:r>
    </w:p>
    <w:p w14:paraId="480BD83A" w14:textId="77777777" w:rsidR="00D77CF6" w:rsidRDefault="00B25D9E">
      <w:pPr>
        <w:pStyle w:val="Betarp"/>
        <w:rPr>
          <w:lang w:val="lt-LT"/>
        </w:rPr>
      </w:pPr>
      <w:r>
        <w:rPr>
          <w:lang w:val="lt-LT"/>
        </w:rPr>
        <w:t>Prancūzija</w:t>
      </w:r>
    </w:p>
    <w:p w14:paraId="0972FC8B" w14:textId="77777777" w:rsidR="00D77CF6" w:rsidRDefault="00D77CF6">
      <w:pPr>
        <w:pStyle w:val="Betarp"/>
        <w:rPr>
          <w:lang w:val="lt-LT"/>
        </w:rPr>
      </w:pPr>
    </w:p>
    <w:p w14:paraId="1B4F2150" w14:textId="77777777" w:rsidR="00D77CF6" w:rsidRDefault="00B25D9E">
      <w:pPr>
        <w:pStyle w:val="Betarp"/>
        <w:rPr>
          <w:lang w:val="lt-LT"/>
        </w:rPr>
      </w:pPr>
      <w:r>
        <w:rPr>
          <w:lang w:val="lt-LT"/>
        </w:rPr>
        <w:t>arba</w:t>
      </w:r>
    </w:p>
    <w:p w14:paraId="45BDB21C" w14:textId="77777777" w:rsidR="00D77CF6" w:rsidRDefault="00D77CF6">
      <w:pPr>
        <w:pStyle w:val="Betarp"/>
        <w:rPr>
          <w:lang w:val="lt-LT"/>
        </w:rPr>
      </w:pPr>
    </w:p>
    <w:p w14:paraId="1966B0EB" w14:textId="77777777" w:rsidR="00D77CF6" w:rsidRDefault="00B25D9E">
      <w:pPr>
        <w:pStyle w:val="Betarp"/>
        <w:rPr>
          <w:lang w:val="lt-LT"/>
        </w:rPr>
      </w:pPr>
      <w:r>
        <w:rPr>
          <w:lang w:val="lt-LT"/>
        </w:rPr>
        <w:t>Laboratoires THEA</w:t>
      </w:r>
    </w:p>
    <w:p w14:paraId="139DEB8F" w14:textId="77777777" w:rsidR="00D77CF6" w:rsidRDefault="00B25D9E">
      <w:pPr>
        <w:pStyle w:val="Betarp"/>
        <w:rPr>
          <w:lang w:val="lt-LT"/>
        </w:rPr>
      </w:pPr>
      <w:r>
        <w:rPr>
          <w:lang w:val="lt-LT"/>
        </w:rPr>
        <w:t>12 rue Louis Blériot</w:t>
      </w:r>
    </w:p>
    <w:p w14:paraId="2C628BAA" w14:textId="77777777" w:rsidR="00D77CF6" w:rsidRDefault="00B25D9E">
      <w:pPr>
        <w:pStyle w:val="Betarp"/>
        <w:rPr>
          <w:lang w:val="lt-LT"/>
        </w:rPr>
      </w:pPr>
      <w:r>
        <w:rPr>
          <w:lang w:val="lt-LT"/>
        </w:rPr>
        <w:t>63017 Clermont-Ferrand Cedex 2</w:t>
      </w:r>
    </w:p>
    <w:p w14:paraId="5B94D3DF" w14:textId="77777777" w:rsidR="00D77CF6" w:rsidRDefault="00B25D9E">
      <w:pPr>
        <w:pStyle w:val="Betarp"/>
        <w:rPr>
          <w:lang w:val="lt-LT"/>
        </w:rPr>
      </w:pPr>
      <w:r>
        <w:rPr>
          <w:lang w:val="lt-LT"/>
        </w:rPr>
        <w:t>Prancūzija</w:t>
      </w:r>
    </w:p>
    <w:p w14:paraId="7790E70D" w14:textId="77777777" w:rsidR="00D77CF6" w:rsidRDefault="00D77CF6">
      <w:pPr>
        <w:pStyle w:val="Betarp"/>
        <w:rPr>
          <w:iCs/>
          <w:lang w:val="lt-LT"/>
        </w:rPr>
      </w:pPr>
    </w:p>
    <w:p w14:paraId="0CFCE426" w14:textId="77777777" w:rsidR="00D77CF6" w:rsidRDefault="00B25D9E">
      <w:pPr>
        <w:ind w:right="-2"/>
        <w:rPr>
          <w:lang w:val="lt-LT"/>
        </w:rPr>
      </w:pPr>
      <w:r>
        <w:rPr>
          <w:b/>
          <w:lang w:val="lt-LT"/>
        </w:rPr>
        <w:t>Šis vaistas EEE valstybėse narėse registruotas tokiais pavadinimais</w:t>
      </w:r>
      <w:r>
        <w:rPr>
          <w:lang w:val="lt-LT"/>
        </w:rPr>
        <w:t>:</w:t>
      </w:r>
    </w:p>
    <w:p w14:paraId="5CC9342F" w14:textId="77777777" w:rsidR="00D77CF6" w:rsidRDefault="00D77CF6">
      <w:pPr>
        <w:ind w:right="-2"/>
        <w:rPr>
          <w:lang w:val="lt-LT"/>
        </w:rPr>
      </w:pPr>
    </w:p>
    <w:tbl>
      <w:tblPr>
        <w:tblStyle w:val="Lentelstinklelis"/>
        <w:tblW w:w="9061" w:type="dxa"/>
        <w:tblLook w:val="04A0" w:firstRow="1" w:lastRow="0" w:firstColumn="1" w:lastColumn="0" w:noHBand="0" w:noVBand="1"/>
      </w:tblPr>
      <w:tblGrid>
        <w:gridCol w:w="3395"/>
        <w:gridCol w:w="5666"/>
      </w:tblGrid>
      <w:tr w:rsidR="00D77CF6" w:rsidRPr="00CA1BDC" w14:paraId="10EE4C39" w14:textId="77777777">
        <w:tc>
          <w:tcPr>
            <w:tcW w:w="3395" w:type="dxa"/>
            <w:tcBorders>
              <w:top w:val="nil"/>
              <w:left w:val="nil"/>
              <w:bottom w:val="nil"/>
              <w:right w:val="nil"/>
            </w:tcBorders>
            <w:shd w:val="clear" w:color="auto" w:fill="auto"/>
          </w:tcPr>
          <w:p w14:paraId="2DE3D9A0" w14:textId="77777777" w:rsidR="00D77CF6" w:rsidRPr="00736097" w:rsidRDefault="00B25D9E">
            <w:pPr>
              <w:spacing w:line="240" w:lineRule="auto"/>
              <w:ind w:right="-2"/>
              <w:rPr>
                <w:lang w:val="lt-LT"/>
              </w:rPr>
            </w:pPr>
            <w:r w:rsidRPr="00736097">
              <w:rPr>
                <w:rFonts w:eastAsia="Calibri"/>
                <w:bCs/>
                <w:sz w:val="20"/>
                <w:lang w:val="lt-LT"/>
              </w:rPr>
              <w:t>Austrija</w:t>
            </w:r>
          </w:p>
        </w:tc>
        <w:tc>
          <w:tcPr>
            <w:tcW w:w="5665" w:type="dxa"/>
            <w:tcBorders>
              <w:top w:val="nil"/>
              <w:left w:val="nil"/>
              <w:bottom w:val="nil"/>
              <w:right w:val="nil"/>
            </w:tcBorders>
            <w:shd w:val="clear" w:color="auto" w:fill="auto"/>
          </w:tcPr>
          <w:p w14:paraId="19208DD8" w14:textId="10882026" w:rsidR="00D77CF6" w:rsidRPr="00736097" w:rsidRDefault="00B25D9E">
            <w:pPr>
              <w:spacing w:line="240" w:lineRule="auto"/>
              <w:ind w:right="-2"/>
              <w:rPr>
                <w:lang w:val="lt-LT"/>
              </w:rPr>
            </w:pPr>
            <w:r w:rsidRPr="00736097">
              <w:rPr>
                <w:rFonts w:eastAsia="Calibri"/>
                <w:bCs/>
                <w:sz w:val="20"/>
                <w:lang w:val="lt-LT"/>
              </w:rPr>
              <w:t>Fixapost 50 Mikrogramm/ml + 5 mg/ml Augentropfen, Lösung</w:t>
            </w:r>
          </w:p>
        </w:tc>
      </w:tr>
      <w:tr w:rsidR="00D77CF6" w14:paraId="2AE915C6" w14:textId="77777777">
        <w:tc>
          <w:tcPr>
            <w:tcW w:w="3395" w:type="dxa"/>
            <w:tcBorders>
              <w:top w:val="nil"/>
              <w:left w:val="nil"/>
              <w:bottom w:val="nil"/>
              <w:right w:val="nil"/>
            </w:tcBorders>
            <w:shd w:val="clear" w:color="auto" w:fill="auto"/>
          </w:tcPr>
          <w:p w14:paraId="20EED564" w14:textId="77777777" w:rsidR="00D77CF6" w:rsidRPr="00736097" w:rsidRDefault="00B25D9E">
            <w:pPr>
              <w:spacing w:line="240" w:lineRule="auto"/>
              <w:ind w:right="-2"/>
              <w:rPr>
                <w:lang w:val="lt-LT"/>
              </w:rPr>
            </w:pPr>
            <w:r w:rsidRPr="00736097">
              <w:rPr>
                <w:rFonts w:eastAsia="Calibri"/>
                <w:bCs/>
                <w:sz w:val="20"/>
                <w:lang w:val="lt-LT"/>
              </w:rPr>
              <w:t>Belgija</w:t>
            </w:r>
          </w:p>
        </w:tc>
        <w:tc>
          <w:tcPr>
            <w:tcW w:w="5665" w:type="dxa"/>
            <w:tcBorders>
              <w:top w:val="nil"/>
              <w:left w:val="nil"/>
              <w:bottom w:val="nil"/>
              <w:right w:val="nil"/>
            </w:tcBorders>
            <w:shd w:val="clear" w:color="auto" w:fill="auto"/>
          </w:tcPr>
          <w:p w14:paraId="057D1707" w14:textId="0622EE62" w:rsidR="00D77CF6" w:rsidRPr="00736097" w:rsidRDefault="00B25D9E">
            <w:pPr>
              <w:spacing w:line="240" w:lineRule="auto"/>
              <w:ind w:right="-2"/>
              <w:rPr>
                <w:lang w:val="lt-LT"/>
              </w:rPr>
            </w:pPr>
            <w:r w:rsidRPr="00736097">
              <w:rPr>
                <w:rFonts w:eastAsia="Calibri"/>
                <w:bCs/>
                <w:sz w:val="20"/>
                <w:lang w:val="lt-LT"/>
              </w:rPr>
              <w:t>Fixaprost 50 microgrammes/ml + 5 mg/ml, collyre en solution</w:t>
            </w:r>
          </w:p>
        </w:tc>
      </w:tr>
      <w:tr w:rsidR="00D77CF6" w14:paraId="6417BC81" w14:textId="77777777">
        <w:tc>
          <w:tcPr>
            <w:tcW w:w="3395" w:type="dxa"/>
            <w:tcBorders>
              <w:top w:val="nil"/>
              <w:left w:val="nil"/>
              <w:bottom w:val="nil"/>
              <w:right w:val="nil"/>
            </w:tcBorders>
            <w:shd w:val="clear" w:color="auto" w:fill="auto"/>
          </w:tcPr>
          <w:p w14:paraId="4AF5298A" w14:textId="77777777" w:rsidR="00D77CF6" w:rsidRPr="00736097" w:rsidRDefault="00B25D9E">
            <w:pPr>
              <w:spacing w:line="240" w:lineRule="auto"/>
              <w:ind w:right="-2"/>
              <w:rPr>
                <w:lang w:val="lt-LT"/>
              </w:rPr>
            </w:pPr>
            <w:r w:rsidRPr="00736097">
              <w:rPr>
                <w:rFonts w:eastAsia="Calibri"/>
                <w:bCs/>
                <w:sz w:val="20"/>
                <w:lang w:val="lt-LT"/>
              </w:rPr>
              <w:t>Bulgarija, Nyderlandai, Graikija, Kipras, Liuksemburgas</w:t>
            </w:r>
          </w:p>
        </w:tc>
        <w:tc>
          <w:tcPr>
            <w:tcW w:w="5665" w:type="dxa"/>
            <w:tcBorders>
              <w:top w:val="nil"/>
              <w:left w:val="nil"/>
              <w:bottom w:val="nil"/>
              <w:right w:val="nil"/>
            </w:tcBorders>
            <w:shd w:val="clear" w:color="auto" w:fill="auto"/>
          </w:tcPr>
          <w:p w14:paraId="3A478074" w14:textId="77777777" w:rsidR="00D77CF6" w:rsidRPr="00736097" w:rsidRDefault="00B25D9E">
            <w:pPr>
              <w:spacing w:line="240" w:lineRule="auto"/>
              <w:ind w:right="-2"/>
              <w:rPr>
                <w:lang w:val="lt-LT"/>
              </w:rPr>
            </w:pPr>
            <w:r w:rsidRPr="00736097">
              <w:rPr>
                <w:rFonts w:eastAsia="Calibri"/>
                <w:bCs/>
                <w:sz w:val="20"/>
                <w:lang w:val="et-EE"/>
              </w:rPr>
              <w:t>FIXAPROST</w:t>
            </w:r>
          </w:p>
        </w:tc>
      </w:tr>
      <w:tr w:rsidR="00D77CF6" w:rsidRPr="00CA1BDC" w14:paraId="207730ED" w14:textId="77777777">
        <w:tc>
          <w:tcPr>
            <w:tcW w:w="3395" w:type="dxa"/>
            <w:tcBorders>
              <w:top w:val="nil"/>
              <w:left w:val="nil"/>
              <w:bottom w:val="nil"/>
              <w:right w:val="nil"/>
            </w:tcBorders>
            <w:shd w:val="clear" w:color="auto" w:fill="auto"/>
          </w:tcPr>
          <w:p w14:paraId="7DA77CF2" w14:textId="77777777" w:rsidR="00D77CF6" w:rsidRPr="00736097" w:rsidRDefault="00B25D9E">
            <w:pPr>
              <w:spacing w:line="240" w:lineRule="auto"/>
              <w:ind w:right="-2"/>
              <w:rPr>
                <w:lang w:val="lt-LT"/>
              </w:rPr>
            </w:pPr>
            <w:r w:rsidRPr="00736097">
              <w:rPr>
                <w:rFonts w:eastAsia="Calibri"/>
                <w:bCs/>
                <w:sz w:val="20"/>
                <w:lang w:val="et-EE"/>
              </w:rPr>
              <w:t>Kroatija</w:t>
            </w:r>
          </w:p>
        </w:tc>
        <w:tc>
          <w:tcPr>
            <w:tcW w:w="5665" w:type="dxa"/>
            <w:tcBorders>
              <w:top w:val="nil"/>
              <w:left w:val="nil"/>
              <w:bottom w:val="nil"/>
              <w:right w:val="nil"/>
            </w:tcBorders>
            <w:shd w:val="clear" w:color="auto" w:fill="auto"/>
          </w:tcPr>
          <w:p w14:paraId="1D71592F" w14:textId="336FD393" w:rsidR="00D77CF6" w:rsidRPr="00736097" w:rsidRDefault="00B25D9E">
            <w:pPr>
              <w:spacing w:line="240" w:lineRule="auto"/>
              <w:ind w:right="-2"/>
              <w:rPr>
                <w:lang w:val="lt-LT"/>
              </w:rPr>
            </w:pPr>
            <w:r w:rsidRPr="00736097">
              <w:rPr>
                <w:rFonts w:eastAsia="Calibri"/>
                <w:bCs/>
                <w:sz w:val="20"/>
                <w:lang w:val="et-EE"/>
              </w:rPr>
              <w:t>Fixalpost 50 mikrograma/ml + 5 mg/ml kapi za oko, otopina</w:t>
            </w:r>
          </w:p>
        </w:tc>
      </w:tr>
      <w:tr w:rsidR="00D77CF6" w14:paraId="45D894D7" w14:textId="77777777">
        <w:tc>
          <w:tcPr>
            <w:tcW w:w="3395" w:type="dxa"/>
            <w:tcBorders>
              <w:top w:val="nil"/>
              <w:left w:val="nil"/>
              <w:bottom w:val="nil"/>
              <w:right w:val="nil"/>
            </w:tcBorders>
            <w:shd w:val="clear" w:color="auto" w:fill="auto"/>
          </w:tcPr>
          <w:p w14:paraId="179CA734" w14:textId="77777777" w:rsidR="00D77CF6" w:rsidRPr="00736097" w:rsidRDefault="00B25D9E">
            <w:pPr>
              <w:spacing w:line="240" w:lineRule="auto"/>
              <w:ind w:right="-2"/>
              <w:rPr>
                <w:lang w:val="lt-LT"/>
              </w:rPr>
            </w:pPr>
            <w:r w:rsidRPr="00736097">
              <w:rPr>
                <w:rFonts w:eastAsia="Calibri"/>
                <w:bCs/>
                <w:sz w:val="20"/>
                <w:lang w:val="et-EE"/>
              </w:rPr>
              <w:t>Čekija</w:t>
            </w:r>
          </w:p>
        </w:tc>
        <w:tc>
          <w:tcPr>
            <w:tcW w:w="5665" w:type="dxa"/>
            <w:tcBorders>
              <w:top w:val="nil"/>
              <w:left w:val="nil"/>
              <w:bottom w:val="nil"/>
              <w:right w:val="nil"/>
            </w:tcBorders>
            <w:shd w:val="clear" w:color="auto" w:fill="auto"/>
          </w:tcPr>
          <w:p w14:paraId="6FC724B8" w14:textId="77777777" w:rsidR="00D77CF6" w:rsidRPr="00736097" w:rsidRDefault="00B25D9E">
            <w:pPr>
              <w:spacing w:line="240" w:lineRule="auto"/>
              <w:ind w:right="-2"/>
              <w:rPr>
                <w:lang w:val="lt-LT"/>
              </w:rPr>
            </w:pPr>
            <w:r w:rsidRPr="00736097">
              <w:rPr>
                <w:rFonts w:eastAsia="Calibri"/>
                <w:bCs/>
                <w:sz w:val="20"/>
                <w:lang w:val="lv-LV"/>
              </w:rPr>
              <w:t>Fixapost</w:t>
            </w:r>
          </w:p>
        </w:tc>
      </w:tr>
      <w:tr w:rsidR="00D77CF6" w:rsidRPr="001B506B" w14:paraId="135DBD91" w14:textId="77777777">
        <w:tc>
          <w:tcPr>
            <w:tcW w:w="3395" w:type="dxa"/>
            <w:tcBorders>
              <w:top w:val="nil"/>
              <w:left w:val="nil"/>
              <w:bottom w:val="nil"/>
              <w:right w:val="nil"/>
            </w:tcBorders>
            <w:shd w:val="clear" w:color="auto" w:fill="auto"/>
          </w:tcPr>
          <w:p w14:paraId="20D2C876" w14:textId="77777777" w:rsidR="00D77CF6" w:rsidRPr="00736097" w:rsidRDefault="00B25D9E">
            <w:pPr>
              <w:spacing w:line="240" w:lineRule="auto"/>
              <w:ind w:right="-2"/>
              <w:rPr>
                <w:lang w:val="lt-LT"/>
              </w:rPr>
            </w:pPr>
            <w:r w:rsidRPr="00736097">
              <w:rPr>
                <w:rFonts w:eastAsia="Calibri"/>
                <w:bCs/>
                <w:sz w:val="20"/>
                <w:lang w:val="et-EE"/>
              </w:rPr>
              <w:t>Vokietija</w:t>
            </w:r>
          </w:p>
        </w:tc>
        <w:tc>
          <w:tcPr>
            <w:tcW w:w="5665" w:type="dxa"/>
            <w:tcBorders>
              <w:top w:val="nil"/>
              <w:left w:val="nil"/>
              <w:bottom w:val="nil"/>
              <w:right w:val="nil"/>
            </w:tcBorders>
            <w:shd w:val="clear" w:color="auto" w:fill="auto"/>
          </w:tcPr>
          <w:p w14:paraId="51610DDD" w14:textId="64147E0D" w:rsidR="00D77CF6" w:rsidRPr="00736097" w:rsidRDefault="00B25D9E">
            <w:pPr>
              <w:spacing w:line="240" w:lineRule="auto"/>
              <w:ind w:right="-2"/>
              <w:rPr>
                <w:lang w:val="lt-LT"/>
              </w:rPr>
            </w:pPr>
            <w:r w:rsidRPr="00736097">
              <w:rPr>
                <w:rFonts w:eastAsia="Calibri"/>
                <w:bCs/>
                <w:sz w:val="20"/>
                <w:lang w:val="lv-LV"/>
              </w:rPr>
              <w:t>Fixaprost 50 Mikrogramm/ml + 5 mg/ml Augentropfen, Lösung</w:t>
            </w:r>
          </w:p>
        </w:tc>
      </w:tr>
      <w:tr w:rsidR="00D77CF6" w14:paraId="0A3EB2E3" w14:textId="77777777">
        <w:tc>
          <w:tcPr>
            <w:tcW w:w="3395" w:type="dxa"/>
            <w:tcBorders>
              <w:top w:val="nil"/>
              <w:left w:val="nil"/>
              <w:bottom w:val="nil"/>
              <w:right w:val="nil"/>
            </w:tcBorders>
            <w:shd w:val="clear" w:color="auto" w:fill="auto"/>
          </w:tcPr>
          <w:p w14:paraId="0E3E14D5" w14:textId="77777777" w:rsidR="00D77CF6" w:rsidRPr="00736097" w:rsidRDefault="00B25D9E">
            <w:pPr>
              <w:spacing w:line="240" w:lineRule="auto"/>
              <w:ind w:right="-2"/>
              <w:rPr>
                <w:lang w:val="lt-LT"/>
              </w:rPr>
            </w:pPr>
            <w:r w:rsidRPr="00736097">
              <w:rPr>
                <w:rFonts w:eastAsia="Calibri"/>
                <w:bCs/>
                <w:sz w:val="20"/>
                <w:lang w:val="lv-LV"/>
              </w:rPr>
              <w:t>Švedija, Danija, Suomija, Islandija, Norvegija</w:t>
            </w:r>
          </w:p>
        </w:tc>
        <w:tc>
          <w:tcPr>
            <w:tcW w:w="5665" w:type="dxa"/>
            <w:tcBorders>
              <w:top w:val="nil"/>
              <w:left w:val="nil"/>
              <w:bottom w:val="nil"/>
              <w:right w:val="nil"/>
            </w:tcBorders>
            <w:shd w:val="clear" w:color="auto" w:fill="auto"/>
          </w:tcPr>
          <w:p w14:paraId="7EB1E8D8" w14:textId="77777777" w:rsidR="00D77CF6" w:rsidRPr="00736097" w:rsidRDefault="00B25D9E">
            <w:pPr>
              <w:spacing w:line="240" w:lineRule="auto"/>
              <w:ind w:right="-2"/>
              <w:rPr>
                <w:lang w:val="lt-LT"/>
              </w:rPr>
            </w:pPr>
            <w:r w:rsidRPr="00736097">
              <w:rPr>
                <w:rFonts w:eastAsia="Calibri"/>
                <w:bCs/>
                <w:sz w:val="20"/>
                <w:lang w:val="lv-LV"/>
              </w:rPr>
              <w:t>Fixopost</w:t>
            </w:r>
          </w:p>
        </w:tc>
      </w:tr>
      <w:tr w:rsidR="00D77CF6" w14:paraId="6184C1CA" w14:textId="77777777">
        <w:tc>
          <w:tcPr>
            <w:tcW w:w="3395" w:type="dxa"/>
            <w:tcBorders>
              <w:top w:val="nil"/>
              <w:left w:val="nil"/>
              <w:bottom w:val="nil"/>
              <w:right w:val="nil"/>
            </w:tcBorders>
            <w:shd w:val="clear" w:color="auto" w:fill="auto"/>
          </w:tcPr>
          <w:p w14:paraId="2261713A" w14:textId="77777777" w:rsidR="00D77CF6" w:rsidRPr="00736097" w:rsidRDefault="00B25D9E">
            <w:pPr>
              <w:spacing w:line="240" w:lineRule="auto"/>
              <w:ind w:right="-2"/>
              <w:rPr>
                <w:lang w:val="lt-LT"/>
              </w:rPr>
            </w:pPr>
            <w:r w:rsidRPr="00736097">
              <w:rPr>
                <w:rFonts w:eastAsia="Calibri"/>
                <w:bCs/>
                <w:sz w:val="20"/>
                <w:lang w:val="et-EE"/>
              </w:rPr>
              <w:t>Estija</w:t>
            </w:r>
          </w:p>
        </w:tc>
        <w:tc>
          <w:tcPr>
            <w:tcW w:w="5665" w:type="dxa"/>
            <w:tcBorders>
              <w:top w:val="nil"/>
              <w:left w:val="nil"/>
              <w:bottom w:val="nil"/>
              <w:right w:val="nil"/>
            </w:tcBorders>
            <w:shd w:val="clear" w:color="auto" w:fill="auto"/>
          </w:tcPr>
          <w:p w14:paraId="0F4191D8" w14:textId="77777777" w:rsidR="00D77CF6" w:rsidRPr="00736097" w:rsidRDefault="00B25D9E">
            <w:pPr>
              <w:spacing w:line="240" w:lineRule="auto"/>
              <w:ind w:right="-2"/>
              <w:rPr>
                <w:lang w:val="lt-LT"/>
              </w:rPr>
            </w:pPr>
            <w:r w:rsidRPr="00736097">
              <w:rPr>
                <w:rFonts w:eastAsia="Calibri"/>
                <w:bCs/>
                <w:sz w:val="20"/>
                <w:lang w:val="et-EE"/>
              </w:rPr>
              <w:t>FIXOPOST</w:t>
            </w:r>
          </w:p>
        </w:tc>
      </w:tr>
      <w:tr w:rsidR="00D77CF6" w14:paraId="29BBEE09" w14:textId="77777777">
        <w:tc>
          <w:tcPr>
            <w:tcW w:w="3395" w:type="dxa"/>
            <w:tcBorders>
              <w:top w:val="nil"/>
              <w:left w:val="nil"/>
              <w:bottom w:val="nil"/>
              <w:right w:val="nil"/>
            </w:tcBorders>
            <w:shd w:val="clear" w:color="auto" w:fill="auto"/>
          </w:tcPr>
          <w:p w14:paraId="3D0B56AC" w14:textId="77777777" w:rsidR="00D77CF6" w:rsidRPr="00736097" w:rsidRDefault="00B25D9E">
            <w:pPr>
              <w:spacing w:line="240" w:lineRule="auto"/>
              <w:ind w:right="-2"/>
              <w:rPr>
                <w:lang w:val="lt-LT"/>
              </w:rPr>
            </w:pPr>
            <w:r w:rsidRPr="00736097">
              <w:rPr>
                <w:rFonts w:eastAsia="Calibri"/>
                <w:bCs/>
                <w:sz w:val="20"/>
                <w:lang w:val="et-EE"/>
              </w:rPr>
              <w:t>Ispanija</w:t>
            </w:r>
          </w:p>
        </w:tc>
        <w:tc>
          <w:tcPr>
            <w:tcW w:w="5665" w:type="dxa"/>
            <w:tcBorders>
              <w:top w:val="nil"/>
              <w:left w:val="nil"/>
              <w:bottom w:val="nil"/>
              <w:right w:val="nil"/>
            </w:tcBorders>
            <w:shd w:val="clear" w:color="auto" w:fill="auto"/>
          </w:tcPr>
          <w:p w14:paraId="7708DAB9" w14:textId="77777777" w:rsidR="00D77CF6" w:rsidRPr="00736097" w:rsidRDefault="00B25D9E">
            <w:pPr>
              <w:spacing w:line="240" w:lineRule="auto"/>
              <w:ind w:right="-2"/>
              <w:rPr>
                <w:lang w:val="lt-LT"/>
              </w:rPr>
            </w:pPr>
            <w:r w:rsidRPr="00736097">
              <w:rPr>
                <w:rFonts w:eastAsia="Calibri"/>
                <w:bCs/>
                <w:sz w:val="20"/>
                <w:lang w:val="lv-LV"/>
              </w:rPr>
              <w:t>FIXAPROST 50 microgramos/ml + 5 mg/ml, colirio en solución</w:t>
            </w:r>
          </w:p>
        </w:tc>
      </w:tr>
      <w:tr w:rsidR="00D77CF6" w14:paraId="3A49A788" w14:textId="77777777">
        <w:tc>
          <w:tcPr>
            <w:tcW w:w="3395" w:type="dxa"/>
            <w:tcBorders>
              <w:top w:val="nil"/>
              <w:left w:val="nil"/>
              <w:bottom w:val="nil"/>
              <w:right w:val="nil"/>
            </w:tcBorders>
            <w:shd w:val="clear" w:color="auto" w:fill="auto"/>
          </w:tcPr>
          <w:p w14:paraId="29A78871" w14:textId="77777777" w:rsidR="00D77CF6" w:rsidRPr="00736097" w:rsidRDefault="00B25D9E">
            <w:pPr>
              <w:spacing w:line="240" w:lineRule="auto"/>
              <w:ind w:right="-2"/>
              <w:rPr>
                <w:lang w:val="lt-LT"/>
              </w:rPr>
            </w:pPr>
            <w:r w:rsidRPr="00736097">
              <w:rPr>
                <w:rFonts w:eastAsia="Calibri"/>
                <w:bCs/>
                <w:sz w:val="20"/>
                <w:lang w:val="lt-LT"/>
              </w:rPr>
              <w:t>Prancūzija</w:t>
            </w:r>
          </w:p>
        </w:tc>
        <w:tc>
          <w:tcPr>
            <w:tcW w:w="5665" w:type="dxa"/>
            <w:tcBorders>
              <w:top w:val="nil"/>
              <w:left w:val="nil"/>
              <w:bottom w:val="nil"/>
              <w:right w:val="nil"/>
            </w:tcBorders>
            <w:shd w:val="clear" w:color="auto" w:fill="auto"/>
          </w:tcPr>
          <w:p w14:paraId="1B2A213B" w14:textId="77777777" w:rsidR="00D77CF6" w:rsidRPr="00736097" w:rsidRDefault="00B25D9E">
            <w:pPr>
              <w:spacing w:line="240" w:lineRule="auto"/>
              <w:ind w:right="-2"/>
              <w:rPr>
                <w:lang w:val="lt-LT"/>
              </w:rPr>
            </w:pPr>
            <w:r w:rsidRPr="00736097">
              <w:rPr>
                <w:rFonts w:eastAsia="Calibri"/>
                <w:bCs/>
                <w:sz w:val="20"/>
                <w:lang w:val="lv-LV"/>
              </w:rPr>
              <w:t>FIXAPOST 50 microgrammes/ml + 5 mg/ml, collyre en solution</w:t>
            </w:r>
          </w:p>
        </w:tc>
      </w:tr>
      <w:tr w:rsidR="00D77CF6" w14:paraId="4CA220B8" w14:textId="77777777">
        <w:tc>
          <w:tcPr>
            <w:tcW w:w="3395" w:type="dxa"/>
            <w:tcBorders>
              <w:top w:val="nil"/>
              <w:left w:val="nil"/>
              <w:bottom w:val="nil"/>
              <w:right w:val="nil"/>
            </w:tcBorders>
            <w:shd w:val="clear" w:color="auto" w:fill="auto"/>
          </w:tcPr>
          <w:p w14:paraId="36ACD0BE" w14:textId="77777777" w:rsidR="00D77CF6" w:rsidRPr="00736097" w:rsidRDefault="00B25D9E">
            <w:pPr>
              <w:spacing w:line="240" w:lineRule="auto"/>
              <w:ind w:right="-2"/>
              <w:rPr>
                <w:lang w:val="lt-LT"/>
              </w:rPr>
            </w:pPr>
            <w:r w:rsidRPr="00736097">
              <w:rPr>
                <w:rFonts w:eastAsia="Calibri"/>
                <w:bCs/>
                <w:sz w:val="20"/>
                <w:lang w:val="lv-LV"/>
              </w:rPr>
              <w:t>Italija, Lenkija, Slovakija</w:t>
            </w:r>
          </w:p>
        </w:tc>
        <w:tc>
          <w:tcPr>
            <w:tcW w:w="5665" w:type="dxa"/>
            <w:tcBorders>
              <w:top w:val="nil"/>
              <w:left w:val="nil"/>
              <w:bottom w:val="nil"/>
              <w:right w:val="nil"/>
            </w:tcBorders>
            <w:shd w:val="clear" w:color="auto" w:fill="auto"/>
          </w:tcPr>
          <w:p w14:paraId="1ED0D5AD" w14:textId="77777777" w:rsidR="00D77CF6" w:rsidRPr="00736097" w:rsidRDefault="00B25D9E">
            <w:pPr>
              <w:spacing w:line="240" w:lineRule="auto"/>
              <w:ind w:right="-2"/>
              <w:rPr>
                <w:lang w:val="lt-LT"/>
              </w:rPr>
            </w:pPr>
            <w:r w:rsidRPr="00736097">
              <w:rPr>
                <w:rFonts w:eastAsia="Calibri"/>
                <w:bCs/>
                <w:sz w:val="20"/>
                <w:lang w:val="lv-LV"/>
              </w:rPr>
              <w:t>FIXAPOST</w:t>
            </w:r>
          </w:p>
        </w:tc>
      </w:tr>
      <w:tr w:rsidR="00D77CF6" w:rsidRPr="00CA1BDC" w14:paraId="47B05F2F" w14:textId="77777777">
        <w:tc>
          <w:tcPr>
            <w:tcW w:w="3395" w:type="dxa"/>
            <w:tcBorders>
              <w:top w:val="nil"/>
              <w:left w:val="nil"/>
              <w:bottom w:val="nil"/>
              <w:right w:val="nil"/>
            </w:tcBorders>
            <w:shd w:val="clear" w:color="auto" w:fill="auto"/>
          </w:tcPr>
          <w:p w14:paraId="02CE08A4" w14:textId="77777777" w:rsidR="00D77CF6" w:rsidRPr="00736097" w:rsidRDefault="00B25D9E">
            <w:pPr>
              <w:spacing w:line="240" w:lineRule="auto"/>
              <w:ind w:right="-2"/>
              <w:rPr>
                <w:lang w:val="lt-LT"/>
              </w:rPr>
            </w:pPr>
            <w:r w:rsidRPr="00736097">
              <w:rPr>
                <w:rFonts w:eastAsia="Calibri"/>
                <w:bCs/>
                <w:sz w:val="20"/>
                <w:lang w:val="lv-LV"/>
              </w:rPr>
              <w:t>Lietuva</w:t>
            </w:r>
          </w:p>
        </w:tc>
        <w:tc>
          <w:tcPr>
            <w:tcW w:w="5665" w:type="dxa"/>
            <w:tcBorders>
              <w:top w:val="nil"/>
              <w:left w:val="nil"/>
              <w:bottom w:val="nil"/>
              <w:right w:val="nil"/>
            </w:tcBorders>
            <w:shd w:val="clear" w:color="auto" w:fill="auto"/>
          </w:tcPr>
          <w:p w14:paraId="352E2E3B" w14:textId="77777777" w:rsidR="00D77CF6" w:rsidRPr="00736097" w:rsidRDefault="00B25D9E">
            <w:pPr>
              <w:spacing w:line="240" w:lineRule="auto"/>
              <w:ind w:right="-2"/>
              <w:rPr>
                <w:lang w:val="lt-LT"/>
              </w:rPr>
            </w:pPr>
            <w:r w:rsidRPr="00736097">
              <w:rPr>
                <w:rFonts w:eastAsia="Calibri"/>
                <w:bCs/>
                <w:sz w:val="20"/>
                <w:lang w:val="lv-LV"/>
              </w:rPr>
              <w:t>Fixopost 50 mikrogramų/5 mg/ml akių lašai (tirpalas)</w:t>
            </w:r>
          </w:p>
        </w:tc>
      </w:tr>
      <w:tr w:rsidR="00D77CF6" w14:paraId="4E3F1680" w14:textId="77777777">
        <w:tc>
          <w:tcPr>
            <w:tcW w:w="3395" w:type="dxa"/>
            <w:tcBorders>
              <w:top w:val="nil"/>
              <w:left w:val="nil"/>
              <w:bottom w:val="nil"/>
              <w:right w:val="nil"/>
            </w:tcBorders>
            <w:shd w:val="clear" w:color="auto" w:fill="auto"/>
          </w:tcPr>
          <w:p w14:paraId="54405F12" w14:textId="77777777" w:rsidR="00D77CF6" w:rsidRPr="00736097" w:rsidRDefault="00B25D9E">
            <w:pPr>
              <w:spacing w:line="240" w:lineRule="auto"/>
              <w:ind w:right="-2"/>
              <w:rPr>
                <w:lang w:val="lt-LT"/>
              </w:rPr>
            </w:pPr>
            <w:r w:rsidRPr="00736097">
              <w:rPr>
                <w:rFonts w:eastAsia="Calibri"/>
                <w:bCs/>
                <w:sz w:val="20"/>
                <w:lang w:val="lv-LV"/>
              </w:rPr>
              <w:t>Latvija</w:t>
            </w:r>
          </w:p>
        </w:tc>
        <w:tc>
          <w:tcPr>
            <w:tcW w:w="5665" w:type="dxa"/>
            <w:tcBorders>
              <w:top w:val="nil"/>
              <w:left w:val="nil"/>
              <w:bottom w:val="nil"/>
              <w:right w:val="nil"/>
            </w:tcBorders>
            <w:shd w:val="clear" w:color="auto" w:fill="auto"/>
          </w:tcPr>
          <w:p w14:paraId="448C1CF1" w14:textId="77777777" w:rsidR="00D77CF6" w:rsidRPr="00736097" w:rsidRDefault="00B25D9E">
            <w:pPr>
              <w:spacing w:line="240" w:lineRule="auto"/>
              <w:ind w:right="-2"/>
              <w:rPr>
                <w:lang w:val="lt-LT"/>
              </w:rPr>
            </w:pPr>
            <w:r w:rsidRPr="00736097">
              <w:rPr>
                <w:rFonts w:eastAsia="Calibri"/>
                <w:bCs/>
                <w:sz w:val="20"/>
                <w:lang w:val="lv-LV"/>
              </w:rPr>
              <w:t>Fixopost 50 mikrogrami/5 mg/ml acu pilieni, šķīdums</w:t>
            </w:r>
          </w:p>
        </w:tc>
      </w:tr>
      <w:tr w:rsidR="00D77CF6" w14:paraId="553529AD" w14:textId="77777777">
        <w:tc>
          <w:tcPr>
            <w:tcW w:w="3395" w:type="dxa"/>
            <w:tcBorders>
              <w:top w:val="nil"/>
              <w:left w:val="nil"/>
              <w:bottom w:val="nil"/>
              <w:right w:val="nil"/>
            </w:tcBorders>
            <w:shd w:val="clear" w:color="auto" w:fill="auto"/>
          </w:tcPr>
          <w:p w14:paraId="654F1B3E" w14:textId="77777777" w:rsidR="00D77CF6" w:rsidRPr="00736097" w:rsidRDefault="00B25D9E">
            <w:pPr>
              <w:spacing w:line="240" w:lineRule="auto"/>
              <w:ind w:right="-2"/>
              <w:rPr>
                <w:lang w:val="lt-LT"/>
              </w:rPr>
            </w:pPr>
            <w:r w:rsidRPr="00736097">
              <w:rPr>
                <w:rFonts w:eastAsia="Calibri"/>
                <w:bCs/>
                <w:sz w:val="20"/>
                <w:lang w:val="lv-LV"/>
              </w:rPr>
              <w:t>Portugalija</w:t>
            </w:r>
          </w:p>
        </w:tc>
        <w:tc>
          <w:tcPr>
            <w:tcW w:w="5665" w:type="dxa"/>
            <w:tcBorders>
              <w:top w:val="nil"/>
              <w:left w:val="nil"/>
              <w:bottom w:val="nil"/>
              <w:right w:val="nil"/>
            </w:tcBorders>
            <w:shd w:val="clear" w:color="auto" w:fill="auto"/>
          </w:tcPr>
          <w:p w14:paraId="26D50532" w14:textId="77777777" w:rsidR="00D77CF6" w:rsidRPr="00736097" w:rsidRDefault="00B25D9E">
            <w:pPr>
              <w:spacing w:line="240" w:lineRule="auto"/>
              <w:ind w:right="-2"/>
              <w:rPr>
                <w:lang w:val="lt-LT"/>
              </w:rPr>
            </w:pPr>
            <w:r w:rsidRPr="00736097">
              <w:rPr>
                <w:rFonts w:eastAsia="Calibri"/>
                <w:bCs/>
                <w:sz w:val="20"/>
                <w:lang w:val="lv-LV"/>
              </w:rPr>
              <w:t>Monoprost Duo</w:t>
            </w:r>
          </w:p>
        </w:tc>
      </w:tr>
      <w:tr w:rsidR="00D77CF6" w14:paraId="7DC1A297" w14:textId="77777777">
        <w:tc>
          <w:tcPr>
            <w:tcW w:w="3395" w:type="dxa"/>
            <w:tcBorders>
              <w:top w:val="nil"/>
              <w:left w:val="nil"/>
              <w:bottom w:val="nil"/>
              <w:right w:val="nil"/>
            </w:tcBorders>
            <w:shd w:val="clear" w:color="auto" w:fill="auto"/>
          </w:tcPr>
          <w:p w14:paraId="738CBBDE" w14:textId="77777777" w:rsidR="00D77CF6" w:rsidRPr="00736097" w:rsidRDefault="00B25D9E">
            <w:pPr>
              <w:spacing w:line="240" w:lineRule="auto"/>
              <w:ind w:right="-2"/>
              <w:rPr>
                <w:lang w:val="lt-LT"/>
              </w:rPr>
            </w:pPr>
            <w:r w:rsidRPr="00736097">
              <w:rPr>
                <w:rFonts w:eastAsia="Calibri"/>
                <w:bCs/>
                <w:sz w:val="20"/>
                <w:lang w:val="lv-LV"/>
              </w:rPr>
              <w:t>Rumunija</w:t>
            </w:r>
          </w:p>
        </w:tc>
        <w:tc>
          <w:tcPr>
            <w:tcW w:w="5665" w:type="dxa"/>
            <w:tcBorders>
              <w:top w:val="nil"/>
              <w:left w:val="nil"/>
              <w:bottom w:val="nil"/>
              <w:right w:val="nil"/>
            </w:tcBorders>
            <w:shd w:val="clear" w:color="auto" w:fill="auto"/>
          </w:tcPr>
          <w:p w14:paraId="791034AC" w14:textId="77777777" w:rsidR="00D77CF6" w:rsidRPr="00736097" w:rsidRDefault="00B25D9E">
            <w:pPr>
              <w:spacing w:line="240" w:lineRule="auto"/>
              <w:ind w:right="-2"/>
              <w:rPr>
                <w:lang w:val="lt-LT"/>
              </w:rPr>
            </w:pPr>
            <w:r w:rsidRPr="00736097">
              <w:rPr>
                <w:rFonts w:eastAsia="Calibri"/>
                <w:bCs/>
                <w:sz w:val="20"/>
                <w:lang w:val="lv-LV"/>
              </w:rPr>
              <w:t>Fixanpost 50 micrograme/ml + 5 mg/ml Picǎturi oftalmice, soluție</w:t>
            </w:r>
          </w:p>
        </w:tc>
      </w:tr>
      <w:tr w:rsidR="00D77CF6" w:rsidRPr="00CA1BDC" w14:paraId="117684E7" w14:textId="77777777">
        <w:tc>
          <w:tcPr>
            <w:tcW w:w="3395" w:type="dxa"/>
            <w:tcBorders>
              <w:top w:val="nil"/>
              <w:left w:val="nil"/>
              <w:bottom w:val="nil"/>
              <w:right w:val="nil"/>
            </w:tcBorders>
            <w:shd w:val="clear" w:color="auto" w:fill="auto"/>
          </w:tcPr>
          <w:p w14:paraId="088781A8" w14:textId="77777777" w:rsidR="00D77CF6" w:rsidRPr="00736097" w:rsidRDefault="00B25D9E">
            <w:pPr>
              <w:spacing w:line="240" w:lineRule="auto"/>
              <w:ind w:right="-2"/>
              <w:rPr>
                <w:lang w:val="lt-LT"/>
              </w:rPr>
            </w:pPr>
            <w:r w:rsidRPr="00736097">
              <w:rPr>
                <w:rFonts w:eastAsia="Calibri"/>
                <w:bCs/>
                <w:sz w:val="20"/>
                <w:lang w:val="lv-LV"/>
              </w:rPr>
              <w:t>Slovėnija</w:t>
            </w:r>
          </w:p>
        </w:tc>
        <w:tc>
          <w:tcPr>
            <w:tcW w:w="5665" w:type="dxa"/>
            <w:tcBorders>
              <w:top w:val="nil"/>
              <w:left w:val="nil"/>
              <w:bottom w:val="nil"/>
              <w:right w:val="nil"/>
            </w:tcBorders>
            <w:shd w:val="clear" w:color="auto" w:fill="auto"/>
          </w:tcPr>
          <w:p w14:paraId="5185B4D1" w14:textId="77777777" w:rsidR="00D77CF6" w:rsidRPr="00736097" w:rsidRDefault="00B25D9E">
            <w:pPr>
              <w:spacing w:line="240" w:lineRule="auto"/>
              <w:ind w:right="-2"/>
              <w:rPr>
                <w:lang w:val="lt-LT"/>
              </w:rPr>
            </w:pPr>
            <w:r w:rsidRPr="00736097">
              <w:rPr>
                <w:rFonts w:eastAsia="Calibri"/>
                <w:bCs/>
                <w:sz w:val="20"/>
                <w:lang w:val="lv-LV"/>
              </w:rPr>
              <w:t>Fixalpost 50 mikrogramov/ml + 5 mg/ml, kapljice za oko, raztopina</w:t>
            </w:r>
          </w:p>
        </w:tc>
      </w:tr>
    </w:tbl>
    <w:p w14:paraId="0AD556A1" w14:textId="77777777" w:rsidR="00D77CF6" w:rsidRDefault="00D77CF6">
      <w:pPr>
        <w:ind w:right="-2"/>
        <w:rPr>
          <w:lang w:val="lt-LT"/>
        </w:rPr>
      </w:pPr>
    </w:p>
    <w:p w14:paraId="3569279F" w14:textId="77777777" w:rsidR="00D77CF6" w:rsidRDefault="00D77CF6">
      <w:pPr>
        <w:pStyle w:val="Betarp"/>
        <w:rPr>
          <w:b/>
          <w:lang w:val="lt-LT"/>
        </w:rPr>
      </w:pPr>
    </w:p>
    <w:p w14:paraId="1E21BD08" w14:textId="400D81F0" w:rsidR="00D77CF6" w:rsidRDefault="00B25D9E">
      <w:pPr>
        <w:pStyle w:val="Betarp"/>
        <w:rPr>
          <w:b/>
          <w:lang w:val="lt-LT"/>
        </w:rPr>
      </w:pPr>
      <w:r>
        <w:rPr>
          <w:b/>
          <w:bCs/>
          <w:lang w:val="lt-LT"/>
        </w:rPr>
        <w:t xml:space="preserve">Šis pakuotės </w:t>
      </w:r>
      <w:r>
        <w:rPr>
          <w:b/>
          <w:lang w:val="lt-LT"/>
        </w:rPr>
        <w:t>lapelis paskutinį kartą peržiūrėtas</w:t>
      </w:r>
      <w:r w:rsidR="00602534">
        <w:rPr>
          <w:b/>
          <w:lang w:val="lt-LT"/>
        </w:rPr>
        <w:t xml:space="preserve"> 2023-06-21</w:t>
      </w:r>
      <w:bookmarkStart w:id="79" w:name="_GoBack"/>
      <w:bookmarkEnd w:id="79"/>
      <w:r>
        <w:rPr>
          <w:b/>
          <w:lang w:val="lt-LT"/>
        </w:rPr>
        <w:t>.</w:t>
      </w:r>
    </w:p>
    <w:p w14:paraId="0F5D8D36" w14:textId="77777777" w:rsidR="00D77CF6" w:rsidRDefault="00D77CF6">
      <w:pPr>
        <w:pStyle w:val="Betarp"/>
        <w:rPr>
          <w:lang w:val="lt-LT"/>
        </w:rPr>
      </w:pPr>
    </w:p>
    <w:p w14:paraId="12FF1807" w14:textId="77777777" w:rsidR="00D77CF6" w:rsidRPr="00D7535D" w:rsidRDefault="00B25D9E">
      <w:pPr>
        <w:pStyle w:val="Betarp"/>
        <w:rPr>
          <w:lang w:val="lt-LT"/>
        </w:rPr>
      </w:pPr>
      <w:r>
        <w:rPr>
          <w:lang w:val="lt-LT"/>
        </w:rPr>
        <w:t>Išsami informacija apie šį vaistą pateikiama Valstybinės vaistų kontrolės tarnybos prie Lietuvos Respublikos sveikatos apsaugos ministerijos tinklalapyje</w:t>
      </w:r>
      <w:r>
        <w:rPr>
          <w:i/>
          <w:lang w:val="lt-LT"/>
        </w:rPr>
        <w:t xml:space="preserve"> </w:t>
      </w:r>
      <w:hyperlink r:id="rId22">
        <w:r>
          <w:rPr>
            <w:rStyle w:val="Internetosaitas"/>
            <w:rFonts w:eastAsia="SimSun"/>
            <w:lang w:val="lt-LT"/>
          </w:rPr>
          <w:t>http://www.vvkt.lt/</w:t>
        </w:r>
      </w:hyperlink>
      <w:r>
        <w:rPr>
          <w:lang w:val="lt-LT"/>
        </w:rPr>
        <w:t>.</w:t>
      </w:r>
    </w:p>
    <w:p w14:paraId="5F497BFD" w14:textId="77777777" w:rsidR="00D77CF6" w:rsidRDefault="00D77CF6">
      <w:pPr>
        <w:pStyle w:val="Betarp"/>
        <w:rPr>
          <w:lang w:val="lt-LT"/>
        </w:rPr>
      </w:pPr>
    </w:p>
    <w:p w14:paraId="212682A3" w14:textId="77777777" w:rsidR="00D77CF6" w:rsidRDefault="00D77CF6">
      <w:pPr>
        <w:pStyle w:val="Betarp"/>
        <w:rPr>
          <w:lang w:val="lt-LT"/>
        </w:rPr>
      </w:pPr>
    </w:p>
    <w:p w14:paraId="5D6E6601" w14:textId="77777777" w:rsidR="00D77CF6" w:rsidRPr="00D7535D" w:rsidRDefault="00D77CF6">
      <w:pPr>
        <w:rPr>
          <w:lang w:val="lt-LT"/>
        </w:rPr>
      </w:pPr>
    </w:p>
    <w:sectPr w:rsidR="00D77CF6" w:rsidRPr="00D7535D">
      <w:footerReference w:type="default" r:id="rId23"/>
      <w:pgSz w:w="11906" w:h="16838"/>
      <w:pgMar w:top="1134" w:right="1418" w:bottom="1134" w:left="1418" w:header="0" w:footer="737" w:gutter="0"/>
      <w:cols w:space="1296"/>
      <w:formProt w:val="0"/>
      <w:docGrid w:linePitch="326"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A1B66" w14:textId="77777777" w:rsidR="00602534" w:rsidRDefault="00602534">
      <w:pPr>
        <w:spacing w:line="240" w:lineRule="auto"/>
      </w:pPr>
      <w:r>
        <w:separator/>
      </w:r>
    </w:p>
  </w:endnote>
  <w:endnote w:type="continuationSeparator" w:id="0">
    <w:p w14:paraId="682A0D68" w14:textId="77777777" w:rsidR="00602534" w:rsidRDefault="006025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Times New Roman"/>
    <w:charset w:val="01"/>
    <w:family w:val="auto"/>
    <w:pitch w:val="variable"/>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B0948" w14:textId="77777777" w:rsidR="00602534" w:rsidRDefault="00602534">
    <w:pPr>
      <w:pStyle w:val="Porat"/>
      <w:ind w:right="360"/>
      <w:jc w:val="center"/>
    </w:pPr>
    <w:r>
      <w:rPr>
        <w:noProof/>
        <w:lang w:eastAsia="lt-LT"/>
      </w:rPr>
      <mc:AlternateContent>
        <mc:Choice Requires="wps">
          <w:drawing>
            <wp:anchor distT="0" distB="0" distL="0" distR="0" simplePos="0" relativeHeight="34" behindDoc="1" locked="0" layoutInCell="1" allowOverlap="1" wp14:anchorId="2A69CCF8" wp14:editId="37E90FE6">
              <wp:simplePos x="0" y="0"/>
              <wp:positionH relativeFrom="margin">
                <wp:align>right</wp:align>
              </wp:positionH>
              <wp:positionV relativeFrom="paragraph">
                <wp:posOffset>635</wp:posOffset>
              </wp:positionV>
              <wp:extent cx="141605" cy="160020"/>
              <wp:effectExtent l="0" t="0" r="0" b="0"/>
              <wp:wrapSquare wrapText="largest"/>
              <wp:docPr id="6" name="Kadras1"/>
              <wp:cNvGraphicFramePr/>
              <a:graphic xmlns:a="http://schemas.openxmlformats.org/drawingml/2006/main">
                <a:graphicData uri="http://schemas.microsoft.com/office/word/2010/wordprocessingShape">
                  <wps:wsp>
                    <wps:cNvSpPr/>
                    <wps:spPr>
                      <a:xfrm>
                        <a:off x="0" y="0"/>
                        <a:ext cx="141120" cy="159480"/>
                      </a:xfrm>
                      <a:prstGeom prst="rect">
                        <a:avLst/>
                      </a:prstGeom>
                      <a:noFill/>
                      <a:ln>
                        <a:noFill/>
                      </a:ln>
                    </wps:spPr>
                    <wps:style>
                      <a:lnRef idx="0">
                        <a:scrgbClr r="0" g="0" b="0"/>
                      </a:lnRef>
                      <a:fillRef idx="0">
                        <a:scrgbClr r="0" g="0" b="0"/>
                      </a:fillRef>
                      <a:effectRef idx="0">
                        <a:scrgbClr r="0" g="0" b="0"/>
                      </a:effectRef>
                      <a:fontRef idx="minor"/>
                    </wps:style>
                    <wps:txbx>
                      <w:txbxContent>
                        <w:p w14:paraId="0313C12D" w14:textId="280212D4" w:rsidR="00602534" w:rsidRDefault="00602534">
                          <w:pPr>
                            <w:pStyle w:val="Porat"/>
                          </w:pPr>
                          <w:r>
                            <w:rPr>
                              <w:rStyle w:val="Puslapionumeris"/>
                              <w:color w:val="000000"/>
                            </w:rPr>
                            <w:fldChar w:fldCharType="begin"/>
                          </w:r>
                          <w:r>
                            <w:rPr>
                              <w:rStyle w:val="Puslapionumeris"/>
                            </w:rPr>
                            <w:instrText>PAGE</w:instrText>
                          </w:r>
                          <w:r>
                            <w:rPr>
                              <w:rStyle w:val="Puslapionumeris"/>
                            </w:rPr>
                            <w:fldChar w:fldCharType="separate"/>
                          </w:r>
                          <w:r w:rsidR="002316D0">
                            <w:rPr>
                              <w:rStyle w:val="Puslapionumeris"/>
                              <w:noProof/>
                            </w:rPr>
                            <w:t>28</w:t>
                          </w:r>
                          <w:r>
                            <w:rPr>
                              <w:rStyle w:val="Puslapionumeris"/>
                            </w:rPr>
                            <w:fldChar w:fldCharType="end"/>
                          </w:r>
                        </w:p>
                      </w:txbxContent>
                    </wps:txbx>
                    <wps:bodyPr lIns="0" tIns="0" rIns="0" bIns="0">
                      <a:spAutoFit/>
                    </wps:bodyPr>
                  </wps:wsp>
                </a:graphicData>
              </a:graphic>
            </wp:anchor>
          </w:drawing>
        </mc:Choice>
        <mc:Fallback>
          <w:pict>
            <v:rect w14:anchorId="2A69CCF8" id="Kadras1" o:spid="_x0000_s1026" style="position:absolute;left:0;text-align:left;margin-left:-40.05pt;margin-top:.05pt;width:11.15pt;height:12.6pt;z-index:-50331644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" filled="f" stroked="f">
              <v:textbox style="mso-fit-shape-to-text:t" inset="0,0,0,0">
                <w:txbxContent>
                  <w:p w14:paraId="0313C12D" w14:textId="280212D4" w:rsidR="00602534" w:rsidRDefault="00602534">
                    <w:pPr>
                      <w:pStyle w:val="Porat"/>
                    </w:pPr>
                    <w:r>
                      <w:rPr>
                        <w:rStyle w:val="Puslapionumeris"/>
                        <w:color w:val="000000"/>
                      </w:rPr>
                      <w:fldChar w:fldCharType="begin"/>
                    </w:r>
                    <w:r>
                      <w:rPr>
                        <w:rStyle w:val="Puslapionumeris"/>
                      </w:rPr>
                      <w:instrText>PAGE</w:instrText>
                    </w:r>
                    <w:r>
                      <w:rPr>
                        <w:rStyle w:val="Puslapionumeris"/>
                      </w:rPr>
                      <w:fldChar w:fldCharType="separate"/>
                    </w:r>
                    <w:r w:rsidR="002316D0">
                      <w:rPr>
                        <w:rStyle w:val="Puslapionumeris"/>
                        <w:noProof/>
                      </w:rPr>
                      <w:t>28</w:t>
                    </w:r>
                    <w:r>
                      <w:rPr>
                        <w:rStyle w:val="Puslapionumeris"/>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E3962" w14:textId="77777777" w:rsidR="00602534" w:rsidRDefault="00602534">
      <w:pPr>
        <w:spacing w:line="240" w:lineRule="auto"/>
      </w:pPr>
      <w:r>
        <w:separator/>
      </w:r>
    </w:p>
  </w:footnote>
  <w:footnote w:type="continuationSeparator" w:id="0">
    <w:p w14:paraId="78C22FD8" w14:textId="77777777" w:rsidR="00602534" w:rsidRDefault="006025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804BF"/>
    <w:multiLevelType w:val="multilevel"/>
    <w:tmpl w:val="A7E8D9A0"/>
    <w:lvl w:ilvl="0">
      <w:start w:val="1"/>
      <w:numFmt w:val="bullet"/>
      <w:lvlText w:val="-"/>
      <w:lvlJc w:val="left"/>
      <w:pPr>
        <w:ind w:left="360" w:hanging="360"/>
      </w:pPr>
      <w:rPr>
        <w:rFonts w:ascii="OpenSymbol" w:hAnsi="OpenSymbol" w:cs="Times New Roman"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7965811"/>
    <w:multiLevelType w:val="multilevel"/>
    <w:tmpl w:val="B98494EA"/>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A483CE2"/>
    <w:multiLevelType w:val="multilevel"/>
    <w:tmpl w:val="F6A82ACC"/>
    <w:lvl w:ilvl="0">
      <w:start w:val="3"/>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A96687B"/>
    <w:multiLevelType w:val="multilevel"/>
    <w:tmpl w:val="0A1052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D2F2AC2"/>
    <w:multiLevelType w:val="multilevel"/>
    <w:tmpl w:val="1302B2D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FBE3E9F"/>
    <w:multiLevelType w:val="multilevel"/>
    <w:tmpl w:val="42A2B526"/>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01B4094"/>
    <w:multiLevelType w:val="multilevel"/>
    <w:tmpl w:val="4C48EBE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44EA10EF"/>
    <w:multiLevelType w:val="multilevel"/>
    <w:tmpl w:val="A57283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6E91002"/>
    <w:multiLevelType w:val="multilevel"/>
    <w:tmpl w:val="B2A276A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7DA6188C"/>
    <w:multiLevelType w:val="multilevel"/>
    <w:tmpl w:val="D8A838D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5"/>
  </w:num>
  <w:num w:numId="2">
    <w:abstractNumId w:val="9"/>
  </w:num>
  <w:num w:numId="3">
    <w:abstractNumId w:val="8"/>
  </w:num>
  <w:num w:numId="4">
    <w:abstractNumId w:val="3"/>
  </w:num>
  <w:num w:numId="5">
    <w:abstractNumId w:val="1"/>
  </w:num>
  <w:num w:numId="6">
    <w:abstractNumId w:val="4"/>
  </w:num>
  <w:num w:numId="7">
    <w:abstractNumId w:val="6"/>
  </w:num>
  <w:num w:numId="8">
    <w:abstractNumId w:val="2"/>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CF6"/>
    <w:rsid w:val="00050816"/>
    <w:rsid w:val="00155CBC"/>
    <w:rsid w:val="001A7D1A"/>
    <w:rsid w:val="001B506B"/>
    <w:rsid w:val="002316D0"/>
    <w:rsid w:val="004F0B63"/>
    <w:rsid w:val="005F6371"/>
    <w:rsid w:val="00602534"/>
    <w:rsid w:val="006151F2"/>
    <w:rsid w:val="007019D8"/>
    <w:rsid w:val="00736097"/>
    <w:rsid w:val="00970BA1"/>
    <w:rsid w:val="00A81BF8"/>
    <w:rsid w:val="00B25D9E"/>
    <w:rsid w:val="00B85156"/>
    <w:rsid w:val="00BE1FF4"/>
    <w:rsid w:val="00CA1BDC"/>
    <w:rsid w:val="00D7535D"/>
    <w:rsid w:val="00D77CF6"/>
    <w:rsid w:val="00DE409F"/>
    <w:rsid w:val="00E90443"/>
    <w:rsid w:val="00E9108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A9396"/>
  <w15:docId w15:val="{2D11F346-0524-4A23-AD3D-055E5942D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C68A4"/>
    <w:pPr>
      <w:spacing w:line="276" w:lineRule="auto"/>
    </w:pPr>
    <w:rPr>
      <w:rFonts w:ascii="Times New Roman" w:hAnsi="Times New Roman" w:cs="Times New Roman"/>
      <w:sz w:val="22"/>
      <w:lang w:val="en-US"/>
    </w:rPr>
  </w:style>
  <w:style w:type="paragraph" w:styleId="Antrat1">
    <w:name w:val="heading 1"/>
    <w:basedOn w:val="prastasis"/>
    <w:next w:val="prastasis"/>
    <w:link w:val="Antrat1Diagrama"/>
    <w:uiPriority w:val="9"/>
    <w:qFormat/>
    <w:rsid w:val="007C68A4"/>
    <w:pPr>
      <w:keepNext/>
      <w:keepLines/>
      <w:spacing w:before="240"/>
      <w:outlineLvl w:val="0"/>
    </w:pPr>
    <w:rPr>
      <w:rFonts w:ascii="Calibri Light" w:eastAsia="Times New Roman" w:hAnsi="Calibri Light"/>
      <w:color w:val="2E74B5"/>
      <w:sz w:val="32"/>
      <w:szCs w:val="32"/>
    </w:rPr>
  </w:style>
  <w:style w:type="paragraph" w:styleId="Antrat2">
    <w:name w:val="heading 2"/>
    <w:basedOn w:val="prastasis"/>
    <w:next w:val="prastasis"/>
    <w:link w:val="Antrat2Diagrama"/>
    <w:uiPriority w:val="9"/>
    <w:semiHidden/>
    <w:unhideWhenUsed/>
    <w:qFormat/>
    <w:rsid w:val="007C68A4"/>
    <w:pPr>
      <w:keepNext/>
      <w:keepLines/>
      <w:spacing w:before="40"/>
      <w:outlineLvl w:val="1"/>
    </w:pPr>
    <w:rPr>
      <w:rFonts w:ascii="Calibri Light" w:eastAsia="Times New Roman" w:hAnsi="Calibri Light"/>
      <w:color w:val="2E74B5"/>
      <w:sz w:val="26"/>
      <w:szCs w:val="26"/>
    </w:rPr>
  </w:style>
  <w:style w:type="paragraph" w:styleId="Antrat3">
    <w:name w:val="heading 3"/>
    <w:basedOn w:val="prastasis"/>
    <w:next w:val="prastasis"/>
    <w:link w:val="Antrat3Diagrama"/>
    <w:uiPriority w:val="9"/>
    <w:semiHidden/>
    <w:unhideWhenUsed/>
    <w:qFormat/>
    <w:rsid w:val="007C68A4"/>
    <w:pPr>
      <w:keepNext/>
      <w:keepLines/>
      <w:spacing w:before="40"/>
      <w:outlineLvl w:val="2"/>
    </w:pPr>
    <w:rPr>
      <w:rFonts w:ascii="Calibri Light" w:eastAsia="Times New Roman" w:hAnsi="Calibri Light"/>
      <w:color w:val="1F4D78"/>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7C68A4"/>
    <w:rPr>
      <w:rFonts w:ascii="Calibri Light" w:eastAsia="Times New Roman" w:hAnsi="Calibri Light" w:cs="Times New Roman"/>
      <w:color w:val="2E74B5"/>
      <w:sz w:val="32"/>
      <w:szCs w:val="32"/>
      <w:lang w:val="en-US"/>
    </w:rPr>
  </w:style>
  <w:style w:type="character" w:customStyle="1" w:styleId="Antrat2Diagrama">
    <w:name w:val="Antraštė 2 Diagrama"/>
    <w:basedOn w:val="Numatytasispastraiposriftas"/>
    <w:link w:val="Antrat2"/>
    <w:uiPriority w:val="9"/>
    <w:semiHidden/>
    <w:qFormat/>
    <w:rsid w:val="007C68A4"/>
    <w:rPr>
      <w:rFonts w:ascii="Calibri Light" w:eastAsia="Times New Roman" w:hAnsi="Calibri Light" w:cs="Times New Roman"/>
      <w:color w:val="2E74B5"/>
      <w:sz w:val="26"/>
      <w:szCs w:val="26"/>
      <w:lang w:val="en-US"/>
    </w:rPr>
  </w:style>
  <w:style w:type="character" w:customStyle="1" w:styleId="Antrat3Diagrama">
    <w:name w:val="Antraštė 3 Diagrama"/>
    <w:basedOn w:val="Numatytasispastraiposriftas"/>
    <w:link w:val="Antrat3"/>
    <w:uiPriority w:val="9"/>
    <w:semiHidden/>
    <w:qFormat/>
    <w:rsid w:val="007C68A4"/>
    <w:rPr>
      <w:rFonts w:ascii="Calibri Light" w:eastAsia="Times New Roman" w:hAnsi="Calibri Light" w:cs="Times New Roman"/>
      <w:color w:val="1F4D78"/>
      <w:sz w:val="24"/>
      <w:szCs w:val="24"/>
      <w:lang w:val="en-US"/>
    </w:rPr>
  </w:style>
  <w:style w:type="character" w:customStyle="1" w:styleId="AntratsDiagrama">
    <w:name w:val="Antraštės Diagrama"/>
    <w:basedOn w:val="Numatytasispastraiposriftas"/>
    <w:link w:val="Antrats"/>
    <w:qFormat/>
    <w:rsid w:val="007C68A4"/>
    <w:rPr>
      <w:rFonts w:ascii="Times New Roman" w:eastAsia="Times New Roman" w:hAnsi="Times New Roman" w:cs="Times New Roman"/>
      <w:szCs w:val="24"/>
      <w:lang w:val="lt-LT" w:eastAsia="x-none"/>
    </w:rPr>
  </w:style>
  <w:style w:type="character" w:customStyle="1" w:styleId="PoratDiagrama">
    <w:name w:val="Poraštė Diagrama"/>
    <w:basedOn w:val="Numatytasispastraiposriftas"/>
    <w:link w:val="Porat"/>
    <w:qFormat/>
    <w:rsid w:val="007C68A4"/>
    <w:rPr>
      <w:rFonts w:ascii="Times New Roman" w:eastAsia="Times New Roman" w:hAnsi="Times New Roman" w:cs="Times New Roman"/>
      <w:szCs w:val="24"/>
      <w:lang w:val="lt-LT" w:eastAsia="x-none"/>
    </w:rPr>
  </w:style>
  <w:style w:type="character" w:styleId="Puslapionumeris">
    <w:name w:val="page number"/>
    <w:qFormat/>
    <w:rsid w:val="007C68A4"/>
  </w:style>
  <w:style w:type="character" w:customStyle="1" w:styleId="Internetosaitas">
    <w:name w:val="Interneto saitas"/>
    <w:uiPriority w:val="99"/>
    <w:rsid w:val="007C68A4"/>
    <w:rPr>
      <w:color w:val="0000FF"/>
      <w:u w:val="single"/>
    </w:rPr>
  </w:style>
  <w:style w:type="character" w:customStyle="1" w:styleId="KomentarotekstasDiagrama">
    <w:name w:val="Komentaro tekstas Diagrama"/>
    <w:basedOn w:val="Numatytasispastraiposriftas"/>
    <w:link w:val="Komentarotekstas"/>
    <w:semiHidden/>
    <w:qFormat/>
    <w:rsid w:val="007C68A4"/>
    <w:rPr>
      <w:rFonts w:ascii="Times New Roman" w:eastAsia="Times New Roman" w:hAnsi="Times New Roman" w:cs="Times New Roman"/>
      <w:sz w:val="20"/>
      <w:szCs w:val="24"/>
      <w:lang w:eastAsia="x-none"/>
    </w:rPr>
  </w:style>
  <w:style w:type="character" w:customStyle="1" w:styleId="PagrindinistekstasDiagrama">
    <w:name w:val="Pagrindinis tekstas Diagrama"/>
    <w:basedOn w:val="Numatytasispastraiposriftas"/>
    <w:link w:val="Pagrindinistekstas"/>
    <w:qFormat/>
    <w:rsid w:val="007C68A4"/>
    <w:rPr>
      <w:rFonts w:ascii="Times New Roman" w:eastAsia="Times New Roman" w:hAnsi="Times New Roman" w:cs="Times New Roman"/>
      <w:szCs w:val="24"/>
      <w:lang w:val="x-none" w:eastAsia="x-none"/>
    </w:rPr>
  </w:style>
  <w:style w:type="character" w:customStyle="1" w:styleId="PI-1labEMEASMCAChar">
    <w:name w:val="PI-1_lab EMEA_SMCA Char"/>
    <w:qFormat/>
    <w:rsid w:val="007C68A4"/>
    <w:rPr>
      <w:rFonts w:ascii="Times New Roman" w:eastAsia="Times New Roman" w:hAnsi="Times New Roman" w:cs="Times New Roman"/>
      <w:b/>
      <w:lang w:val="lt-LT" w:eastAsia="x-none"/>
    </w:rPr>
  </w:style>
  <w:style w:type="character" w:customStyle="1" w:styleId="TTEMEASMCAChar">
    <w:name w:val="TT EMEA_SMCA Char"/>
    <w:link w:val="TTEMEASMCA"/>
    <w:qFormat/>
    <w:rsid w:val="007C68A4"/>
    <w:rPr>
      <w:rFonts w:ascii="Times New Roman" w:eastAsia="Times New Roman" w:hAnsi="Times New Roman" w:cs="Times New Roman"/>
      <w:b/>
      <w:caps/>
      <w:lang w:val="lt-LT" w:eastAsia="x-none"/>
    </w:rPr>
  </w:style>
  <w:style w:type="character" w:customStyle="1" w:styleId="BTEMEASMCAChar">
    <w:name w:val="BT EMEA_SMCA Char"/>
    <w:link w:val="BTEMEASMCA"/>
    <w:uiPriority w:val="99"/>
    <w:qFormat/>
    <w:rsid w:val="007C68A4"/>
    <w:rPr>
      <w:rFonts w:ascii="Times New Roman" w:eastAsia="SimSun" w:hAnsi="Times New Roman" w:cs="Times New Roman"/>
      <w:lang w:val="lt-LT" w:eastAsia="x-none"/>
    </w:rPr>
  </w:style>
  <w:style w:type="character" w:customStyle="1" w:styleId="apple-style-span">
    <w:name w:val="apple-style-span"/>
    <w:qFormat/>
    <w:rsid w:val="007C68A4"/>
  </w:style>
  <w:style w:type="character" w:customStyle="1" w:styleId="PaprastasistekstasDiagrama">
    <w:name w:val="Paprastasis tekstas Diagrama"/>
    <w:basedOn w:val="Numatytasispastraiposriftas"/>
    <w:link w:val="Paprastasistekstas"/>
    <w:uiPriority w:val="99"/>
    <w:qFormat/>
    <w:rsid w:val="007C68A4"/>
    <w:rPr>
      <w:rFonts w:ascii="Courier New" w:eastAsia="SimSun" w:hAnsi="Courier New" w:cs="Times New Roman"/>
      <w:sz w:val="20"/>
      <w:szCs w:val="20"/>
      <w:lang w:val="en-US"/>
    </w:rPr>
  </w:style>
  <w:style w:type="character" w:customStyle="1" w:styleId="Iskyrimas">
    <w:name w:val="Išskyrimas"/>
    <w:uiPriority w:val="20"/>
    <w:qFormat/>
    <w:rsid w:val="007C68A4"/>
    <w:rPr>
      <w:b/>
      <w:bCs/>
      <w:i w:val="0"/>
      <w:iCs w:val="0"/>
    </w:rPr>
  </w:style>
  <w:style w:type="character" w:customStyle="1" w:styleId="st1">
    <w:name w:val="st1"/>
    <w:qFormat/>
    <w:rsid w:val="007C68A4"/>
  </w:style>
  <w:style w:type="character" w:customStyle="1" w:styleId="DebesliotekstasDiagrama">
    <w:name w:val="Debesėlio tekstas Diagrama"/>
    <w:basedOn w:val="Numatytasispastraiposriftas"/>
    <w:link w:val="Debesliotekstas"/>
    <w:uiPriority w:val="99"/>
    <w:semiHidden/>
    <w:qFormat/>
    <w:rsid w:val="007C68A4"/>
    <w:rPr>
      <w:rFonts w:ascii="Segoe UI" w:eastAsia="Calibri" w:hAnsi="Segoe UI" w:cs="Segoe UI"/>
      <w:sz w:val="18"/>
      <w:szCs w:val="18"/>
      <w:lang w:val="en-US"/>
    </w:rPr>
  </w:style>
  <w:style w:type="character" w:styleId="Komentaronuoroda">
    <w:name w:val="annotation reference"/>
    <w:uiPriority w:val="99"/>
    <w:semiHidden/>
    <w:unhideWhenUsed/>
    <w:qFormat/>
    <w:rsid w:val="007C68A4"/>
    <w:rPr>
      <w:sz w:val="16"/>
      <w:szCs w:val="16"/>
    </w:rPr>
  </w:style>
  <w:style w:type="character" w:customStyle="1" w:styleId="KomentarotemaDiagrama">
    <w:name w:val="Komentaro tema Diagrama"/>
    <w:basedOn w:val="KomentarotekstasDiagrama"/>
    <w:link w:val="Komentarotema"/>
    <w:uiPriority w:val="99"/>
    <w:semiHidden/>
    <w:qFormat/>
    <w:rsid w:val="007C68A4"/>
    <w:rPr>
      <w:rFonts w:ascii="Times New Roman" w:eastAsia="Calibri" w:hAnsi="Times New Roman" w:cs="Times New Roman"/>
      <w:b/>
      <w:bCs/>
      <w:sz w:val="20"/>
      <w:szCs w:val="20"/>
      <w:lang w:val="en-US" w:eastAsia="x-none"/>
    </w:rPr>
  </w:style>
  <w:style w:type="character" w:styleId="Grietas">
    <w:name w:val="Strong"/>
    <w:uiPriority w:val="22"/>
    <w:qFormat/>
    <w:rsid w:val="007C68A4"/>
    <w:rPr>
      <w:b/>
      <w:bCs/>
    </w:rPr>
  </w:style>
  <w:style w:type="character" w:customStyle="1" w:styleId="UnresolvedMention1">
    <w:name w:val="Unresolved Mention1"/>
    <w:uiPriority w:val="99"/>
    <w:semiHidden/>
    <w:unhideWhenUsed/>
    <w:qFormat/>
    <w:rsid w:val="007C68A4"/>
    <w:rPr>
      <w:color w:val="808080"/>
      <w:shd w:val="clear" w:color="auto" w:fill="E6E6E6"/>
    </w:rPr>
  </w:style>
  <w:style w:type="paragraph" w:customStyle="1" w:styleId="Antrat10">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7C68A4"/>
    <w:pPr>
      <w:spacing w:after="120" w:line="240" w:lineRule="auto"/>
    </w:pPr>
    <w:rPr>
      <w:rFonts w:eastAsia="Times New Roman"/>
      <w:szCs w:val="24"/>
      <w:lang w:val="x-none" w:eastAsia="x-none"/>
    </w:rPr>
  </w:style>
  <w:style w:type="paragraph" w:styleId="Sraas">
    <w:name w:val="List"/>
    <w:basedOn w:val="Pagrindinistekstas"/>
    <w:rPr>
      <w:rFonts w:cs="Arial"/>
    </w:rPr>
  </w:style>
  <w:style w:type="paragraph" w:styleId="Antrat">
    <w:name w:val="caption"/>
    <w:basedOn w:val="prastasis"/>
    <w:next w:val="Pagrindinisteksta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Arial"/>
    </w:rPr>
  </w:style>
  <w:style w:type="paragraph" w:customStyle="1" w:styleId="Puslapinantratirporat">
    <w:name w:val="Puslapinė antraštė ir poraštė"/>
    <w:basedOn w:val="prastasis"/>
    <w:qFormat/>
  </w:style>
  <w:style w:type="paragraph" w:styleId="Antrats">
    <w:name w:val="header"/>
    <w:basedOn w:val="prastasis"/>
    <w:link w:val="AntratsDiagrama"/>
    <w:rsid w:val="007C68A4"/>
    <w:pPr>
      <w:tabs>
        <w:tab w:val="center" w:pos="4986"/>
        <w:tab w:val="right" w:pos="9972"/>
      </w:tabs>
      <w:spacing w:line="240" w:lineRule="auto"/>
    </w:pPr>
    <w:rPr>
      <w:rFonts w:eastAsia="Times New Roman"/>
      <w:szCs w:val="24"/>
      <w:lang w:val="lt-LT" w:eastAsia="x-none"/>
    </w:rPr>
  </w:style>
  <w:style w:type="paragraph" w:styleId="Porat">
    <w:name w:val="footer"/>
    <w:basedOn w:val="prastasis"/>
    <w:link w:val="PoratDiagrama"/>
    <w:rsid w:val="007C68A4"/>
    <w:pPr>
      <w:tabs>
        <w:tab w:val="center" w:pos="4986"/>
        <w:tab w:val="right" w:pos="9972"/>
      </w:tabs>
      <w:spacing w:line="240" w:lineRule="auto"/>
    </w:pPr>
    <w:rPr>
      <w:rFonts w:eastAsia="Times New Roman"/>
      <w:szCs w:val="24"/>
      <w:lang w:val="lt-LT" w:eastAsia="x-none"/>
    </w:rPr>
  </w:style>
  <w:style w:type="paragraph" w:styleId="Komentarotekstas">
    <w:name w:val="annotation text"/>
    <w:basedOn w:val="prastasis"/>
    <w:link w:val="KomentarotekstasDiagrama"/>
    <w:semiHidden/>
    <w:qFormat/>
    <w:rsid w:val="007C68A4"/>
    <w:pPr>
      <w:spacing w:line="240" w:lineRule="auto"/>
    </w:pPr>
    <w:rPr>
      <w:rFonts w:eastAsia="Times New Roman"/>
      <w:sz w:val="20"/>
      <w:szCs w:val="24"/>
      <w:lang w:val="en-GB" w:eastAsia="x-none"/>
    </w:rPr>
  </w:style>
  <w:style w:type="paragraph" w:customStyle="1" w:styleId="PI-1EMEASMCA">
    <w:name w:val="PI-1 EMEA_SMCA"/>
    <w:basedOn w:val="Antrat2"/>
    <w:autoRedefine/>
    <w:qFormat/>
    <w:rsid w:val="007C68A4"/>
    <w:pPr>
      <w:keepNext w:val="0"/>
      <w:keepLines w:val="0"/>
      <w:tabs>
        <w:tab w:val="left" w:pos="567"/>
      </w:tabs>
      <w:spacing w:before="0" w:line="240" w:lineRule="auto"/>
      <w:ind w:left="567" w:hanging="567"/>
    </w:pPr>
    <w:rPr>
      <w:rFonts w:ascii="Times New Roman" w:hAnsi="Times New Roman"/>
      <w:b/>
      <w:color w:val="auto"/>
      <w:sz w:val="22"/>
      <w:szCs w:val="22"/>
      <w:lang w:val="lt-LT" w:eastAsia="x-none"/>
    </w:rPr>
  </w:style>
  <w:style w:type="paragraph" w:customStyle="1" w:styleId="PI-1labEMEASMCA">
    <w:name w:val="PI-1_lab EMEA_SMCA"/>
    <w:basedOn w:val="prastasis"/>
    <w:autoRedefine/>
    <w:qFormat/>
    <w:rsid w:val="007C68A4"/>
    <w:pPr>
      <w:pBdr>
        <w:top w:val="single" w:sz="4" w:space="1" w:color="000000"/>
        <w:left w:val="single" w:sz="4" w:space="4" w:color="000000"/>
        <w:bottom w:val="single" w:sz="4" w:space="1" w:color="000000"/>
        <w:right w:val="single" w:sz="4" w:space="4" w:color="000000"/>
      </w:pBdr>
      <w:tabs>
        <w:tab w:val="left" w:pos="567"/>
      </w:tabs>
      <w:spacing w:line="240" w:lineRule="auto"/>
      <w:ind w:left="567" w:hanging="567"/>
    </w:pPr>
    <w:rPr>
      <w:rFonts w:eastAsia="Times New Roman"/>
      <w:b/>
      <w:lang w:val="lt-LT" w:eastAsia="x-none"/>
    </w:rPr>
  </w:style>
  <w:style w:type="paragraph" w:customStyle="1" w:styleId="PI-2EMEASMCA">
    <w:name w:val="PI-2 EMEA_SMCA"/>
    <w:basedOn w:val="Antrat3"/>
    <w:autoRedefine/>
    <w:qFormat/>
    <w:rsid w:val="007C68A4"/>
    <w:pPr>
      <w:spacing w:before="0" w:line="240" w:lineRule="auto"/>
      <w:ind w:left="567" w:hanging="567"/>
    </w:pPr>
    <w:rPr>
      <w:rFonts w:ascii="Times New Roman" w:hAnsi="Times New Roman"/>
      <w:b/>
      <w:color w:val="auto"/>
      <w:kern w:val="2"/>
      <w:sz w:val="22"/>
      <w:szCs w:val="22"/>
      <w:lang w:val="lt-LT" w:eastAsia="x-none"/>
    </w:rPr>
  </w:style>
  <w:style w:type="paragraph" w:customStyle="1" w:styleId="BTEMEASMCA">
    <w:name w:val="BT EMEA_SMCA"/>
    <w:basedOn w:val="prastasis"/>
    <w:link w:val="BTEMEASMCAChar"/>
    <w:autoRedefine/>
    <w:uiPriority w:val="99"/>
    <w:qFormat/>
    <w:rsid w:val="007C68A4"/>
    <w:pPr>
      <w:tabs>
        <w:tab w:val="left" w:pos="567"/>
      </w:tabs>
      <w:spacing w:line="240" w:lineRule="auto"/>
    </w:pPr>
    <w:rPr>
      <w:rFonts w:eastAsia="SimSun"/>
      <w:lang w:val="lt-LT" w:eastAsia="x-none"/>
    </w:rPr>
  </w:style>
  <w:style w:type="paragraph" w:customStyle="1" w:styleId="TTEMEASMCA">
    <w:name w:val="TT EMEA_SMCA"/>
    <w:basedOn w:val="Antrat1"/>
    <w:link w:val="TTEMEASMCAChar"/>
    <w:autoRedefine/>
    <w:qFormat/>
    <w:rsid w:val="007C68A4"/>
    <w:pPr>
      <w:keepNext w:val="0"/>
      <w:keepLines w:val="0"/>
      <w:tabs>
        <w:tab w:val="left" w:pos="567"/>
      </w:tabs>
      <w:spacing w:before="0" w:line="240" w:lineRule="auto"/>
      <w:jc w:val="center"/>
    </w:pPr>
    <w:rPr>
      <w:rFonts w:ascii="Times New Roman" w:hAnsi="Times New Roman"/>
      <w:b/>
      <w:caps/>
      <w:color w:val="auto"/>
      <w:sz w:val="22"/>
      <w:szCs w:val="22"/>
      <w:lang w:val="lt-LT" w:eastAsia="x-none"/>
    </w:rPr>
  </w:style>
  <w:style w:type="paragraph" w:customStyle="1" w:styleId="BTAnIIEMEASMCA">
    <w:name w:val="BT(AnII) EMEA_SMCA"/>
    <w:basedOn w:val="Pagrindinistekstas"/>
    <w:autoRedefine/>
    <w:qFormat/>
    <w:rsid w:val="007C68A4"/>
    <w:pPr>
      <w:tabs>
        <w:tab w:val="left" w:pos="1701"/>
      </w:tabs>
      <w:spacing w:after="0"/>
      <w:ind w:left="1701" w:hanging="567"/>
    </w:pPr>
    <w:rPr>
      <w:rFonts w:cs="Tahoma"/>
      <w:b/>
      <w:szCs w:val="22"/>
      <w:lang w:val="en-GB"/>
    </w:rPr>
  </w:style>
  <w:style w:type="paragraph" w:customStyle="1" w:styleId="BT-EMEASMCA">
    <w:name w:val="BT- EMEA_SMCA"/>
    <w:basedOn w:val="BTEMEASMCA"/>
    <w:autoRedefine/>
    <w:qFormat/>
    <w:rsid w:val="007C68A4"/>
    <w:pPr>
      <w:tabs>
        <w:tab w:val="left" w:pos="360"/>
      </w:tabs>
      <w:ind w:left="567" w:hanging="283"/>
    </w:pPr>
  </w:style>
  <w:style w:type="paragraph" w:customStyle="1" w:styleId="PI-3EMEASMCA">
    <w:name w:val="PI-3 EMEA_SMCA"/>
    <w:basedOn w:val="prastasis"/>
    <w:autoRedefine/>
    <w:uiPriority w:val="99"/>
    <w:qFormat/>
    <w:rsid w:val="007C68A4"/>
    <w:pPr>
      <w:tabs>
        <w:tab w:val="left" w:pos="567"/>
      </w:tabs>
      <w:spacing w:line="240" w:lineRule="auto"/>
      <w:jc w:val="center"/>
    </w:pPr>
    <w:rPr>
      <w:rFonts w:eastAsia="Times New Roman"/>
      <w:b/>
      <w:bCs/>
      <w:lang w:val="lt-LT"/>
    </w:rPr>
  </w:style>
  <w:style w:type="paragraph" w:customStyle="1" w:styleId="BTbEMEASMCA">
    <w:name w:val="BT(b) EMEA_SMCA"/>
    <w:basedOn w:val="BTEMEASMCA"/>
    <w:autoRedefine/>
    <w:qFormat/>
    <w:rsid w:val="007C68A4"/>
    <w:rPr>
      <w:b/>
    </w:rPr>
  </w:style>
  <w:style w:type="paragraph" w:customStyle="1" w:styleId="BTeEMEASMCA">
    <w:name w:val="BT(e) EMEA_SMCA"/>
    <w:basedOn w:val="BTEMEASMCA"/>
    <w:autoRedefine/>
    <w:qFormat/>
    <w:rsid w:val="007C68A4"/>
    <w:pPr>
      <w:jc w:val="center"/>
    </w:pPr>
  </w:style>
  <w:style w:type="paragraph" w:customStyle="1" w:styleId="BTuEMEASMCA">
    <w:name w:val="BT(u) EMEA_SMCA"/>
    <w:basedOn w:val="BTEMEASMCA"/>
    <w:autoRedefine/>
    <w:qFormat/>
    <w:rsid w:val="007C68A4"/>
    <w:rPr>
      <w:u w:val="single"/>
    </w:rPr>
  </w:style>
  <w:style w:type="paragraph" w:styleId="Sraassuenkleliais">
    <w:name w:val="List Bullet"/>
    <w:qFormat/>
    <w:rsid w:val="007C68A4"/>
    <w:pPr>
      <w:spacing w:after="120"/>
    </w:pPr>
    <w:rPr>
      <w:rFonts w:ascii="Times New Roman" w:eastAsia="Times New Roman" w:hAnsi="Times New Roman" w:cs="Times New Roman"/>
      <w:sz w:val="24"/>
      <w:szCs w:val="24"/>
      <w:lang w:val="en-US"/>
    </w:rPr>
  </w:style>
  <w:style w:type="paragraph" w:customStyle="1" w:styleId="Paragraph">
    <w:name w:val="Paragraph"/>
    <w:qFormat/>
    <w:rsid w:val="007C68A4"/>
    <w:pPr>
      <w:spacing w:after="240"/>
    </w:pPr>
    <w:rPr>
      <w:rFonts w:ascii="Times New Roman" w:eastAsia="Times New Roman" w:hAnsi="Times New Roman" w:cs="Times New Roman"/>
      <w:sz w:val="24"/>
      <w:szCs w:val="24"/>
      <w:lang w:val="en-US"/>
    </w:rPr>
  </w:style>
  <w:style w:type="paragraph" w:customStyle="1" w:styleId="Default">
    <w:name w:val="Default"/>
    <w:qFormat/>
    <w:rsid w:val="007C68A4"/>
    <w:rPr>
      <w:rFonts w:ascii="Times New Roman" w:eastAsia="Times New Roman" w:hAnsi="Times New Roman" w:cs="Times New Roman"/>
      <w:color w:val="000000"/>
      <w:sz w:val="24"/>
      <w:szCs w:val="24"/>
      <w:lang w:val="sl-SI" w:eastAsia="sl-SI"/>
    </w:rPr>
  </w:style>
  <w:style w:type="paragraph" w:customStyle="1" w:styleId="Paragraphedeliste1">
    <w:name w:val="Paragraphe de liste1"/>
    <w:basedOn w:val="prastasis"/>
    <w:uiPriority w:val="99"/>
    <w:qFormat/>
    <w:rsid w:val="007C68A4"/>
    <w:pPr>
      <w:spacing w:line="240" w:lineRule="auto"/>
      <w:ind w:left="720"/>
      <w:contextualSpacing/>
    </w:pPr>
    <w:rPr>
      <w:rFonts w:eastAsia="Times New Roman"/>
      <w:szCs w:val="24"/>
      <w:lang w:val="en-GB"/>
    </w:rPr>
  </w:style>
  <w:style w:type="paragraph" w:styleId="Betarp">
    <w:name w:val="No Spacing"/>
    <w:uiPriority w:val="1"/>
    <w:qFormat/>
    <w:rsid w:val="007C68A4"/>
    <w:rPr>
      <w:rFonts w:ascii="Times New Roman" w:hAnsi="Times New Roman" w:cs="Times New Roman"/>
      <w:sz w:val="22"/>
      <w:lang w:val="en-US"/>
    </w:rPr>
  </w:style>
  <w:style w:type="paragraph" w:styleId="Paprastasistekstas">
    <w:name w:val="Plain Text"/>
    <w:basedOn w:val="prastasis"/>
    <w:link w:val="PaprastasistekstasDiagrama"/>
    <w:uiPriority w:val="99"/>
    <w:qFormat/>
    <w:rsid w:val="007C68A4"/>
    <w:pPr>
      <w:spacing w:line="240" w:lineRule="auto"/>
    </w:pPr>
    <w:rPr>
      <w:rFonts w:ascii="Courier New" w:eastAsia="SimSun" w:hAnsi="Courier New"/>
      <w:sz w:val="20"/>
      <w:szCs w:val="20"/>
    </w:rPr>
  </w:style>
  <w:style w:type="paragraph" w:styleId="Sraopastraipa">
    <w:name w:val="List Paragraph"/>
    <w:basedOn w:val="prastasis"/>
    <w:uiPriority w:val="99"/>
    <w:qFormat/>
    <w:rsid w:val="007C68A4"/>
    <w:pPr>
      <w:spacing w:after="200"/>
      <w:ind w:left="720"/>
      <w:contextualSpacing/>
    </w:pPr>
    <w:rPr>
      <w:rFonts w:ascii="Calibri" w:hAnsi="Calibri"/>
      <w:lang w:val="lt-LT"/>
    </w:rPr>
  </w:style>
  <w:style w:type="paragraph" w:styleId="Debesliotekstas">
    <w:name w:val="Balloon Text"/>
    <w:basedOn w:val="prastasis"/>
    <w:link w:val="DebesliotekstasDiagrama"/>
    <w:uiPriority w:val="99"/>
    <w:semiHidden/>
    <w:unhideWhenUsed/>
    <w:qFormat/>
    <w:rsid w:val="007C68A4"/>
    <w:pPr>
      <w:spacing w:line="240" w:lineRule="auto"/>
    </w:pPr>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7C68A4"/>
    <w:pPr>
      <w:spacing w:line="276" w:lineRule="auto"/>
    </w:pPr>
    <w:rPr>
      <w:rFonts w:eastAsia="Calibri"/>
      <w:b/>
      <w:bCs/>
      <w:szCs w:val="20"/>
      <w:lang w:val="en-US" w:eastAsia="en-US"/>
    </w:rPr>
  </w:style>
  <w:style w:type="paragraph" w:styleId="Pataisymai">
    <w:name w:val="Revision"/>
    <w:uiPriority w:val="99"/>
    <w:semiHidden/>
    <w:qFormat/>
    <w:rsid w:val="007C68A4"/>
    <w:rPr>
      <w:rFonts w:ascii="Times New Roman" w:hAnsi="Times New Roman" w:cs="Times New Roman"/>
      <w:sz w:val="22"/>
      <w:lang w:val="en-US"/>
    </w:rPr>
  </w:style>
  <w:style w:type="paragraph" w:customStyle="1" w:styleId="Kadroturinys">
    <w:name w:val="Kadro turinys"/>
    <w:basedOn w:val="prastasis"/>
    <w:qFormat/>
  </w:style>
  <w:style w:type="table" w:styleId="Lentelstinklelis">
    <w:name w:val="Table Grid"/>
    <w:basedOn w:val="prastojilentel"/>
    <w:uiPriority w:val="39"/>
    <w:rsid w:val="007C68A4"/>
    <w:rPr>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 TargetMode="Externa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hyperlink" Target="http://www.vvkt.lt/" TargetMode="Externa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mailto:NepageidaujamaR@vvkt.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footer" Target="footer1.xml"/><Relationship Id="rId10" Type="http://schemas.openxmlformats.org/officeDocument/2006/relationships/hyperlink" Target="http://www.vvkt.lt/" TargetMode="External"/><Relationship Id="rId19"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eg"/><Relationship Id="rId22"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25026EEFAE054E9B170EC789B66F8F" ma:contentTypeVersion="12" ma:contentTypeDescription="Create a new document." ma:contentTypeScope="" ma:versionID="2d7f7be117280532ee5da0f58d3757fc">
  <xsd:schema xmlns:xsd="http://www.w3.org/2001/XMLSchema" xmlns:xs="http://www.w3.org/2001/XMLSchema" xmlns:p="http://schemas.microsoft.com/office/2006/metadata/properties" xmlns:ns2="fddf08dd-6a38-48bf-b611-77e78e78cc06" xmlns:ns3="ab16fc0d-af72-4ed7-9e11-1299b1ee6143" targetNamespace="http://schemas.microsoft.com/office/2006/metadata/properties" ma:root="true" ma:fieldsID="7ba2a6fbf83abaf9ec4062af07630759" ns2:_="" ns3:_="">
    <xsd:import namespace="fddf08dd-6a38-48bf-b611-77e78e78cc06"/>
    <xsd:import namespace="ab16fc0d-af72-4ed7-9e11-1299b1ee61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f08dd-6a38-48bf-b611-77e78e78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16fc0d-af72-4ed7-9e11-1299b1ee61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6C53AE-AE0D-4B80-B26F-630111A32E10}">
  <ds:schemaRefs>
    <ds:schemaRef ds:uri="http://schemas.microsoft.com/sharepoint/v3/contenttype/forms"/>
  </ds:schemaRefs>
</ds:datastoreItem>
</file>

<file path=customXml/itemProps2.xml><?xml version="1.0" encoding="utf-8"?>
<ds:datastoreItem xmlns:ds="http://schemas.openxmlformats.org/officeDocument/2006/customXml" ds:itemID="{8900DA65-B406-4958-9605-6A4B4CE0810D}">
  <ds:schemaRefs>
    <ds:schemaRef ds:uri="http://schemas.microsoft.com/office/infopath/2007/PartnerControls"/>
    <ds:schemaRef ds:uri="http://schemas.microsoft.com/office/2006/documentManagement/types"/>
    <ds:schemaRef ds:uri="http://purl.org/dc/dcmitype/"/>
    <ds:schemaRef ds:uri="ab16fc0d-af72-4ed7-9e11-1299b1ee6143"/>
    <ds:schemaRef ds:uri="http://purl.org/dc/terms/"/>
    <ds:schemaRef ds:uri="fddf08dd-6a38-48bf-b611-77e78e78cc06"/>
    <ds:schemaRef ds:uri="http://schemas.openxmlformats.org/package/2006/metadata/core-properti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E72B6A37-3D49-40F1-AE24-4D7BD31B4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f08dd-6a38-48bf-b611-77e78e78cc06"/>
    <ds:schemaRef ds:uri="ab16fc0d-af72-4ed7-9e11-1299b1ee61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36764</Words>
  <Characters>20957</Characters>
  <Application>Microsoft Office Word</Application>
  <DocSecurity>0</DocSecurity>
  <Lines>174</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Laine</dc:creator>
  <dc:description/>
  <cp:lastModifiedBy>Birutė Valkauskaitė</cp:lastModifiedBy>
  <cp:revision>2</cp:revision>
  <dcterms:created xsi:type="dcterms:W3CDTF">2023-06-22T10:36:00Z</dcterms:created>
  <dcterms:modified xsi:type="dcterms:W3CDTF">2023-06-22T10:36:00Z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0x010100FB25026EEFAE054E9B170EC789B66F8F</vt:lpwstr>
  </property>
</Properties>
</file>