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8AAC6" w14:textId="18D48FA6" w:rsidR="003F0515" w:rsidRPr="00C76F7B" w:rsidRDefault="003F0515" w:rsidP="003F0515">
      <w:pPr>
        <w:rPr>
          <w:szCs w:val="22"/>
          <w:lang w:val="lt-LT"/>
        </w:rPr>
      </w:pPr>
    </w:p>
    <w:p w14:paraId="205C5F4C" w14:textId="77777777" w:rsidR="003F0515" w:rsidRPr="00C76F7B" w:rsidRDefault="003F0515" w:rsidP="003F0515">
      <w:pPr>
        <w:pStyle w:val="Title"/>
        <w:rPr>
          <w:szCs w:val="22"/>
        </w:rPr>
      </w:pPr>
    </w:p>
    <w:p w14:paraId="12C0B9B5" w14:textId="77777777" w:rsidR="003F0515" w:rsidRPr="00C76F7B" w:rsidRDefault="003F0515" w:rsidP="003F0515">
      <w:pPr>
        <w:pStyle w:val="Title"/>
        <w:rPr>
          <w:szCs w:val="22"/>
        </w:rPr>
      </w:pPr>
    </w:p>
    <w:p w14:paraId="06A11918" w14:textId="77777777" w:rsidR="003F0515" w:rsidRPr="00C76F7B" w:rsidRDefault="003F0515" w:rsidP="003F0515">
      <w:pPr>
        <w:pStyle w:val="Title"/>
        <w:rPr>
          <w:szCs w:val="22"/>
        </w:rPr>
      </w:pPr>
    </w:p>
    <w:p w14:paraId="6D4C5401" w14:textId="77777777" w:rsidR="003F0515" w:rsidRPr="00C76F7B" w:rsidRDefault="003F0515" w:rsidP="003F0515">
      <w:pPr>
        <w:pStyle w:val="Title"/>
        <w:rPr>
          <w:szCs w:val="22"/>
        </w:rPr>
      </w:pPr>
    </w:p>
    <w:p w14:paraId="243FA399" w14:textId="77777777" w:rsidR="003F0515" w:rsidRPr="00C76F7B" w:rsidRDefault="003F0515" w:rsidP="003F0515">
      <w:pPr>
        <w:pStyle w:val="Title"/>
        <w:rPr>
          <w:szCs w:val="22"/>
        </w:rPr>
      </w:pPr>
    </w:p>
    <w:p w14:paraId="3873FA87" w14:textId="77777777" w:rsidR="003F0515" w:rsidRPr="00C76F7B" w:rsidRDefault="003F0515" w:rsidP="003F0515">
      <w:pPr>
        <w:pStyle w:val="Title"/>
        <w:rPr>
          <w:szCs w:val="22"/>
        </w:rPr>
      </w:pPr>
    </w:p>
    <w:p w14:paraId="545ECDA1" w14:textId="77777777" w:rsidR="003F0515" w:rsidRPr="00C76F7B" w:rsidRDefault="003F0515" w:rsidP="003F0515">
      <w:pPr>
        <w:pStyle w:val="Title"/>
        <w:rPr>
          <w:szCs w:val="22"/>
        </w:rPr>
      </w:pPr>
    </w:p>
    <w:p w14:paraId="5403895B" w14:textId="77777777" w:rsidR="003F0515" w:rsidRPr="00C76F7B" w:rsidRDefault="003F0515" w:rsidP="003F0515">
      <w:pPr>
        <w:pStyle w:val="Title"/>
        <w:rPr>
          <w:szCs w:val="22"/>
        </w:rPr>
      </w:pPr>
    </w:p>
    <w:p w14:paraId="26B9492B" w14:textId="77777777" w:rsidR="003F0515" w:rsidRPr="00C76F7B" w:rsidRDefault="003F0515" w:rsidP="003F0515">
      <w:pPr>
        <w:pStyle w:val="Title"/>
        <w:rPr>
          <w:szCs w:val="22"/>
        </w:rPr>
      </w:pPr>
    </w:p>
    <w:p w14:paraId="2D38B9AF" w14:textId="77777777" w:rsidR="003F0515" w:rsidRPr="00C76F7B" w:rsidRDefault="003F0515" w:rsidP="003F0515">
      <w:pPr>
        <w:pStyle w:val="Title"/>
        <w:rPr>
          <w:szCs w:val="22"/>
        </w:rPr>
      </w:pPr>
    </w:p>
    <w:p w14:paraId="625918BA" w14:textId="77777777" w:rsidR="003F0515" w:rsidRPr="00C76F7B" w:rsidRDefault="003F0515" w:rsidP="003F0515">
      <w:pPr>
        <w:pStyle w:val="Title"/>
        <w:jc w:val="left"/>
        <w:rPr>
          <w:szCs w:val="22"/>
        </w:rPr>
      </w:pPr>
    </w:p>
    <w:p w14:paraId="0F169095" w14:textId="77777777" w:rsidR="003F0515" w:rsidRPr="00C76F7B" w:rsidRDefault="003F0515" w:rsidP="003F0515">
      <w:pPr>
        <w:pStyle w:val="Title"/>
        <w:rPr>
          <w:szCs w:val="22"/>
        </w:rPr>
      </w:pPr>
    </w:p>
    <w:p w14:paraId="6FB56504" w14:textId="77777777" w:rsidR="003F0515" w:rsidRPr="00C76F7B" w:rsidRDefault="003F0515" w:rsidP="003F0515">
      <w:pPr>
        <w:pStyle w:val="Title"/>
        <w:rPr>
          <w:szCs w:val="22"/>
        </w:rPr>
      </w:pPr>
    </w:p>
    <w:p w14:paraId="1CF12FD5" w14:textId="77777777" w:rsidR="003F0515" w:rsidRPr="00C76F7B" w:rsidRDefault="003F0515" w:rsidP="003F0515">
      <w:pPr>
        <w:pStyle w:val="Title"/>
        <w:rPr>
          <w:szCs w:val="22"/>
        </w:rPr>
      </w:pPr>
    </w:p>
    <w:p w14:paraId="6BC4CF13" w14:textId="77777777" w:rsidR="003F0515" w:rsidRPr="00C76F7B" w:rsidRDefault="003F0515" w:rsidP="003F0515">
      <w:pPr>
        <w:pStyle w:val="Title"/>
        <w:rPr>
          <w:szCs w:val="22"/>
        </w:rPr>
      </w:pPr>
    </w:p>
    <w:p w14:paraId="7848FDCA" w14:textId="77777777" w:rsidR="003F0515" w:rsidRPr="00C76F7B" w:rsidRDefault="003F0515" w:rsidP="003F0515">
      <w:pPr>
        <w:pStyle w:val="Title"/>
        <w:rPr>
          <w:szCs w:val="22"/>
        </w:rPr>
      </w:pPr>
    </w:p>
    <w:p w14:paraId="233D322F" w14:textId="77777777" w:rsidR="003F0515" w:rsidRPr="00C76F7B" w:rsidRDefault="003F0515" w:rsidP="003F0515">
      <w:pPr>
        <w:pStyle w:val="Title"/>
        <w:rPr>
          <w:szCs w:val="22"/>
        </w:rPr>
      </w:pPr>
    </w:p>
    <w:p w14:paraId="7DBAFC07" w14:textId="77777777" w:rsidR="003F0515" w:rsidRPr="00C76F7B" w:rsidRDefault="003F0515" w:rsidP="003F0515">
      <w:pPr>
        <w:pStyle w:val="Title"/>
        <w:rPr>
          <w:szCs w:val="22"/>
        </w:rPr>
      </w:pPr>
    </w:p>
    <w:p w14:paraId="09639946" w14:textId="77777777" w:rsidR="003F0515" w:rsidRPr="00C76F7B" w:rsidRDefault="003F0515" w:rsidP="003F0515">
      <w:pPr>
        <w:pStyle w:val="Title"/>
        <w:rPr>
          <w:szCs w:val="22"/>
        </w:rPr>
      </w:pPr>
    </w:p>
    <w:p w14:paraId="4CFBC84D" w14:textId="77777777" w:rsidR="003F0515" w:rsidRPr="00C76F7B" w:rsidRDefault="003F0515" w:rsidP="003F0515">
      <w:pPr>
        <w:pStyle w:val="Title"/>
        <w:rPr>
          <w:szCs w:val="22"/>
        </w:rPr>
      </w:pPr>
    </w:p>
    <w:p w14:paraId="724022D0" w14:textId="77777777" w:rsidR="003F0515" w:rsidRPr="00C76F7B" w:rsidRDefault="003F0515" w:rsidP="003F0515">
      <w:pPr>
        <w:pStyle w:val="Title"/>
        <w:rPr>
          <w:szCs w:val="22"/>
        </w:rPr>
      </w:pPr>
      <w:r w:rsidRPr="00C76F7B">
        <w:rPr>
          <w:szCs w:val="22"/>
        </w:rPr>
        <w:t>A. ŽENKLINIMAS</w:t>
      </w:r>
    </w:p>
    <w:p w14:paraId="220C1501" w14:textId="2B2C3BCB" w:rsidR="003F0515" w:rsidRPr="00C76F7B" w:rsidRDefault="003F0515" w:rsidP="003F0515">
      <w:pPr>
        <w:pStyle w:val="BodyText"/>
        <w:pBdr>
          <w:top w:val="single" w:sz="4" w:space="1" w:color="auto"/>
          <w:left w:val="single" w:sz="4" w:space="4" w:color="auto"/>
          <w:bottom w:val="single" w:sz="4" w:space="1" w:color="auto"/>
          <w:right w:val="single" w:sz="4" w:space="4" w:color="auto"/>
        </w:pBdr>
        <w:tabs>
          <w:tab w:val="left" w:pos="567"/>
        </w:tabs>
        <w:jc w:val="left"/>
        <w:rPr>
          <w:b/>
          <w:szCs w:val="22"/>
          <w:lang w:val="lt-LT"/>
        </w:rPr>
      </w:pPr>
      <w:r w:rsidRPr="00C76F7B">
        <w:rPr>
          <w:szCs w:val="22"/>
          <w:lang w:val="lt-LT"/>
        </w:rPr>
        <w:br w:type="page"/>
      </w:r>
      <w:r w:rsidRPr="00C76F7B">
        <w:rPr>
          <w:b/>
          <w:szCs w:val="22"/>
          <w:lang w:val="lt-LT"/>
        </w:rPr>
        <w:lastRenderedPageBreak/>
        <w:t>INFORMACIJA ANT IŠORINĖS PAKUOTĖS</w:t>
      </w:r>
    </w:p>
    <w:p w14:paraId="448E91FE" w14:textId="77777777"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p>
    <w:p w14:paraId="2C8393D1" w14:textId="77777777"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KARTONO DĖŽUTĖ</w:t>
      </w:r>
    </w:p>
    <w:p w14:paraId="4ECA8AE6" w14:textId="77777777" w:rsidR="003F0515" w:rsidRPr="00C76F7B" w:rsidRDefault="003F0515" w:rsidP="003F0515">
      <w:pPr>
        <w:rPr>
          <w:szCs w:val="22"/>
          <w:lang w:val="lt-LT"/>
        </w:rPr>
      </w:pPr>
    </w:p>
    <w:p w14:paraId="4B3F6874" w14:textId="77777777" w:rsidR="003F0515" w:rsidRPr="00C76F7B" w:rsidRDefault="003F0515" w:rsidP="003F0515">
      <w:pPr>
        <w:rPr>
          <w:szCs w:val="22"/>
          <w:lang w:val="lt-LT"/>
        </w:rPr>
      </w:pPr>
    </w:p>
    <w:p w14:paraId="5A970E3E" w14:textId="4240A980"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1.</w:t>
      </w:r>
      <w:r w:rsidR="003D5A89" w:rsidRPr="00C76F7B">
        <w:rPr>
          <w:b/>
          <w:szCs w:val="22"/>
          <w:lang w:val="lt-LT"/>
        </w:rPr>
        <w:t xml:space="preserve"> </w:t>
      </w:r>
      <w:r w:rsidRPr="00C76F7B">
        <w:rPr>
          <w:b/>
          <w:szCs w:val="22"/>
          <w:lang w:val="lt-LT"/>
        </w:rPr>
        <w:t>VAISTINIO PREPARATO PAVADINIMAS</w:t>
      </w:r>
    </w:p>
    <w:p w14:paraId="700A5423" w14:textId="77777777" w:rsidR="003F0515" w:rsidRPr="00C76F7B" w:rsidRDefault="003F0515" w:rsidP="003F0515">
      <w:pPr>
        <w:rPr>
          <w:szCs w:val="22"/>
          <w:lang w:val="lt-LT"/>
        </w:rPr>
      </w:pPr>
    </w:p>
    <w:p w14:paraId="574AA6F8" w14:textId="77777777" w:rsidR="003F0515" w:rsidRPr="00C76F7B" w:rsidRDefault="003F0515" w:rsidP="003F0515">
      <w:pPr>
        <w:rPr>
          <w:szCs w:val="22"/>
          <w:lang w:val="lt-LT"/>
        </w:rPr>
      </w:pPr>
      <w:r w:rsidRPr="00C76F7B">
        <w:rPr>
          <w:szCs w:val="22"/>
          <w:lang w:val="lt-LT"/>
        </w:rPr>
        <w:t>Gelomyrtol forte 300 mg</w:t>
      </w:r>
      <w:r w:rsidRPr="00C76F7B">
        <w:rPr>
          <w:i/>
          <w:szCs w:val="22"/>
          <w:lang w:val="lt-LT"/>
        </w:rPr>
        <w:t xml:space="preserve"> </w:t>
      </w:r>
      <w:r w:rsidRPr="00C76F7B">
        <w:rPr>
          <w:szCs w:val="22"/>
          <w:lang w:val="lt-LT"/>
        </w:rPr>
        <w:t>skrandyje neirios minkštosios kapsulės</w:t>
      </w:r>
    </w:p>
    <w:p w14:paraId="65F4536E" w14:textId="77777777" w:rsidR="003F0515" w:rsidRPr="00C76F7B" w:rsidRDefault="003F0515" w:rsidP="003F0515">
      <w:pPr>
        <w:pStyle w:val="Default"/>
        <w:rPr>
          <w:sz w:val="22"/>
          <w:szCs w:val="22"/>
          <w:lang w:val="lt-LT"/>
        </w:rPr>
      </w:pPr>
      <w:r w:rsidRPr="00C76F7B">
        <w:rPr>
          <w:sz w:val="22"/>
          <w:szCs w:val="22"/>
          <w:lang w:val="lt-LT"/>
        </w:rPr>
        <w:t>Išgrynintų eukaliptų, saldžiųjų apelsinų, mirtų ir citrinų eterinių aliejų mišinio (66:32:1:1) distiliatas</w:t>
      </w:r>
    </w:p>
    <w:p w14:paraId="69318CE8" w14:textId="77777777" w:rsidR="003F0515" w:rsidRPr="00C76F7B" w:rsidRDefault="003F0515" w:rsidP="003F0515">
      <w:pPr>
        <w:rPr>
          <w:szCs w:val="22"/>
          <w:lang w:val="lt-LT"/>
        </w:rPr>
      </w:pPr>
    </w:p>
    <w:p w14:paraId="2CF79A57" w14:textId="77777777" w:rsidR="003F0515" w:rsidRPr="00C76F7B" w:rsidRDefault="003F0515" w:rsidP="003F0515">
      <w:pPr>
        <w:rPr>
          <w:szCs w:val="22"/>
          <w:lang w:val="lt-LT"/>
        </w:rPr>
      </w:pPr>
    </w:p>
    <w:p w14:paraId="31E8D153" w14:textId="75AFB921"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2.</w:t>
      </w:r>
      <w:r w:rsidR="003D5A89" w:rsidRPr="00C76F7B">
        <w:rPr>
          <w:b/>
          <w:szCs w:val="22"/>
          <w:lang w:val="lt-LT"/>
        </w:rPr>
        <w:t xml:space="preserve"> </w:t>
      </w:r>
      <w:r w:rsidRPr="00C76F7B">
        <w:rPr>
          <w:b/>
          <w:szCs w:val="22"/>
          <w:lang w:val="lt-LT"/>
        </w:rPr>
        <w:t xml:space="preserve">VEIKLIOJI MEDŽIAGA IR JOS KIEKIS </w:t>
      </w:r>
    </w:p>
    <w:p w14:paraId="4BB32F33" w14:textId="77777777" w:rsidR="003F0515" w:rsidRPr="00C76F7B" w:rsidRDefault="003F0515" w:rsidP="003F0515">
      <w:pPr>
        <w:rPr>
          <w:szCs w:val="22"/>
          <w:lang w:val="lt-LT"/>
        </w:rPr>
      </w:pPr>
    </w:p>
    <w:p w14:paraId="34268D65" w14:textId="1F773D45" w:rsidR="003F0515" w:rsidRPr="00C76F7B" w:rsidRDefault="003F0515" w:rsidP="003F0515">
      <w:pPr>
        <w:pStyle w:val="Default"/>
        <w:rPr>
          <w:sz w:val="22"/>
          <w:szCs w:val="22"/>
          <w:lang w:val="lt-LT"/>
        </w:rPr>
      </w:pPr>
      <w:r w:rsidRPr="00C76F7B">
        <w:rPr>
          <w:sz w:val="22"/>
          <w:szCs w:val="22"/>
          <w:lang w:val="lt-LT"/>
        </w:rPr>
        <w:t>Vienoje skrandyje neirioje minkštojoje kapsulėje yra 300 mg išgrynintų eukaliptų, saldžiųjų apelsinų, mirtų ir citrinų eterinių aliejų mišinio (66:32:1:1) distiliato.</w:t>
      </w:r>
    </w:p>
    <w:p w14:paraId="460B3BAD" w14:textId="77777777" w:rsidR="003F0515" w:rsidRPr="00C76F7B" w:rsidRDefault="003F0515" w:rsidP="003F0515">
      <w:pPr>
        <w:rPr>
          <w:szCs w:val="22"/>
          <w:lang w:val="lt-LT"/>
        </w:rPr>
      </w:pPr>
    </w:p>
    <w:p w14:paraId="37FD2979" w14:textId="77777777" w:rsidR="003F0515" w:rsidRPr="00C76F7B" w:rsidRDefault="003F0515" w:rsidP="003F0515">
      <w:pPr>
        <w:rPr>
          <w:szCs w:val="22"/>
          <w:lang w:val="lt-LT"/>
        </w:rPr>
      </w:pPr>
    </w:p>
    <w:p w14:paraId="062CE7B1" w14:textId="24FC5780"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3.</w:t>
      </w:r>
      <w:r w:rsidR="003D5A89" w:rsidRPr="00C76F7B">
        <w:rPr>
          <w:b/>
          <w:szCs w:val="22"/>
          <w:lang w:val="lt-LT"/>
        </w:rPr>
        <w:t xml:space="preserve"> </w:t>
      </w:r>
      <w:r w:rsidRPr="00C76F7B">
        <w:rPr>
          <w:b/>
          <w:szCs w:val="22"/>
          <w:lang w:val="lt-LT"/>
        </w:rPr>
        <w:t>PAGALBINIŲ MEDŽIAGŲ SĄRAŠAS</w:t>
      </w:r>
    </w:p>
    <w:p w14:paraId="03C137E3" w14:textId="77777777" w:rsidR="003F0515" w:rsidRPr="00C76F7B" w:rsidRDefault="003F0515" w:rsidP="003F0515">
      <w:pPr>
        <w:rPr>
          <w:szCs w:val="22"/>
          <w:lang w:val="lt-LT"/>
        </w:rPr>
      </w:pPr>
    </w:p>
    <w:p w14:paraId="2689B6FD" w14:textId="77777777" w:rsidR="003F0515" w:rsidRPr="00C76F7B" w:rsidRDefault="003F0515" w:rsidP="003F0515">
      <w:pPr>
        <w:rPr>
          <w:szCs w:val="22"/>
          <w:lang w:val="lt-LT"/>
        </w:rPr>
      </w:pPr>
      <w:r w:rsidRPr="00C76F7B">
        <w:rPr>
          <w:szCs w:val="22"/>
          <w:lang w:val="lt-LT"/>
        </w:rPr>
        <w:t>Sudėtyje yra sorbitolio (E420).</w:t>
      </w:r>
    </w:p>
    <w:p w14:paraId="0C3DD23E" w14:textId="77777777" w:rsidR="003F0515" w:rsidRPr="00C76F7B" w:rsidRDefault="003F0515" w:rsidP="003F0515">
      <w:pPr>
        <w:rPr>
          <w:szCs w:val="22"/>
          <w:lang w:val="lt-LT"/>
        </w:rPr>
      </w:pPr>
    </w:p>
    <w:p w14:paraId="3AB74F31" w14:textId="77777777" w:rsidR="003F0515" w:rsidRPr="00C76F7B" w:rsidRDefault="003F0515" w:rsidP="003F0515">
      <w:pPr>
        <w:rPr>
          <w:szCs w:val="22"/>
          <w:lang w:val="lt-LT"/>
        </w:rPr>
      </w:pPr>
    </w:p>
    <w:p w14:paraId="2565ED42" w14:textId="7E30C0DD"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4.</w:t>
      </w:r>
      <w:r w:rsidR="003D5A89" w:rsidRPr="00C76F7B">
        <w:rPr>
          <w:b/>
          <w:szCs w:val="22"/>
          <w:lang w:val="lt-LT"/>
        </w:rPr>
        <w:t xml:space="preserve"> </w:t>
      </w:r>
      <w:r w:rsidRPr="00C76F7B">
        <w:rPr>
          <w:b/>
          <w:szCs w:val="22"/>
          <w:lang w:val="lt-LT"/>
        </w:rPr>
        <w:t>FARMACINĖ FORMA IR KIEKIS PAKUOTĖJE</w:t>
      </w:r>
    </w:p>
    <w:p w14:paraId="524BCA60" w14:textId="77777777" w:rsidR="003F0515" w:rsidRPr="00C76F7B" w:rsidRDefault="003F0515" w:rsidP="003F0515">
      <w:pPr>
        <w:rPr>
          <w:szCs w:val="22"/>
          <w:lang w:val="lt-LT"/>
        </w:rPr>
      </w:pPr>
    </w:p>
    <w:p w14:paraId="409FB711" w14:textId="77777777" w:rsidR="003F0515" w:rsidRPr="00C76F7B" w:rsidRDefault="003F0515" w:rsidP="003F0515">
      <w:pPr>
        <w:rPr>
          <w:szCs w:val="22"/>
          <w:lang w:val="lt-LT"/>
        </w:rPr>
      </w:pPr>
      <w:r w:rsidRPr="00C76F7B">
        <w:rPr>
          <w:szCs w:val="22"/>
          <w:lang w:val="lt-LT"/>
        </w:rPr>
        <w:t>20</w:t>
      </w:r>
      <w:r w:rsidRPr="00C76F7B">
        <w:rPr>
          <w:i/>
          <w:szCs w:val="22"/>
          <w:lang w:val="lt-LT"/>
        </w:rPr>
        <w:t xml:space="preserve"> </w:t>
      </w:r>
      <w:r w:rsidRPr="00C76F7B">
        <w:rPr>
          <w:szCs w:val="22"/>
          <w:lang w:val="lt-LT"/>
        </w:rPr>
        <w:t>skrandyje neirių minkštųjų kapsulių</w:t>
      </w:r>
    </w:p>
    <w:p w14:paraId="62011F12" w14:textId="7B6558AB" w:rsidR="003F0515" w:rsidRPr="00C76F7B" w:rsidRDefault="00C76F7B" w:rsidP="003F0515">
      <w:pPr>
        <w:rPr>
          <w:szCs w:val="22"/>
          <w:lang w:val="lt-LT"/>
        </w:rPr>
      </w:pPr>
      <w:r w:rsidRPr="00370601">
        <w:rPr>
          <w:szCs w:val="22"/>
          <w:highlight w:val="lightGray"/>
          <w:lang w:val="lt-LT"/>
        </w:rPr>
        <w:t>50 skrandyje neirių minkštųjų kapsulių</w:t>
      </w:r>
    </w:p>
    <w:p w14:paraId="6011EE06" w14:textId="77777777" w:rsidR="003F0515" w:rsidRPr="00C76F7B" w:rsidRDefault="003F0515" w:rsidP="003F0515">
      <w:pPr>
        <w:rPr>
          <w:szCs w:val="22"/>
          <w:lang w:val="lt-LT"/>
        </w:rPr>
      </w:pPr>
    </w:p>
    <w:p w14:paraId="2AE53904" w14:textId="6CC02566"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5.</w:t>
      </w:r>
      <w:r w:rsidR="003D5A89" w:rsidRPr="00C76F7B">
        <w:rPr>
          <w:b/>
          <w:szCs w:val="22"/>
          <w:lang w:val="lt-LT"/>
        </w:rPr>
        <w:t xml:space="preserve"> </w:t>
      </w:r>
      <w:r w:rsidRPr="00C76F7B">
        <w:rPr>
          <w:b/>
          <w:szCs w:val="22"/>
          <w:lang w:val="lt-LT"/>
        </w:rPr>
        <w:t>VARTOJIMO METODAS IR BŪDAS</w:t>
      </w:r>
    </w:p>
    <w:p w14:paraId="36C92A51" w14:textId="77777777" w:rsidR="003F0515" w:rsidRPr="00C76F7B" w:rsidRDefault="003F0515" w:rsidP="003F0515">
      <w:pPr>
        <w:rPr>
          <w:szCs w:val="22"/>
          <w:lang w:val="lt-LT"/>
        </w:rPr>
      </w:pPr>
    </w:p>
    <w:p w14:paraId="5E69336D" w14:textId="77777777" w:rsidR="003F0515" w:rsidRPr="00C76F7B" w:rsidRDefault="003F0515" w:rsidP="003F0515">
      <w:pPr>
        <w:rPr>
          <w:szCs w:val="22"/>
          <w:lang w:val="lt-LT"/>
        </w:rPr>
      </w:pPr>
      <w:r w:rsidRPr="00C76F7B">
        <w:rPr>
          <w:szCs w:val="22"/>
          <w:lang w:val="lt-LT"/>
        </w:rPr>
        <w:t>Vartoti per burną.</w:t>
      </w:r>
    </w:p>
    <w:p w14:paraId="04E6B9D0" w14:textId="77777777" w:rsidR="003F0515" w:rsidRPr="00C76F7B" w:rsidRDefault="003F0515" w:rsidP="003F0515">
      <w:pPr>
        <w:rPr>
          <w:szCs w:val="22"/>
          <w:lang w:val="lt-LT"/>
        </w:rPr>
      </w:pPr>
      <w:r w:rsidRPr="00C76F7B">
        <w:rPr>
          <w:szCs w:val="22"/>
          <w:lang w:val="lt-LT"/>
        </w:rPr>
        <w:t xml:space="preserve">Prieš vartojimą perskaitykite pakuotės lapelį. </w:t>
      </w:r>
    </w:p>
    <w:p w14:paraId="2273128B" w14:textId="77777777" w:rsidR="003F0515" w:rsidRPr="00C76F7B" w:rsidRDefault="003F0515" w:rsidP="003F0515">
      <w:pPr>
        <w:rPr>
          <w:szCs w:val="22"/>
          <w:lang w:val="lt-LT"/>
        </w:rPr>
      </w:pPr>
    </w:p>
    <w:p w14:paraId="339B17E4" w14:textId="77777777" w:rsidR="003F0515" w:rsidRPr="00C76F7B" w:rsidRDefault="003F0515" w:rsidP="003F0515">
      <w:pPr>
        <w:rPr>
          <w:szCs w:val="22"/>
          <w:lang w:val="lt-LT"/>
        </w:rPr>
      </w:pPr>
    </w:p>
    <w:p w14:paraId="5FF064E9" w14:textId="251F7156"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6.</w:t>
      </w:r>
      <w:r w:rsidR="003D5A89" w:rsidRPr="00C76F7B">
        <w:rPr>
          <w:b/>
          <w:szCs w:val="22"/>
          <w:lang w:val="lt-LT"/>
        </w:rPr>
        <w:t xml:space="preserve"> </w:t>
      </w:r>
      <w:r w:rsidRPr="00C76F7B">
        <w:rPr>
          <w:b/>
          <w:szCs w:val="22"/>
          <w:lang w:val="lt-LT"/>
        </w:rPr>
        <w:t>SPECIALUS ĮSPĖJIMAS, KAD VAISTINĮ PREPARATĄ BŪTINA LAIKYTI VAIKAMS NEPASTEBIMOJE IR NEPASIEKIAMOJE VIETOJE</w:t>
      </w:r>
    </w:p>
    <w:p w14:paraId="245C2BBE" w14:textId="77777777" w:rsidR="003F0515" w:rsidRPr="00C76F7B" w:rsidRDefault="003F0515" w:rsidP="003F0515">
      <w:pPr>
        <w:rPr>
          <w:szCs w:val="22"/>
          <w:lang w:val="lt-LT"/>
        </w:rPr>
      </w:pPr>
    </w:p>
    <w:p w14:paraId="7F06DD7A" w14:textId="77777777" w:rsidR="003F0515" w:rsidRPr="00C76F7B" w:rsidRDefault="003F0515" w:rsidP="003F0515">
      <w:pPr>
        <w:rPr>
          <w:szCs w:val="22"/>
          <w:lang w:val="lt-LT"/>
        </w:rPr>
      </w:pPr>
      <w:r w:rsidRPr="00C76F7B">
        <w:rPr>
          <w:szCs w:val="22"/>
          <w:lang w:val="lt-LT"/>
        </w:rPr>
        <w:t>Laikyti vaikams nepastebimoje ir nepasiekiamoje vietoje.</w:t>
      </w:r>
    </w:p>
    <w:p w14:paraId="456BA022" w14:textId="77777777" w:rsidR="003F0515" w:rsidRPr="00C76F7B" w:rsidRDefault="003F0515" w:rsidP="003F0515">
      <w:pPr>
        <w:rPr>
          <w:szCs w:val="22"/>
          <w:lang w:val="lt-LT"/>
        </w:rPr>
      </w:pPr>
    </w:p>
    <w:p w14:paraId="4CEB1A48" w14:textId="77777777" w:rsidR="003F0515" w:rsidRPr="00C76F7B" w:rsidRDefault="003F0515" w:rsidP="003F0515">
      <w:pPr>
        <w:rPr>
          <w:szCs w:val="22"/>
          <w:lang w:val="lt-LT"/>
        </w:rPr>
      </w:pPr>
    </w:p>
    <w:p w14:paraId="725C2581" w14:textId="745619FF"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7.</w:t>
      </w:r>
      <w:r w:rsidR="003D5A89" w:rsidRPr="00C76F7B">
        <w:rPr>
          <w:b/>
          <w:szCs w:val="22"/>
          <w:lang w:val="lt-LT"/>
        </w:rPr>
        <w:t xml:space="preserve"> </w:t>
      </w:r>
      <w:r w:rsidRPr="00C76F7B">
        <w:rPr>
          <w:b/>
          <w:szCs w:val="22"/>
          <w:lang w:val="lt-LT"/>
        </w:rPr>
        <w:t>KITAS SPECIALUS ĮSPĖJIMAS (JEI REIKIA)</w:t>
      </w:r>
    </w:p>
    <w:p w14:paraId="5417AE8A" w14:textId="77777777" w:rsidR="003F0515" w:rsidRPr="00C76F7B" w:rsidRDefault="003F0515" w:rsidP="003F0515">
      <w:pPr>
        <w:rPr>
          <w:szCs w:val="22"/>
          <w:lang w:val="lt-LT"/>
        </w:rPr>
      </w:pPr>
    </w:p>
    <w:p w14:paraId="2B8FB488" w14:textId="77777777" w:rsidR="003F0515" w:rsidRPr="00C76F7B" w:rsidRDefault="003F0515" w:rsidP="003F0515">
      <w:pPr>
        <w:rPr>
          <w:szCs w:val="22"/>
          <w:lang w:val="lt-LT"/>
        </w:rPr>
      </w:pPr>
    </w:p>
    <w:p w14:paraId="430D9B6D" w14:textId="1F543CA1"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8.</w:t>
      </w:r>
      <w:r w:rsidR="003D5A89" w:rsidRPr="00C76F7B">
        <w:rPr>
          <w:b/>
          <w:szCs w:val="22"/>
          <w:lang w:val="lt-LT"/>
        </w:rPr>
        <w:t xml:space="preserve"> </w:t>
      </w:r>
      <w:r w:rsidRPr="00C76F7B">
        <w:rPr>
          <w:b/>
          <w:szCs w:val="22"/>
          <w:lang w:val="lt-LT"/>
        </w:rPr>
        <w:t>TINKAMUMO LAIKAS</w:t>
      </w:r>
    </w:p>
    <w:p w14:paraId="7C106C27" w14:textId="77777777" w:rsidR="003F0515" w:rsidRPr="00C76F7B" w:rsidRDefault="003F0515" w:rsidP="003F0515">
      <w:pPr>
        <w:rPr>
          <w:szCs w:val="22"/>
          <w:lang w:val="lt-LT"/>
        </w:rPr>
      </w:pPr>
    </w:p>
    <w:p w14:paraId="1D11FFEB" w14:textId="1A8B91AA" w:rsidR="003F0515" w:rsidRPr="00C76F7B" w:rsidRDefault="003F0515" w:rsidP="003F0515">
      <w:pPr>
        <w:rPr>
          <w:szCs w:val="22"/>
          <w:lang w:val="lt-LT"/>
        </w:rPr>
      </w:pPr>
      <w:r w:rsidRPr="00C76F7B">
        <w:rPr>
          <w:szCs w:val="22"/>
          <w:lang w:val="lt-LT"/>
        </w:rPr>
        <w:t>Tinka iki</w:t>
      </w:r>
      <w:r w:rsidR="003010E2" w:rsidRPr="00C76F7B">
        <w:rPr>
          <w:szCs w:val="22"/>
          <w:highlight w:val="lightGray"/>
          <w:lang w:val="lt-LT"/>
        </w:rPr>
        <w:t>/EXP</w:t>
      </w:r>
      <w:r w:rsidR="003D5A89" w:rsidRPr="00C76F7B">
        <w:rPr>
          <w:szCs w:val="22"/>
          <w:lang w:val="lt-LT"/>
        </w:rPr>
        <w:t xml:space="preserve">: </w:t>
      </w:r>
      <w:r w:rsidR="003D5A89" w:rsidRPr="00C76F7B">
        <w:rPr>
          <w:szCs w:val="22"/>
          <w:highlight w:val="lightGray"/>
          <w:lang w:val="lt-LT"/>
        </w:rPr>
        <w:t>MMMM mm</w:t>
      </w:r>
    </w:p>
    <w:p w14:paraId="569395A3" w14:textId="77777777" w:rsidR="003F0515" w:rsidRPr="00C76F7B" w:rsidRDefault="003F0515" w:rsidP="003F0515">
      <w:pPr>
        <w:rPr>
          <w:szCs w:val="22"/>
          <w:lang w:val="lt-LT"/>
        </w:rPr>
      </w:pPr>
    </w:p>
    <w:p w14:paraId="76E0820D" w14:textId="77777777" w:rsidR="003F0515" w:rsidRPr="00C76F7B" w:rsidRDefault="003F0515" w:rsidP="003F0515">
      <w:pPr>
        <w:rPr>
          <w:szCs w:val="22"/>
          <w:lang w:val="lt-LT"/>
        </w:rPr>
      </w:pPr>
    </w:p>
    <w:p w14:paraId="1DEA25E2" w14:textId="7FE89D88"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9.</w:t>
      </w:r>
      <w:r w:rsidR="003D5A89" w:rsidRPr="00C76F7B">
        <w:rPr>
          <w:b/>
          <w:szCs w:val="22"/>
          <w:lang w:val="lt-LT"/>
        </w:rPr>
        <w:t xml:space="preserve"> </w:t>
      </w:r>
      <w:r w:rsidRPr="00C76F7B">
        <w:rPr>
          <w:b/>
          <w:szCs w:val="22"/>
          <w:lang w:val="lt-LT"/>
        </w:rPr>
        <w:t>SPECIALIOS LAIKYMO SĄLYGOS</w:t>
      </w:r>
    </w:p>
    <w:p w14:paraId="3ABC1E00" w14:textId="77777777" w:rsidR="003F0515" w:rsidRPr="00C76F7B" w:rsidRDefault="003F0515" w:rsidP="003F0515">
      <w:pPr>
        <w:rPr>
          <w:szCs w:val="22"/>
          <w:lang w:val="lt-LT"/>
        </w:rPr>
      </w:pPr>
    </w:p>
    <w:p w14:paraId="5DD7CA1A" w14:textId="77777777" w:rsidR="003F0515" w:rsidRPr="00C76F7B" w:rsidRDefault="003F0515" w:rsidP="003F0515">
      <w:pPr>
        <w:rPr>
          <w:szCs w:val="22"/>
          <w:lang w:val="lt-LT"/>
        </w:rPr>
      </w:pPr>
      <w:r w:rsidRPr="00C76F7B">
        <w:rPr>
          <w:szCs w:val="22"/>
          <w:lang w:val="lt-LT"/>
        </w:rPr>
        <w:t xml:space="preserve">Laikyti ne aukštesnėje kaip 25 </w:t>
      </w:r>
      <w:r w:rsidRPr="00C76F7B">
        <w:rPr>
          <w:szCs w:val="22"/>
          <w:lang w:val="lt-LT"/>
        </w:rPr>
        <w:sym w:font="Symbol" w:char="F0B0"/>
      </w:r>
      <w:r w:rsidRPr="00C76F7B">
        <w:rPr>
          <w:szCs w:val="22"/>
          <w:lang w:val="lt-LT"/>
        </w:rPr>
        <w:t>C temperatūroje.</w:t>
      </w:r>
    </w:p>
    <w:p w14:paraId="3A713B0F" w14:textId="77777777" w:rsidR="003F0515" w:rsidRPr="00C76F7B" w:rsidRDefault="003F0515" w:rsidP="003F0515">
      <w:pPr>
        <w:rPr>
          <w:szCs w:val="22"/>
          <w:lang w:val="lt-LT"/>
        </w:rPr>
      </w:pPr>
      <w:r w:rsidRPr="00C76F7B">
        <w:rPr>
          <w:szCs w:val="22"/>
          <w:lang w:val="lt-LT"/>
        </w:rPr>
        <w:t>Laikyti gamintojo pakuotė, kad preparatas būtų apsaugotas nuo drėgmės.</w:t>
      </w:r>
    </w:p>
    <w:p w14:paraId="24F392B5" w14:textId="77777777" w:rsidR="003F0515" w:rsidRPr="00C76F7B" w:rsidRDefault="003F0515" w:rsidP="003F0515">
      <w:pPr>
        <w:rPr>
          <w:szCs w:val="22"/>
          <w:lang w:val="lt-LT"/>
        </w:rPr>
      </w:pPr>
    </w:p>
    <w:p w14:paraId="2F4FDE94" w14:textId="77777777" w:rsidR="003F0515" w:rsidRPr="00C76F7B" w:rsidRDefault="003F0515" w:rsidP="003F0515">
      <w:pPr>
        <w:rPr>
          <w:szCs w:val="22"/>
          <w:lang w:val="lt-LT"/>
        </w:rPr>
      </w:pPr>
    </w:p>
    <w:p w14:paraId="261AAFC8" w14:textId="34E68F10"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lastRenderedPageBreak/>
        <w:t>10.</w:t>
      </w:r>
      <w:r w:rsidR="003D5A89" w:rsidRPr="00C76F7B">
        <w:rPr>
          <w:b/>
          <w:szCs w:val="22"/>
          <w:lang w:val="lt-LT"/>
        </w:rPr>
        <w:t xml:space="preserve"> </w:t>
      </w:r>
      <w:r w:rsidRPr="00C76F7B">
        <w:rPr>
          <w:b/>
          <w:szCs w:val="22"/>
          <w:lang w:val="lt-LT"/>
        </w:rPr>
        <w:t>SPECIALIOS ATSARGUMO PRIEMONĖS DĖL NESUVARTOTO VAISTINIO PREPARATO AR JO ATLIEKŲ TVARKYMO (JEI REIKIA)</w:t>
      </w:r>
    </w:p>
    <w:p w14:paraId="68D6413A" w14:textId="77777777" w:rsidR="003F0515" w:rsidRPr="00C76F7B" w:rsidRDefault="003F0515" w:rsidP="003F0515">
      <w:pPr>
        <w:rPr>
          <w:szCs w:val="22"/>
          <w:lang w:val="lt-LT"/>
        </w:rPr>
      </w:pPr>
    </w:p>
    <w:p w14:paraId="7E914966" w14:textId="77777777" w:rsidR="003F0515" w:rsidRPr="00C76F7B" w:rsidRDefault="003F0515" w:rsidP="003F0515">
      <w:pPr>
        <w:rPr>
          <w:szCs w:val="22"/>
          <w:lang w:val="lt-LT"/>
        </w:rPr>
      </w:pPr>
    </w:p>
    <w:p w14:paraId="26B9CD82" w14:textId="530A257F"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11</w:t>
      </w:r>
      <w:r w:rsidRPr="00C76F7B">
        <w:rPr>
          <w:szCs w:val="22"/>
          <w:lang w:val="lt-LT"/>
        </w:rPr>
        <w:t>.</w:t>
      </w:r>
      <w:r w:rsidR="003D5A89" w:rsidRPr="00C76F7B">
        <w:rPr>
          <w:szCs w:val="22"/>
          <w:lang w:val="lt-LT"/>
        </w:rPr>
        <w:t xml:space="preserve"> </w:t>
      </w:r>
      <w:r w:rsidR="003D5A89" w:rsidRPr="00C76F7B">
        <w:rPr>
          <w:b/>
          <w:szCs w:val="22"/>
          <w:lang w:val="lt-LT"/>
        </w:rPr>
        <w:t>LYGIAGRETUS IMPORTUOTOJAS</w:t>
      </w:r>
    </w:p>
    <w:p w14:paraId="410DCD04" w14:textId="77777777" w:rsidR="003F0515" w:rsidRPr="00C76F7B" w:rsidRDefault="003F0515" w:rsidP="003F0515">
      <w:pPr>
        <w:rPr>
          <w:szCs w:val="22"/>
          <w:lang w:val="lt-LT"/>
        </w:rPr>
      </w:pPr>
    </w:p>
    <w:p w14:paraId="256E8E0E" w14:textId="11978569" w:rsidR="003F0515" w:rsidRPr="00C76F7B" w:rsidRDefault="00B25834" w:rsidP="003F0515">
      <w:pPr>
        <w:rPr>
          <w:color w:val="000000"/>
          <w:szCs w:val="22"/>
          <w:lang w:val="lt-LT"/>
        </w:rPr>
      </w:pPr>
      <w:r w:rsidRPr="00C76F7B">
        <w:rPr>
          <w:color w:val="000000"/>
          <w:szCs w:val="22"/>
          <w:lang w:val="lt-LT"/>
        </w:rPr>
        <w:t>Lygiagretus importuotojas UAB „Lex ano“</w:t>
      </w:r>
    </w:p>
    <w:p w14:paraId="1D4C75BF" w14:textId="77777777" w:rsidR="003F0515" w:rsidRPr="00C76F7B" w:rsidRDefault="003F0515" w:rsidP="003F0515">
      <w:pPr>
        <w:rPr>
          <w:szCs w:val="22"/>
          <w:lang w:val="lt-LT"/>
        </w:rPr>
      </w:pPr>
    </w:p>
    <w:p w14:paraId="194DDEE1" w14:textId="480B44FA"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12.</w:t>
      </w:r>
      <w:r w:rsidR="003D5A89" w:rsidRPr="00C76F7B">
        <w:rPr>
          <w:b/>
          <w:szCs w:val="22"/>
          <w:lang w:val="lt-LT"/>
        </w:rPr>
        <w:t xml:space="preserve"> LYGIAGRETAUS IMPORTO LEIDIMO NUMERIS</w:t>
      </w:r>
    </w:p>
    <w:p w14:paraId="5B6C23F2" w14:textId="77777777" w:rsidR="003F0515" w:rsidRPr="00C76F7B" w:rsidRDefault="003F0515" w:rsidP="003F0515">
      <w:pPr>
        <w:rPr>
          <w:szCs w:val="22"/>
          <w:lang w:val="lt-LT"/>
        </w:rPr>
      </w:pPr>
    </w:p>
    <w:p w14:paraId="5EABDC52" w14:textId="08CD16D1" w:rsidR="003F0515" w:rsidRPr="00C76F7B" w:rsidRDefault="00C76F7B" w:rsidP="003F0515">
      <w:pPr>
        <w:rPr>
          <w:szCs w:val="22"/>
          <w:lang w:val="lt-LT"/>
        </w:rPr>
      </w:pPr>
      <w:r w:rsidRPr="00370601">
        <w:rPr>
          <w:szCs w:val="22"/>
          <w:highlight w:val="lightGray"/>
          <w:lang w:val="lt-LT"/>
        </w:rPr>
        <w:t xml:space="preserve">N20 </w:t>
      </w:r>
      <w:r w:rsidR="00727C48">
        <w:rPr>
          <w:szCs w:val="22"/>
          <w:highlight w:val="lightGray"/>
          <w:lang w:val="lt-LT"/>
        </w:rPr>
        <w:t>–</w:t>
      </w:r>
      <w:r>
        <w:rPr>
          <w:szCs w:val="22"/>
          <w:lang w:val="lt-LT"/>
        </w:rPr>
        <w:t xml:space="preserve"> </w:t>
      </w:r>
      <w:r w:rsidR="00727C48">
        <w:rPr>
          <w:szCs w:val="22"/>
          <w:lang w:val="lt-LT"/>
        </w:rPr>
        <w:t xml:space="preserve">Lyg. imp. Nr.: </w:t>
      </w:r>
      <w:r w:rsidR="003F0515" w:rsidRPr="00C76F7B">
        <w:rPr>
          <w:szCs w:val="22"/>
          <w:lang w:val="lt-LT"/>
        </w:rPr>
        <w:t>LT/</w:t>
      </w:r>
      <w:r w:rsidR="003D5A89" w:rsidRPr="00C76F7B">
        <w:rPr>
          <w:szCs w:val="22"/>
          <w:lang w:val="lt-LT"/>
        </w:rPr>
        <w:t>L/19/</w:t>
      </w:r>
      <w:r w:rsidR="002C6405" w:rsidRPr="00C76F7B">
        <w:rPr>
          <w:szCs w:val="22"/>
          <w:lang w:val="lt-LT"/>
        </w:rPr>
        <w:t>0894/001</w:t>
      </w:r>
    </w:p>
    <w:p w14:paraId="21EDCFDB" w14:textId="4B58421F" w:rsidR="003F0515" w:rsidRPr="00C76F7B" w:rsidRDefault="00C76F7B" w:rsidP="003F0515">
      <w:pPr>
        <w:rPr>
          <w:szCs w:val="22"/>
          <w:lang w:val="lt-LT"/>
        </w:rPr>
      </w:pPr>
      <w:r w:rsidRPr="00370601">
        <w:rPr>
          <w:szCs w:val="22"/>
          <w:highlight w:val="lightGray"/>
          <w:lang w:val="lt-LT"/>
        </w:rPr>
        <w:t xml:space="preserve">N50 – </w:t>
      </w:r>
      <w:r w:rsidR="00727C48">
        <w:rPr>
          <w:szCs w:val="22"/>
          <w:highlight w:val="lightGray"/>
          <w:lang w:val="lt-LT"/>
        </w:rPr>
        <w:t xml:space="preserve">Lyg. imp. Nr.: </w:t>
      </w:r>
      <w:r w:rsidRPr="00370601">
        <w:rPr>
          <w:szCs w:val="22"/>
          <w:highlight w:val="lightGray"/>
          <w:lang w:val="lt-LT"/>
        </w:rPr>
        <w:t>LT/L/19</w:t>
      </w:r>
      <w:r w:rsidR="00FA265E">
        <w:rPr>
          <w:szCs w:val="22"/>
          <w:lang w:val="lt-LT"/>
        </w:rPr>
        <w:t>/0894/002</w:t>
      </w:r>
    </w:p>
    <w:p w14:paraId="3B4BB687" w14:textId="77777777" w:rsidR="003F0515" w:rsidRPr="00C76F7B" w:rsidRDefault="003F0515" w:rsidP="003F0515">
      <w:pPr>
        <w:rPr>
          <w:szCs w:val="22"/>
          <w:lang w:val="lt-LT"/>
        </w:rPr>
      </w:pPr>
    </w:p>
    <w:p w14:paraId="62A6298D" w14:textId="6F77C31E"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13.</w:t>
      </w:r>
      <w:r w:rsidR="003D5A89" w:rsidRPr="00C76F7B">
        <w:rPr>
          <w:b/>
          <w:szCs w:val="22"/>
          <w:lang w:val="lt-LT"/>
        </w:rPr>
        <w:t xml:space="preserve"> </w:t>
      </w:r>
      <w:r w:rsidRPr="00C76F7B">
        <w:rPr>
          <w:b/>
          <w:szCs w:val="22"/>
          <w:lang w:val="lt-LT"/>
        </w:rPr>
        <w:t>SERIJOS NUMERIS</w:t>
      </w:r>
    </w:p>
    <w:p w14:paraId="1B94F9EA" w14:textId="77777777" w:rsidR="003F0515" w:rsidRPr="00C76F7B" w:rsidRDefault="003F0515" w:rsidP="003F0515">
      <w:pPr>
        <w:rPr>
          <w:szCs w:val="22"/>
          <w:lang w:val="lt-LT"/>
        </w:rPr>
      </w:pPr>
    </w:p>
    <w:p w14:paraId="3D444ADE" w14:textId="00028FB0" w:rsidR="003F0515" w:rsidRPr="00C76F7B" w:rsidRDefault="003F0515" w:rsidP="003F0515">
      <w:pPr>
        <w:rPr>
          <w:szCs w:val="22"/>
          <w:lang w:val="lt-LT"/>
        </w:rPr>
      </w:pPr>
      <w:r w:rsidRPr="00C76F7B">
        <w:rPr>
          <w:szCs w:val="22"/>
          <w:lang w:val="lt-LT"/>
        </w:rPr>
        <w:t>Serija</w:t>
      </w:r>
      <w:r w:rsidR="003010E2" w:rsidRPr="00C76F7B">
        <w:rPr>
          <w:szCs w:val="22"/>
          <w:highlight w:val="lightGray"/>
          <w:lang w:val="lt-LT"/>
        </w:rPr>
        <w:t>/Lot</w:t>
      </w:r>
      <w:r w:rsidR="003D5A89" w:rsidRPr="00C76F7B">
        <w:rPr>
          <w:szCs w:val="22"/>
          <w:lang w:val="lt-LT"/>
        </w:rPr>
        <w:t>:</w:t>
      </w:r>
    </w:p>
    <w:p w14:paraId="7FF8FDB6" w14:textId="77777777" w:rsidR="003F0515" w:rsidRPr="00C76F7B" w:rsidRDefault="003F0515" w:rsidP="003F0515">
      <w:pPr>
        <w:rPr>
          <w:szCs w:val="22"/>
          <w:lang w:val="lt-LT"/>
        </w:rPr>
      </w:pPr>
    </w:p>
    <w:p w14:paraId="0E2A31DF" w14:textId="77777777" w:rsidR="003F0515" w:rsidRPr="00C76F7B" w:rsidRDefault="003F0515" w:rsidP="003F0515">
      <w:pPr>
        <w:rPr>
          <w:szCs w:val="22"/>
          <w:lang w:val="lt-LT"/>
        </w:rPr>
      </w:pPr>
    </w:p>
    <w:p w14:paraId="03C7EA25" w14:textId="110C2812"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14.</w:t>
      </w:r>
      <w:r w:rsidR="003D5A89" w:rsidRPr="00C76F7B">
        <w:rPr>
          <w:b/>
          <w:szCs w:val="22"/>
          <w:lang w:val="lt-LT"/>
        </w:rPr>
        <w:t xml:space="preserve"> </w:t>
      </w:r>
      <w:r w:rsidRPr="00C76F7B">
        <w:rPr>
          <w:b/>
          <w:szCs w:val="22"/>
          <w:lang w:val="lt-LT"/>
        </w:rPr>
        <w:t>PARDAVIMO (IŠDAVIMO) TVARKA</w:t>
      </w:r>
    </w:p>
    <w:p w14:paraId="276E2E69" w14:textId="77777777" w:rsidR="003F0515" w:rsidRPr="00C76F7B" w:rsidRDefault="003F0515" w:rsidP="003F0515">
      <w:pPr>
        <w:rPr>
          <w:szCs w:val="22"/>
          <w:lang w:val="lt-LT"/>
        </w:rPr>
      </w:pPr>
    </w:p>
    <w:p w14:paraId="48F748FC" w14:textId="67DADC91" w:rsidR="003F0515" w:rsidRPr="00C76F7B" w:rsidRDefault="003F0515" w:rsidP="003F0515">
      <w:pPr>
        <w:rPr>
          <w:szCs w:val="22"/>
          <w:lang w:val="lt-LT"/>
        </w:rPr>
      </w:pPr>
      <w:r w:rsidRPr="00C76F7B">
        <w:rPr>
          <w:szCs w:val="22"/>
          <w:lang w:val="lt-LT"/>
        </w:rPr>
        <w:t>Nereceptinis vaist</w:t>
      </w:r>
      <w:r w:rsidR="003D5A89" w:rsidRPr="00C76F7B">
        <w:rPr>
          <w:szCs w:val="22"/>
          <w:lang w:val="lt-LT"/>
        </w:rPr>
        <w:t>as.</w:t>
      </w:r>
    </w:p>
    <w:p w14:paraId="51B7D964" w14:textId="77777777" w:rsidR="003F0515" w:rsidRPr="00C76F7B" w:rsidRDefault="003F0515" w:rsidP="003F0515">
      <w:pPr>
        <w:rPr>
          <w:szCs w:val="22"/>
          <w:lang w:val="lt-LT"/>
        </w:rPr>
      </w:pPr>
    </w:p>
    <w:p w14:paraId="151BB61C" w14:textId="77777777" w:rsidR="003F0515" w:rsidRPr="00C76F7B" w:rsidRDefault="003F0515" w:rsidP="003F0515">
      <w:pPr>
        <w:rPr>
          <w:szCs w:val="22"/>
          <w:lang w:val="lt-LT"/>
        </w:rPr>
      </w:pPr>
    </w:p>
    <w:p w14:paraId="63260F69" w14:textId="76A6B0CB" w:rsidR="003F0515" w:rsidRPr="00C76F7B" w:rsidRDefault="003F0515" w:rsidP="003F0515">
      <w:pPr>
        <w:keepNext/>
        <w:pBdr>
          <w:top w:val="single" w:sz="4" w:space="1" w:color="auto"/>
          <w:left w:val="single" w:sz="4" w:space="4" w:color="auto"/>
          <w:bottom w:val="single" w:sz="4" w:space="1" w:color="auto"/>
          <w:right w:val="single" w:sz="4" w:space="4" w:color="auto"/>
        </w:pBdr>
        <w:outlineLvl w:val="2"/>
        <w:rPr>
          <w:b/>
          <w:szCs w:val="22"/>
          <w:lang w:val="lt-LT"/>
        </w:rPr>
      </w:pPr>
      <w:r w:rsidRPr="00C76F7B">
        <w:rPr>
          <w:b/>
          <w:szCs w:val="22"/>
          <w:lang w:val="lt-LT"/>
        </w:rPr>
        <w:t>15.</w:t>
      </w:r>
      <w:r w:rsidR="003D5A89" w:rsidRPr="00C76F7B">
        <w:rPr>
          <w:b/>
          <w:szCs w:val="22"/>
          <w:lang w:val="lt-LT"/>
        </w:rPr>
        <w:t xml:space="preserve"> </w:t>
      </w:r>
      <w:r w:rsidRPr="00C76F7B">
        <w:rPr>
          <w:b/>
          <w:szCs w:val="22"/>
          <w:lang w:val="lt-LT"/>
        </w:rPr>
        <w:t>VARTOJIMO INSTRUKCIJA</w:t>
      </w:r>
    </w:p>
    <w:p w14:paraId="462A14AC" w14:textId="77777777" w:rsidR="003F0515" w:rsidRPr="00C76F7B" w:rsidRDefault="003F0515" w:rsidP="003F0515">
      <w:pPr>
        <w:keepNext/>
        <w:outlineLvl w:val="1"/>
        <w:rPr>
          <w:szCs w:val="22"/>
          <w:lang w:val="lt-LT"/>
        </w:rPr>
      </w:pPr>
    </w:p>
    <w:p w14:paraId="32C5C4CE" w14:textId="77777777" w:rsidR="00A35436" w:rsidRPr="00F410C7" w:rsidRDefault="00A35436" w:rsidP="00A35436">
      <w:pPr>
        <w:keepNext/>
        <w:outlineLvl w:val="1"/>
        <w:rPr>
          <w:i/>
          <w:lang w:val="lt-LT"/>
        </w:rPr>
      </w:pPr>
      <w:r w:rsidRPr="00F410C7">
        <w:rPr>
          <w:i/>
          <w:lang w:val="lt-LT"/>
        </w:rPr>
        <w:t>Ūminis bronchit</w:t>
      </w:r>
      <w:r>
        <w:rPr>
          <w:i/>
          <w:lang w:val="lt-LT"/>
        </w:rPr>
        <w:t>as</w:t>
      </w:r>
      <w:r w:rsidRPr="00F410C7">
        <w:rPr>
          <w:i/>
          <w:lang w:val="lt-LT"/>
        </w:rPr>
        <w:t xml:space="preserve"> ar sinusitas</w:t>
      </w:r>
    </w:p>
    <w:p w14:paraId="681BD96B" w14:textId="6D0772FB" w:rsidR="00A35436" w:rsidRDefault="00A35436" w:rsidP="00A35436">
      <w:pPr>
        <w:keepNext/>
        <w:outlineLvl w:val="1"/>
        <w:rPr>
          <w:lang w:val="lt-LT"/>
        </w:rPr>
      </w:pPr>
      <w:r>
        <w:rPr>
          <w:lang w:val="lt-LT"/>
        </w:rPr>
        <w:t>S</w:t>
      </w:r>
      <w:r w:rsidRPr="007F18D1">
        <w:rPr>
          <w:lang w:val="lt-LT"/>
        </w:rPr>
        <w:t xml:space="preserve">uaugusiems </w:t>
      </w:r>
      <w:r>
        <w:rPr>
          <w:lang w:val="lt-LT"/>
        </w:rPr>
        <w:t xml:space="preserve"> ir paaugliam</w:t>
      </w:r>
      <w:r w:rsidRPr="007F18D1">
        <w:rPr>
          <w:lang w:val="lt-LT"/>
        </w:rPr>
        <w:t>s nuo 12 metų  gerti po 1 kapsulę 3</w:t>
      </w:r>
      <w:r>
        <w:rPr>
          <w:lang w:val="lt-LT"/>
        </w:rPr>
        <w:t>–</w:t>
      </w:r>
      <w:r w:rsidRPr="007F18D1">
        <w:rPr>
          <w:lang w:val="lt-LT"/>
        </w:rPr>
        <w:t>4 kartus per parą.</w:t>
      </w:r>
    </w:p>
    <w:p w14:paraId="0F70BBC2" w14:textId="3DC07856" w:rsidR="00A35436" w:rsidRDefault="00A35436" w:rsidP="00A35436">
      <w:pPr>
        <w:keepNext/>
        <w:outlineLvl w:val="1"/>
        <w:rPr>
          <w:lang w:val="lt-LT"/>
        </w:rPr>
      </w:pPr>
      <w:r w:rsidRPr="007F18D1">
        <w:rPr>
          <w:lang w:val="lt-LT"/>
        </w:rPr>
        <w:t>Vaikams</w:t>
      </w:r>
      <w:r>
        <w:rPr>
          <w:lang w:val="lt-LT"/>
        </w:rPr>
        <w:t xml:space="preserve"> ir paaugliams</w:t>
      </w:r>
      <w:r w:rsidRPr="007F18D1">
        <w:rPr>
          <w:lang w:val="lt-LT"/>
        </w:rPr>
        <w:t xml:space="preserve"> nuo 6 iki 12 metų gerti po 1 kapsulę 1</w:t>
      </w:r>
      <w:r>
        <w:rPr>
          <w:lang w:val="lt-LT"/>
        </w:rPr>
        <w:t>–</w:t>
      </w:r>
      <w:r w:rsidRPr="007F18D1">
        <w:rPr>
          <w:lang w:val="lt-LT"/>
        </w:rPr>
        <w:t xml:space="preserve">3 kartus per parą. </w:t>
      </w:r>
    </w:p>
    <w:p w14:paraId="72DFCBCD" w14:textId="77777777" w:rsidR="00A35436" w:rsidRDefault="00A35436" w:rsidP="00A35436">
      <w:pPr>
        <w:keepNext/>
        <w:outlineLvl w:val="1"/>
        <w:rPr>
          <w:lang w:val="lt-LT"/>
        </w:rPr>
      </w:pPr>
    </w:p>
    <w:p w14:paraId="0E9A7EDF" w14:textId="77777777" w:rsidR="00A35436" w:rsidRPr="00F410C7" w:rsidRDefault="00A35436" w:rsidP="00A35436">
      <w:pPr>
        <w:keepNext/>
        <w:outlineLvl w:val="1"/>
        <w:rPr>
          <w:i/>
          <w:lang w:val="lt-LT"/>
        </w:rPr>
      </w:pPr>
      <w:r w:rsidRPr="00F410C7">
        <w:rPr>
          <w:i/>
          <w:lang w:val="lt-LT"/>
        </w:rPr>
        <w:t>Lėtinis bronchitas ar sinusitas</w:t>
      </w:r>
    </w:p>
    <w:p w14:paraId="5801ED2E" w14:textId="32F2EF70" w:rsidR="00A35436" w:rsidRDefault="00A35436" w:rsidP="00A35436">
      <w:pPr>
        <w:keepNext/>
        <w:outlineLvl w:val="1"/>
        <w:rPr>
          <w:lang w:val="lt-LT"/>
        </w:rPr>
      </w:pPr>
      <w:r>
        <w:rPr>
          <w:lang w:val="lt-LT"/>
        </w:rPr>
        <w:t>S</w:t>
      </w:r>
      <w:r w:rsidRPr="007F18D1">
        <w:rPr>
          <w:lang w:val="lt-LT"/>
        </w:rPr>
        <w:t xml:space="preserve">uaugusiems </w:t>
      </w:r>
      <w:r>
        <w:rPr>
          <w:lang w:val="lt-LT"/>
        </w:rPr>
        <w:t xml:space="preserve"> ir paaugliams</w:t>
      </w:r>
      <w:r w:rsidRPr="007F18D1">
        <w:rPr>
          <w:lang w:val="lt-LT"/>
        </w:rPr>
        <w:t xml:space="preserve"> nuo 12 metų </w:t>
      </w:r>
      <w:r>
        <w:rPr>
          <w:lang w:val="lt-LT"/>
        </w:rPr>
        <w:t xml:space="preserve"> gerti po 1 kapsulę 2–3 kartus per parą.</w:t>
      </w:r>
    </w:p>
    <w:p w14:paraId="5CF4D214" w14:textId="16F37CF1" w:rsidR="00A35436" w:rsidRDefault="00A35436" w:rsidP="00A35436">
      <w:pPr>
        <w:keepNext/>
        <w:outlineLvl w:val="1"/>
        <w:rPr>
          <w:lang w:val="lt-LT"/>
        </w:rPr>
      </w:pPr>
      <w:r w:rsidRPr="007F18D1">
        <w:rPr>
          <w:lang w:val="lt-LT"/>
        </w:rPr>
        <w:t xml:space="preserve">Vaikams </w:t>
      </w:r>
      <w:r>
        <w:rPr>
          <w:lang w:val="lt-LT"/>
        </w:rPr>
        <w:t xml:space="preserve">ir paaugliams </w:t>
      </w:r>
      <w:r w:rsidRPr="007F18D1">
        <w:rPr>
          <w:lang w:val="lt-LT"/>
        </w:rPr>
        <w:t>nuo 6 iki 12 metų</w:t>
      </w:r>
      <w:r>
        <w:rPr>
          <w:lang w:val="lt-LT"/>
        </w:rPr>
        <w:t xml:space="preserve"> </w:t>
      </w:r>
      <w:r w:rsidRPr="007F18D1">
        <w:rPr>
          <w:lang w:val="lt-LT"/>
        </w:rPr>
        <w:t xml:space="preserve"> gerti po 1 kapsulę 1</w:t>
      </w:r>
      <w:r>
        <w:rPr>
          <w:lang w:val="lt-LT"/>
        </w:rPr>
        <w:t>–</w:t>
      </w:r>
      <w:r w:rsidRPr="007F18D1">
        <w:rPr>
          <w:lang w:val="lt-LT"/>
        </w:rPr>
        <w:t xml:space="preserve">2 kartus per parą. </w:t>
      </w:r>
    </w:p>
    <w:p w14:paraId="48642DAD" w14:textId="77777777" w:rsidR="003F0515" w:rsidRPr="00C76F7B" w:rsidRDefault="003F0515" w:rsidP="003F0515">
      <w:pPr>
        <w:rPr>
          <w:szCs w:val="22"/>
          <w:lang w:val="lt-LT"/>
        </w:rPr>
      </w:pPr>
    </w:p>
    <w:p w14:paraId="46392827" w14:textId="77777777" w:rsidR="003F0515" w:rsidRPr="00C76F7B" w:rsidRDefault="003F0515" w:rsidP="003F0515">
      <w:pPr>
        <w:tabs>
          <w:tab w:val="left" w:pos="567"/>
        </w:tabs>
        <w:spacing w:line="260" w:lineRule="exact"/>
        <w:rPr>
          <w:rFonts w:eastAsia="SimSun"/>
          <w:szCs w:val="22"/>
          <w:lang w:val="lt-LT"/>
        </w:rPr>
      </w:pPr>
    </w:p>
    <w:p w14:paraId="19C64600" w14:textId="71E34AE4" w:rsidR="003F0515" w:rsidRPr="00C76F7B" w:rsidRDefault="003F0515" w:rsidP="003F0515">
      <w:pPr>
        <w:suppressLineNumbers/>
        <w:pBdr>
          <w:top w:val="single" w:sz="4" w:space="1" w:color="auto"/>
          <w:left w:val="single" w:sz="4" w:space="4" w:color="auto"/>
          <w:bottom w:val="single" w:sz="4" w:space="0" w:color="auto"/>
          <w:right w:val="single" w:sz="4" w:space="4" w:color="auto"/>
        </w:pBdr>
        <w:tabs>
          <w:tab w:val="left" w:pos="567"/>
        </w:tabs>
        <w:rPr>
          <w:rFonts w:eastAsia="SimSun"/>
          <w:color w:val="008000"/>
          <w:szCs w:val="22"/>
          <w:lang w:val="lt-LT"/>
        </w:rPr>
      </w:pPr>
      <w:r w:rsidRPr="00C76F7B">
        <w:rPr>
          <w:rFonts w:eastAsia="SimSun"/>
          <w:b/>
          <w:szCs w:val="22"/>
          <w:lang w:val="lt-LT"/>
        </w:rPr>
        <w:t>16.</w:t>
      </w:r>
      <w:r w:rsidR="003D5A89" w:rsidRPr="00C76F7B">
        <w:rPr>
          <w:rFonts w:eastAsia="SimSun"/>
          <w:b/>
          <w:szCs w:val="22"/>
          <w:lang w:val="lt-LT"/>
        </w:rPr>
        <w:t xml:space="preserve"> </w:t>
      </w:r>
      <w:r w:rsidRPr="00C76F7B">
        <w:rPr>
          <w:rFonts w:eastAsia="SimSun"/>
          <w:b/>
          <w:szCs w:val="22"/>
          <w:lang w:val="lt-LT"/>
        </w:rPr>
        <w:t>INFORMACIJA BRAILIO RAŠTU</w:t>
      </w:r>
    </w:p>
    <w:p w14:paraId="66781BB4" w14:textId="77777777" w:rsidR="003F0515" w:rsidRPr="00C76F7B" w:rsidRDefault="003F0515" w:rsidP="003F0515">
      <w:pPr>
        <w:tabs>
          <w:tab w:val="left" w:pos="567"/>
        </w:tabs>
        <w:spacing w:line="260" w:lineRule="exact"/>
        <w:rPr>
          <w:rFonts w:eastAsia="SimSun"/>
          <w:szCs w:val="22"/>
          <w:lang w:val="lt-LT"/>
        </w:rPr>
      </w:pPr>
    </w:p>
    <w:p w14:paraId="28CBC0F4" w14:textId="38613D2D" w:rsidR="003F0515" w:rsidRPr="00C76F7B" w:rsidRDefault="003F0515" w:rsidP="003F0515">
      <w:pPr>
        <w:rPr>
          <w:szCs w:val="22"/>
          <w:lang w:val="lt-LT"/>
        </w:rPr>
      </w:pPr>
      <w:r w:rsidRPr="00C76F7B">
        <w:rPr>
          <w:szCs w:val="22"/>
          <w:lang w:val="lt-LT"/>
        </w:rPr>
        <w:t>gelomyrtol forte</w:t>
      </w:r>
      <w:r w:rsidR="008C61E5" w:rsidRPr="00C76F7B">
        <w:rPr>
          <w:szCs w:val="22"/>
          <w:lang w:val="lt-LT"/>
        </w:rPr>
        <w:t xml:space="preserve"> 300 mg</w:t>
      </w:r>
    </w:p>
    <w:p w14:paraId="12E774F5" w14:textId="77777777" w:rsidR="003D5A89" w:rsidRPr="00C76F7B" w:rsidRDefault="003D5A89" w:rsidP="003D5A89">
      <w:pPr>
        <w:rPr>
          <w:szCs w:val="22"/>
          <w:lang w:val="lt-LT"/>
        </w:rPr>
      </w:pPr>
    </w:p>
    <w:p w14:paraId="547E9C1E" w14:textId="77777777" w:rsidR="003D5A89" w:rsidRPr="00C76F7B" w:rsidRDefault="003D5A89" w:rsidP="003D5A89">
      <w:pPr>
        <w:pStyle w:val="PI-1labEMEASMCA"/>
        <w:rPr>
          <w:noProof w:val="0"/>
          <w:lang w:eastAsia="ko-KR"/>
        </w:rPr>
      </w:pPr>
      <w:r w:rsidRPr="00C76F7B">
        <w:rPr>
          <w:noProof w:val="0"/>
          <w:lang w:eastAsia="ko-KR"/>
        </w:rPr>
        <w:t>17.</w:t>
      </w:r>
      <w:r w:rsidRPr="00C76F7B">
        <w:rPr>
          <w:noProof w:val="0"/>
          <w:lang w:eastAsia="ko-KR"/>
        </w:rPr>
        <w:tab/>
        <w:t>UNIKALUS IDENTIFIKATORIUS – 2D BRŪKŠNINIS KODAS</w:t>
      </w:r>
    </w:p>
    <w:p w14:paraId="1837FED2" w14:textId="77777777" w:rsidR="003D5A89" w:rsidRPr="00C76F7B" w:rsidRDefault="003D5A89" w:rsidP="003D5A89">
      <w:pPr>
        <w:rPr>
          <w:lang w:val="lt-LT" w:eastAsia="lt-LT"/>
        </w:rPr>
      </w:pPr>
    </w:p>
    <w:p w14:paraId="3737828D" w14:textId="77777777" w:rsidR="003D5A89" w:rsidRPr="00C76F7B" w:rsidRDefault="003D5A89" w:rsidP="003D5A89">
      <w:pPr>
        <w:rPr>
          <w:lang w:val="lt-LT"/>
        </w:rPr>
      </w:pPr>
    </w:p>
    <w:p w14:paraId="679820E7" w14:textId="77777777" w:rsidR="003D5A89" w:rsidRPr="00C76F7B" w:rsidRDefault="003D5A89" w:rsidP="003D5A89">
      <w:pPr>
        <w:pStyle w:val="PI-1labEMEASMCA"/>
        <w:pBdr>
          <w:top w:val="single" w:sz="4" w:space="0" w:color="auto"/>
        </w:pBdr>
        <w:rPr>
          <w:noProof w:val="0"/>
          <w:lang w:eastAsia="ko-KR"/>
        </w:rPr>
      </w:pPr>
      <w:r w:rsidRPr="00C76F7B">
        <w:rPr>
          <w:noProof w:val="0"/>
          <w:lang w:eastAsia="ko-KR"/>
        </w:rPr>
        <w:t>18.</w:t>
      </w:r>
      <w:r w:rsidRPr="00C76F7B">
        <w:rPr>
          <w:noProof w:val="0"/>
          <w:lang w:eastAsia="ko-KR"/>
        </w:rPr>
        <w:tab/>
        <w:t>UNIKALUS IDENTIFIKATORIUS – ŽMONĖMS SUPRANTAMI DUOMENYS</w:t>
      </w:r>
    </w:p>
    <w:p w14:paraId="52333B46" w14:textId="77777777" w:rsidR="003D5A89" w:rsidRPr="00C76F7B" w:rsidRDefault="003D5A89" w:rsidP="003D5A89">
      <w:pPr>
        <w:overflowPunct w:val="0"/>
        <w:autoSpaceDE w:val="0"/>
        <w:autoSpaceDN w:val="0"/>
        <w:adjustRightInd w:val="0"/>
        <w:rPr>
          <w:lang w:val="lt-LT" w:eastAsia="lt-LT"/>
        </w:rPr>
      </w:pPr>
    </w:p>
    <w:p w14:paraId="1275C1DA" w14:textId="77777777" w:rsidR="003D5A89" w:rsidRPr="00C76F7B" w:rsidRDefault="003D5A89" w:rsidP="003D5A89">
      <w:pPr>
        <w:overflowPunct w:val="0"/>
        <w:autoSpaceDE w:val="0"/>
        <w:autoSpaceDN w:val="0"/>
        <w:adjustRightInd w:val="0"/>
        <w:rPr>
          <w:highlight w:val="lightGray"/>
          <w:lang w:val="lt-LT" w:eastAsia="lt-LT"/>
        </w:rPr>
      </w:pPr>
      <w:r w:rsidRPr="00C76F7B">
        <w:rPr>
          <w:highlight w:val="lightGray"/>
          <w:lang w:val="lt-LT" w:eastAsia="lt-LT"/>
        </w:rPr>
        <w:t>PC: {numeris}</w:t>
      </w:r>
    </w:p>
    <w:p w14:paraId="4A9A7E5E" w14:textId="77777777" w:rsidR="003D5A89" w:rsidRPr="00C76F7B" w:rsidRDefault="003D5A89" w:rsidP="003D5A89">
      <w:pPr>
        <w:overflowPunct w:val="0"/>
        <w:autoSpaceDE w:val="0"/>
        <w:autoSpaceDN w:val="0"/>
        <w:adjustRightInd w:val="0"/>
        <w:rPr>
          <w:lang w:val="lt-LT" w:eastAsia="lt-LT"/>
        </w:rPr>
      </w:pPr>
      <w:r w:rsidRPr="00C76F7B">
        <w:rPr>
          <w:highlight w:val="lightGray"/>
          <w:lang w:val="lt-LT" w:eastAsia="lt-LT"/>
        </w:rPr>
        <w:t>SN: {numeris}</w:t>
      </w:r>
      <w:r w:rsidRPr="00C76F7B">
        <w:rPr>
          <w:lang w:val="lt-LT" w:eastAsia="lt-LT"/>
        </w:rPr>
        <w:t xml:space="preserve"> </w:t>
      </w:r>
    </w:p>
    <w:p w14:paraId="23EEC281" w14:textId="77777777" w:rsidR="003D5A89" w:rsidRPr="00C76F7B" w:rsidRDefault="003D5A89" w:rsidP="003D5A89">
      <w:pPr>
        <w:rPr>
          <w:highlight w:val="lightGray"/>
          <w:lang w:val="lt-LT"/>
        </w:rPr>
      </w:pPr>
      <w:r w:rsidRPr="00C76F7B">
        <w:rPr>
          <w:highlight w:val="lightGray"/>
          <w:lang w:val="lt-LT"/>
        </w:rPr>
        <w:t xml:space="preserve">NN: {numeris} </w:t>
      </w:r>
    </w:p>
    <w:p w14:paraId="19A886FD" w14:textId="77777777" w:rsidR="003D5A89" w:rsidRPr="00C76F7B" w:rsidRDefault="003D5A89" w:rsidP="003D5A89">
      <w:pPr>
        <w:rPr>
          <w:lang w:val="lt-LT" w:eastAsia="lt-LT"/>
        </w:rPr>
      </w:pPr>
    </w:p>
    <w:p w14:paraId="714F4D42" w14:textId="77777777" w:rsidR="003D5A89" w:rsidRPr="00C76F7B" w:rsidRDefault="003D5A89" w:rsidP="003D5A89">
      <w:pPr>
        <w:rPr>
          <w:lang w:val="lt-LT" w:eastAsia="ko-KR"/>
        </w:rPr>
      </w:pPr>
      <w:r w:rsidRPr="00C76F7B">
        <w:rPr>
          <w:noProof/>
          <w:lang w:val="lt-LT" w:eastAsia="lt-LT"/>
        </w:rPr>
        <mc:AlternateContent>
          <mc:Choice Requires="wps">
            <w:drawing>
              <wp:anchor distT="0" distB="0" distL="114300" distR="114300" simplePos="0" relativeHeight="251659264" behindDoc="0" locked="0" layoutInCell="1" allowOverlap="1" wp14:anchorId="47232684" wp14:editId="2A895F16">
                <wp:simplePos x="0" y="0"/>
                <wp:positionH relativeFrom="column">
                  <wp:posOffset>-51435</wp:posOffset>
                </wp:positionH>
                <wp:positionV relativeFrom="paragraph">
                  <wp:posOffset>116205</wp:posOffset>
                </wp:positionV>
                <wp:extent cx="6448425" cy="0"/>
                <wp:effectExtent l="0" t="0" r="0" b="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26268"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BDi0Y1KQIAAE0EAAAOAAAAAAAAAAAAAAAAAC4CAABkcnMvZTJvRG9j&#10;LnhtbFBLAQItABQABgAIAAAAIQAoPrZs2gAAAAkBAAAPAAAAAAAAAAAAAAAAAIMEAABkcnMvZG93&#10;bnJldi54bWxQSwUGAAAAAAQABADzAAAAigUAAAAA&#10;" strokeweight="1pt">
                <v:stroke dashstyle="dash"/>
              </v:line>
            </w:pict>
          </mc:Fallback>
        </mc:AlternateContent>
      </w:r>
    </w:p>
    <w:p w14:paraId="0A53C368" w14:textId="77777777" w:rsidR="003D5A89" w:rsidRPr="00C76F7B" w:rsidRDefault="003D5A89" w:rsidP="003D5A89">
      <w:pPr>
        <w:autoSpaceDE w:val="0"/>
        <w:autoSpaceDN w:val="0"/>
        <w:adjustRightInd w:val="0"/>
        <w:rPr>
          <w:lang w:val="lt-LT" w:eastAsia="lt-LT"/>
        </w:rPr>
      </w:pPr>
      <w:r w:rsidRPr="00C76F7B">
        <w:rPr>
          <w:lang w:val="lt-LT" w:eastAsia="ko-KR"/>
        </w:rPr>
        <w:t>Gamintojas: G. Pohl-Boskamp GmbH &amp; Co. KG, Kieler Straße 11, 25551 Hohenlockstedt, Vokietija</w:t>
      </w:r>
    </w:p>
    <w:p w14:paraId="4A7C2BF2" w14:textId="77777777" w:rsidR="003D5A89" w:rsidRPr="00C76F7B" w:rsidRDefault="003D5A89" w:rsidP="003D5A89">
      <w:pPr>
        <w:tabs>
          <w:tab w:val="left" w:pos="540"/>
        </w:tabs>
        <w:rPr>
          <w:lang w:val="lt-LT" w:eastAsia="ko-KR"/>
        </w:rPr>
      </w:pPr>
    </w:p>
    <w:p w14:paraId="18AEC17A" w14:textId="77777777" w:rsidR="003D5A89" w:rsidRPr="00C76F7B" w:rsidRDefault="003D5A89" w:rsidP="003D5A89">
      <w:pPr>
        <w:tabs>
          <w:tab w:val="left" w:pos="540"/>
        </w:tabs>
        <w:rPr>
          <w:lang w:val="lt-LT" w:eastAsia="ko-KR"/>
        </w:rPr>
      </w:pPr>
      <w:r w:rsidRPr="00C76F7B">
        <w:rPr>
          <w:lang w:val="lt-LT" w:eastAsia="ko-KR"/>
        </w:rPr>
        <w:t>Perpakavo: BĮ UAB „Norfachema“</w:t>
      </w:r>
    </w:p>
    <w:p w14:paraId="034121A4" w14:textId="77777777" w:rsidR="003D5A89" w:rsidRPr="00C76F7B" w:rsidRDefault="003D5A89" w:rsidP="003D5A89">
      <w:pPr>
        <w:tabs>
          <w:tab w:val="left" w:pos="540"/>
        </w:tabs>
        <w:rPr>
          <w:lang w:val="lt-LT" w:eastAsia="ko-KR"/>
        </w:rPr>
      </w:pPr>
      <w:r w:rsidRPr="00C76F7B">
        <w:rPr>
          <w:highlight w:val="lightGray"/>
          <w:lang w:val="lt-LT" w:eastAsia="ko-KR"/>
        </w:rPr>
        <w:t>Perpakavo: UAB „Entafarma“</w:t>
      </w:r>
    </w:p>
    <w:p w14:paraId="74B44C85" w14:textId="77777777" w:rsidR="003D5A89" w:rsidRPr="00C76F7B" w:rsidRDefault="003D5A89" w:rsidP="003D5A89">
      <w:pPr>
        <w:tabs>
          <w:tab w:val="left" w:pos="540"/>
        </w:tabs>
        <w:rPr>
          <w:lang w:val="lt-LT" w:eastAsia="ko-KR"/>
        </w:rPr>
      </w:pPr>
    </w:p>
    <w:p w14:paraId="43E87025" w14:textId="7A8BB23C" w:rsidR="003D5A89" w:rsidRDefault="003D5A89" w:rsidP="003D5A89">
      <w:pPr>
        <w:pStyle w:val="BTEMEASMCA"/>
        <w:rPr>
          <w:noProof w:val="0"/>
          <w:lang w:eastAsia="ko-KR"/>
        </w:rPr>
      </w:pPr>
      <w:r w:rsidRPr="00C76F7B">
        <w:rPr>
          <w:noProof w:val="0"/>
          <w:lang w:eastAsia="ko-KR"/>
        </w:rPr>
        <w:t xml:space="preserve">Perpak. serija: </w:t>
      </w:r>
    </w:p>
    <w:p w14:paraId="5C419005" w14:textId="5A3F0321" w:rsidR="00DF0C02" w:rsidRDefault="00DF0C02" w:rsidP="003D5A89">
      <w:pPr>
        <w:pStyle w:val="BTEMEASMCA"/>
        <w:rPr>
          <w:noProof w:val="0"/>
          <w:lang w:eastAsia="ko-KR"/>
        </w:rPr>
      </w:pPr>
    </w:p>
    <w:p w14:paraId="3597AC9B" w14:textId="77777777" w:rsidR="00DF0C02" w:rsidRPr="009C2C9C" w:rsidRDefault="00DF0C02" w:rsidP="00DF0C02">
      <w:pPr>
        <w:suppressLineNumbers/>
        <w:pBdr>
          <w:top w:val="single" w:sz="4" w:space="1" w:color="auto"/>
          <w:left w:val="single" w:sz="4" w:space="4" w:color="auto"/>
          <w:bottom w:val="single" w:sz="4" w:space="1" w:color="auto"/>
          <w:right w:val="single" w:sz="4" w:space="4" w:color="auto"/>
        </w:pBdr>
        <w:tabs>
          <w:tab w:val="left" w:pos="567"/>
        </w:tabs>
        <w:rPr>
          <w:rFonts w:eastAsia="SimSun"/>
          <w:b/>
          <w:bCs/>
          <w:lang w:eastAsia="zh-CN"/>
        </w:rPr>
      </w:pPr>
      <w:r w:rsidRPr="009C2C9C">
        <w:rPr>
          <w:rFonts w:eastAsia="SimSun"/>
          <w:b/>
          <w:lang w:eastAsia="zh-CN"/>
        </w:rPr>
        <w:lastRenderedPageBreak/>
        <w:t>MINIMALI INFORMACIJA ANT LIZDINIŲ PLOKŠTELIŲ ARBA DVISLUOKSNIŲ JUOSTELIŲ</w:t>
      </w:r>
      <w:r w:rsidRPr="009C2C9C" w:rsidDel="00FF669C">
        <w:rPr>
          <w:rFonts w:eastAsia="SimSun"/>
          <w:b/>
          <w:bCs/>
          <w:lang w:eastAsia="zh-CN"/>
        </w:rPr>
        <w:t xml:space="preserve"> </w:t>
      </w:r>
    </w:p>
    <w:p w14:paraId="16C590D3" w14:textId="77777777" w:rsidR="00DF0C02" w:rsidRPr="009C2C9C" w:rsidRDefault="00DF0C02" w:rsidP="00DF0C02">
      <w:pPr>
        <w:suppressLineNumbers/>
        <w:pBdr>
          <w:top w:val="single" w:sz="4" w:space="1" w:color="auto"/>
          <w:left w:val="single" w:sz="4" w:space="4" w:color="auto"/>
          <w:bottom w:val="single" w:sz="4" w:space="1" w:color="auto"/>
          <w:right w:val="single" w:sz="4" w:space="4" w:color="auto"/>
        </w:pBdr>
        <w:tabs>
          <w:tab w:val="left" w:pos="567"/>
        </w:tabs>
        <w:rPr>
          <w:rFonts w:eastAsia="SimSun"/>
          <w:b/>
          <w:bCs/>
          <w:lang w:eastAsia="zh-CN"/>
        </w:rPr>
      </w:pPr>
    </w:p>
    <w:p w14:paraId="3451B250" w14:textId="77777777" w:rsidR="00DF0C02" w:rsidRPr="009C2C9C" w:rsidRDefault="00DF0C02" w:rsidP="00DF0C02">
      <w:pPr>
        <w:suppressLineNumbers/>
        <w:pBdr>
          <w:top w:val="single" w:sz="4" w:space="1" w:color="auto"/>
          <w:left w:val="single" w:sz="4" w:space="4" w:color="auto"/>
          <w:bottom w:val="single" w:sz="4" w:space="1" w:color="auto"/>
          <w:right w:val="single" w:sz="4" w:space="4" w:color="auto"/>
        </w:pBdr>
        <w:rPr>
          <w:rFonts w:eastAsia="SimSun"/>
          <w:b/>
          <w:bCs/>
          <w:lang w:eastAsia="zh-CN"/>
        </w:rPr>
      </w:pPr>
      <w:r w:rsidRPr="009C2C9C">
        <w:rPr>
          <w:rFonts w:eastAsia="SimSun"/>
          <w:b/>
          <w:bCs/>
          <w:lang w:eastAsia="zh-CN"/>
        </w:rPr>
        <w:t xml:space="preserve">LIZDINĖ PLOKŠTELĖ </w:t>
      </w:r>
    </w:p>
    <w:p w14:paraId="3D3281BA" w14:textId="77777777" w:rsidR="00DF0C02" w:rsidRPr="009C2C9C" w:rsidRDefault="00DF0C02" w:rsidP="00DF0C02">
      <w:pPr>
        <w:tabs>
          <w:tab w:val="left" w:pos="567"/>
        </w:tabs>
        <w:rPr>
          <w:rFonts w:eastAsia="SimSun"/>
          <w:lang w:eastAsia="zh-CN"/>
        </w:rPr>
      </w:pPr>
    </w:p>
    <w:p w14:paraId="55A78E2B" w14:textId="77777777" w:rsidR="00DF0C02" w:rsidRPr="009C2C9C" w:rsidRDefault="00DF0C02" w:rsidP="00DF0C02">
      <w:pPr>
        <w:tabs>
          <w:tab w:val="left" w:pos="567"/>
        </w:tabs>
        <w:rPr>
          <w:rFonts w:eastAsia="SimSun"/>
          <w:lang w:eastAsia="zh-CN"/>
        </w:rPr>
      </w:pPr>
    </w:p>
    <w:p w14:paraId="1805DA0C" w14:textId="77777777" w:rsidR="00DF0C02" w:rsidRPr="009C2C9C" w:rsidRDefault="00DF0C02" w:rsidP="00DF0C02">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9C2C9C">
        <w:rPr>
          <w:rFonts w:eastAsia="SimSun"/>
          <w:b/>
          <w:bCs/>
          <w:lang w:eastAsia="zh-CN"/>
        </w:rPr>
        <w:t>1.</w:t>
      </w:r>
      <w:r w:rsidRPr="009C2C9C">
        <w:rPr>
          <w:rFonts w:eastAsia="SimSun"/>
          <w:b/>
          <w:bCs/>
          <w:lang w:eastAsia="zh-CN"/>
        </w:rPr>
        <w:tab/>
      </w:r>
      <w:r w:rsidRPr="009C2C9C">
        <w:rPr>
          <w:rFonts w:eastAsia="SimSun"/>
          <w:b/>
          <w:bCs/>
          <w:caps/>
          <w:lang w:eastAsia="zh-CN"/>
        </w:rPr>
        <w:t>VAISTINIO</w:t>
      </w:r>
      <w:r w:rsidRPr="009C2C9C">
        <w:rPr>
          <w:rFonts w:eastAsia="SimSun"/>
          <w:b/>
          <w:bCs/>
          <w:lang w:eastAsia="zh-CN"/>
        </w:rPr>
        <w:t xml:space="preserve"> PREPARATO PAVADINIMAS</w:t>
      </w:r>
    </w:p>
    <w:p w14:paraId="338AAA58" w14:textId="77777777" w:rsidR="00DF0C02" w:rsidRPr="009C2C9C" w:rsidRDefault="00DF0C02" w:rsidP="00DF0C02">
      <w:pPr>
        <w:tabs>
          <w:tab w:val="left" w:pos="567"/>
        </w:tabs>
        <w:rPr>
          <w:rFonts w:eastAsia="SimSun"/>
          <w:lang w:eastAsia="zh-CN"/>
        </w:rPr>
      </w:pPr>
    </w:p>
    <w:p w14:paraId="69B5BD58" w14:textId="77777777" w:rsidR="00DF0C02" w:rsidRPr="009C2C9C" w:rsidRDefault="00DF0C02" w:rsidP="00DF0C02">
      <w:pPr>
        <w:tabs>
          <w:tab w:val="left" w:pos="567"/>
        </w:tabs>
        <w:rPr>
          <w:rFonts w:eastAsia="SimSun"/>
          <w:lang w:eastAsia="zh-CN"/>
        </w:rPr>
      </w:pPr>
      <w:r>
        <w:rPr>
          <w:rFonts w:eastAsia="SimSun"/>
          <w:lang w:eastAsia="zh-CN"/>
        </w:rPr>
        <w:t>Gelomyrtol forte 300 mg skrandyje neirios minkštosios kapsulės</w:t>
      </w:r>
    </w:p>
    <w:p w14:paraId="7C2DCED4" w14:textId="77777777" w:rsidR="00DF0C02" w:rsidRPr="009C2C9C" w:rsidRDefault="00DF0C02" w:rsidP="00DF0C02">
      <w:pPr>
        <w:autoSpaceDE w:val="0"/>
        <w:autoSpaceDN w:val="0"/>
        <w:adjustRightInd w:val="0"/>
        <w:rPr>
          <w:color w:val="000000"/>
        </w:rPr>
      </w:pPr>
    </w:p>
    <w:p w14:paraId="04649082" w14:textId="77777777" w:rsidR="00DF0C02" w:rsidRPr="009C2C9C" w:rsidRDefault="00DF0C02" w:rsidP="00DF0C02">
      <w:pPr>
        <w:tabs>
          <w:tab w:val="left" w:pos="567"/>
        </w:tabs>
        <w:rPr>
          <w:rFonts w:eastAsia="SimSun"/>
          <w:lang w:eastAsia="zh-CN"/>
        </w:rPr>
      </w:pPr>
    </w:p>
    <w:p w14:paraId="21087783" w14:textId="77777777" w:rsidR="00DF0C02" w:rsidRPr="009C2C9C" w:rsidRDefault="00DF0C02" w:rsidP="00DF0C02">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9C2C9C">
        <w:rPr>
          <w:rFonts w:eastAsia="SimSun"/>
          <w:b/>
          <w:bCs/>
          <w:lang w:eastAsia="zh-CN"/>
        </w:rPr>
        <w:t>2.</w:t>
      </w:r>
      <w:r w:rsidRPr="009C2C9C">
        <w:rPr>
          <w:rFonts w:eastAsia="SimSun"/>
          <w:b/>
          <w:bCs/>
          <w:lang w:eastAsia="zh-CN"/>
        </w:rPr>
        <w:tab/>
      </w:r>
      <w:r w:rsidRPr="009C2C9C">
        <w:rPr>
          <w:rFonts w:eastAsia="SimSun"/>
          <w:b/>
          <w:caps/>
          <w:lang w:eastAsia="zh-CN"/>
        </w:rPr>
        <w:t>LYGIAGRETUS IMPORTUOTOJAS</w:t>
      </w:r>
      <w:r w:rsidRPr="009C2C9C" w:rsidDel="00FF669C">
        <w:rPr>
          <w:rFonts w:eastAsia="SimSun"/>
          <w:b/>
          <w:bCs/>
          <w:lang w:eastAsia="zh-CN"/>
        </w:rPr>
        <w:t xml:space="preserve"> </w:t>
      </w:r>
    </w:p>
    <w:p w14:paraId="5CDD9D7A" w14:textId="77777777" w:rsidR="00DF0C02" w:rsidRPr="009C2C9C" w:rsidRDefault="00DF0C02" w:rsidP="00DF0C02">
      <w:pPr>
        <w:tabs>
          <w:tab w:val="left" w:pos="567"/>
        </w:tabs>
        <w:rPr>
          <w:rFonts w:eastAsia="SimSun"/>
          <w:lang w:eastAsia="zh-CN"/>
        </w:rPr>
      </w:pPr>
    </w:p>
    <w:p w14:paraId="3CEF36B3" w14:textId="77777777" w:rsidR="00DF0C02" w:rsidRPr="009C2C9C" w:rsidRDefault="00DF0C02" w:rsidP="00DF0C02">
      <w:pPr>
        <w:tabs>
          <w:tab w:val="left" w:pos="567"/>
        </w:tabs>
        <w:rPr>
          <w:rFonts w:eastAsia="SimSun"/>
          <w:lang w:eastAsia="zh-CN"/>
        </w:rPr>
      </w:pPr>
    </w:p>
    <w:p w14:paraId="401241A7" w14:textId="77777777" w:rsidR="00DF0C02" w:rsidRPr="009C2C9C" w:rsidRDefault="00DF0C02" w:rsidP="00DF0C02">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9C2C9C">
        <w:rPr>
          <w:rFonts w:eastAsia="SimSun"/>
          <w:b/>
          <w:bCs/>
          <w:lang w:eastAsia="zh-CN"/>
        </w:rPr>
        <w:t>3.</w:t>
      </w:r>
      <w:r w:rsidRPr="009C2C9C">
        <w:rPr>
          <w:rFonts w:eastAsia="SimSun"/>
          <w:b/>
          <w:bCs/>
          <w:lang w:eastAsia="zh-CN"/>
        </w:rPr>
        <w:tab/>
      </w:r>
      <w:r w:rsidRPr="009C2C9C">
        <w:rPr>
          <w:rFonts w:eastAsia="SimSun"/>
          <w:b/>
          <w:lang w:eastAsia="zh-CN"/>
        </w:rPr>
        <w:t>TINKAMUMO LAIKAS</w:t>
      </w:r>
    </w:p>
    <w:p w14:paraId="176D683B" w14:textId="77777777" w:rsidR="00DF0C02" w:rsidRPr="009C2C9C" w:rsidRDefault="00DF0C02" w:rsidP="00DF0C02">
      <w:pPr>
        <w:tabs>
          <w:tab w:val="left" w:pos="567"/>
        </w:tabs>
        <w:rPr>
          <w:rFonts w:eastAsia="SimSun"/>
          <w:lang w:eastAsia="zh-CN"/>
        </w:rPr>
      </w:pPr>
    </w:p>
    <w:p w14:paraId="5B445AA0" w14:textId="77777777" w:rsidR="00DF0C02" w:rsidRPr="009C2C9C" w:rsidRDefault="00DF0C02" w:rsidP="00DF0C02">
      <w:pPr>
        <w:tabs>
          <w:tab w:val="left" w:pos="567"/>
        </w:tabs>
        <w:rPr>
          <w:rFonts w:eastAsia="SimSun"/>
          <w:lang w:eastAsia="zh-CN"/>
        </w:rPr>
      </w:pPr>
    </w:p>
    <w:p w14:paraId="685598FE" w14:textId="77777777" w:rsidR="00DF0C02" w:rsidRPr="009C2C9C" w:rsidRDefault="00DF0C02" w:rsidP="00DF0C02">
      <w:pPr>
        <w:tabs>
          <w:tab w:val="left" w:pos="567"/>
        </w:tabs>
        <w:rPr>
          <w:rFonts w:eastAsia="SimSun"/>
          <w:lang w:eastAsia="zh-CN"/>
        </w:rPr>
      </w:pPr>
    </w:p>
    <w:p w14:paraId="36DB458E" w14:textId="77777777" w:rsidR="00DF0C02" w:rsidRPr="009C2C9C" w:rsidRDefault="00DF0C02" w:rsidP="00DF0C02">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9C2C9C">
        <w:rPr>
          <w:rFonts w:eastAsia="SimSun"/>
          <w:b/>
          <w:bCs/>
          <w:lang w:eastAsia="zh-CN"/>
        </w:rPr>
        <w:t>4.</w:t>
      </w:r>
      <w:r w:rsidRPr="009C2C9C">
        <w:rPr>
          <w:rFonts w:eastAsia="SimSun"/>
          <w:b/>
          <w:bCs/>
          <w:lang w:eastAsia="zh-CN"/>
        </w:rPr>
        <w:tab/>
      </w:r>
      <w:r w:rsidRPr="009C2C9C">
        <w:rPr>
          <w:rFonts w:eastAsia="SimSun"/>
          <w:b/>
          <w:lang w:eastAsia="zh-CN"/>
        </w:rPr>
        <w:t>SERIJOS NUMERIS</w:t>
      </w:r>
    </w:p>
    <w:p w14:paraId="1508270A" w14:textId="77777777" w:rsidR="00DF0C02" w:rsidRPr="009C2C9C" w:rsidRDefault="00DF0C02" w:rsidP="00DF0C02">
      <w:pPr>
        <w:autoSpaceDE w:val="0"/>
        <w:autoSpaceDN w:val="0"/>
        <w:adjustRightInd w:val="0"/>
        <w:rPr>
          <w:rFonts w:eastAsia="SimSun"/>
        </w:rPr>
      </w:pPr>
    </w:p>
    <w:p w14:paraId="74CE64ED" w14:textId="77777777" w:rsidR="00DF0C02" w:rsidRPr="009C2C9C" w:rsidRDefault="00DF0C02" w:rsidP="00DF0C02">
      <w:pPr>
        <w:tabs>
          <w:tab w:val="left" w:pos="567"/>
        </w:tabs>
        <w:rPr>
          <w:rFonts w:eastAsia="SimSun"/>
          <w:lang w:eastAsia="zh-CN"/>
        </w:rPr>
      </w:pPr>
    </w:p>
    <w:p w14:paraId="2D02BE14" w14:textId="77777777" w:rsidR="00DF0C02" w:rsidRPr="009C2C9C" w:rsidRDefault="00DF0C02" w:rsidP="00DF0C02">
      <w:pPr>
        <w:tabs>
          <w:tab w:val="left" w:pos="567"/>
        </w:tabs>
        <w:rPr>
          <w:rFonts w:eastAsia="SimSun"/>
          <w:lang w:eastAsia="zh-CN"/>
        </w:rPr>
      </w:pPr>
    </w:p>
    <w:p w14:paraId="5D42C0FB" w14:textId="77777777" w:rsidR="00DF0C02" w:rsidRPr="009C2C9C" w:rsidRDefault="00DF0C02" w:rsidP="00DF0C02">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lang w:eastAsia="zh-CN"/>
        </w:rPr>
      </w:pPr>
      <w:r w:rsidRPr="009C2C9C">
        <w:rPr>
          <w:rFonts w:eastAsia="SimSun"/>
          <w:b/>
          <w:bCs/>
          <w:lang w:eastAsia="zh-CN"/>
        </w:rPr>
        <w:t>5.</w:t>
      </w:r>
      <w:r w:rsidRPr="009C2C9C">
        <w:rPr>
          <w:rFonts w:eastAsia="SimSun"/>
          <w:b/>
          <w:bCs/>
          <w:lang w:eastAsia="zh-CN"/>
        </w:rPr>
        <w:tab/>
      </w:r>
      <w:r w:rsidRPr="009C2C9C">
        <w:rPr>
          <w:rFonts w:eastAsia="SimSun"/>
          <w:b/>
          <w:lang w:eastAsia="zh-CN"/>
        </w:rPr>
        <w:t>KITA</w:t>
      </w:r>
    </w:p>
    <w:p w14:paraId="6015A8A7" w14:textId="1EE1449D" w:rsidR="003F0515" w:rsidRPr="00C76F7B" w:rsidRDefault="003F0515" w:rsidP="003F0515">
      <w:pPr>
        <w:pStyle w:val="BodyText"/>
        <w:jc w:val="left"/>
        <w:rPr>
          <w:szCs w:val="22"/>
          <w:lang w:val="lt-LT"/>
        </w:rPr>
      </w:pPr>
      <w:r w:rsidRPr="00C76F7B">
        <w:rPr>
          <w:szCs w:val="22"/>
          <w:lang w:val="lt-LT"/>
        </w:rPr>
        <w:br w:type="page"/>
      </w:r>
    </w:p>
    <w:p w14:paraId="39F3FC4A" w14:textId="77777777" w:rsidR="003F0515" w:rsidRPr="00C76F7B" w:rsidRDefault="003F0515" w:rsidP="003F0515">
      <w:pPr>
        <w:pStyle w:val="BodyText"/>
        <w:jc w:val="left"/>
        <w:rPr>
          <w:szCs w:val="22"/>
          <w:lang w:val="lt-LT"/>
        </w:rPr>
      </w:pPr>
    </w:p>
    <w:p w14:paraId="602272C1" w14:textId="77777777" w:rsidR="003F0515" w:rsidRPr="00C76F7B" w:rsidRDefault="003F0515" w:rsidP="003F0515">
      <w:pPr>
        <w:pStyle w:val="BodyText"/>
        <w:jc w:val="left"/>
        <w:rPr>
          <w:szCs w:val="22"/>
          <w:lang w:val="lt-LT"/>
        </w:rPr>
      </w:pPr>
    </w:p>
    <w:p w14:paraId="24994815" w14:textId="77777777" w:rsidR="003F0515" w:rsidRPr="00C76F7B" w:rsidRDefault="003F0515" w:rsidP="003F0515">
      <w:pPr>
        <w:pStyle w:val="BodyText"/>
        <w:jc w:val="left"/>
        <w:rPr>
          <w:szCs w:val="22"/>
          <w:lang w:val="lt-LT"/>
        </w:rPr>
      </w:pPr>
    </w:p>
    <w:p w14:paraId="276F0BAC" w14:textId="77777777" w:rsidR="003F0515" w:rsidRPr="00C76F7B" w:rsidRDefault="003F0515" w:rsidP="003F0515">
      <w:pPr>
        <w:pStyle w:val="BodyText"/>
        <w:jc w:val="left"/>
        <w:rPr>
          <w:szCs w:val="22"/>
          <w:lang w:val="lt-LT"/>
        </w:rPr>
      </w:pPr>
    </w:p>
    <w:p w14:paraId="6A1F883E" w14:textId="77777777" w:rsidR="003F0515" w:rsidRPr="00C76F7B" w:rsidRDefault="003F0515" w:rsidP="003F0515">
      <w:pPr>
        <w:pStyle w:val="BodyText"/>
        <w:jc w:val="left"/>
        <w:rPr>
          <w:szCs w:val="22"/>
          <w:lang w:val="lt-LT"/>
        </w:rPr>
      </w:pPr>
    </w:p>
    <w:p w14:paraId="56BAACA8" w14:textId="77777777" w:rsidR="003F0515" w:rsidRPr="00C76F7B" w:rsidRDefault="003F0515" w:rsidP="003F0515">
      <w:pPr>
        <w:pStyle w:val="BodyText"/>
        <w:jc w:val="left"/>
        <w:rPr>
          <w:szCs w:val="22"/>
          <w:lang w:val="lt-LT"/>
        </w:rPr>
      </w:pPr>
    </w:p>
    <w:p w14:paraId="527E85B7" w14:textId="77777777" w:rsidR="003F0515" w:rsidRPr="00C76F7B" w:rsidRDefault="003F0515" w:rsidP="003F0515">
      <w:pPr>
        <w:pStyle w:val="BodyText"/>
        <w:jc w:val="left"/>
        <w:rPr>
          <w:szCs w:val="22"/>
          <w:lang w:val="lt-LT"/>
        </w:rPr>
      </w:pPr>
    </w:p>
    <w:p w14:paraId="5ADCB1C5" w14:textId="77777777" w:rsidR="003F0515" w:rsidRPr="00C76F7B" w:rsidRDefault="003F0515" w:rsidP="003F0515">
      <w:pPr>
        <w:pStyle w:val="BodyText"/>
        <w:jc w:val="left"/>
        <w:rPr>
          <w:szCs w:val="22"/>
          <w:lang w:val="lt-LT"/>
        </w:rPr>
      </w:pPr>
    </w:p>
    <w:p w14:paraId="5F9CA8CF" w14:textId="77777777" w:rsidR="003F0515" w:rsidRPr="00C76F7B" w:rsidRDefault="003F0515" w:rsidP="003F0515">
      <w:pPr>
        <w:pStyle w:val="BodyText"/>
        <w:jc w:val="left"/>
        <w:rPr>
          <w:szCs w:val="22"/>
          <w:lang w:val="lt-LT"/>
        </w:rPr>
      </w:pPr>
    </w:p>
    <w:p w14:paraId="1804E9AA" w14:textId="77777777" w:rsidR="003F0515" w:rsidRPr="00C76F7B" w:rsidRDefault="003F0515" w:rsidP="003F0515">
      <w:pPr>
        <w:pStyle w:val="BodyText"/>
        <w:jc w:val="left"/>
        <w:rPr>
          <w:szCs w:val="22"/>
          <w:lang w:val="lt-LT"/>
        </w:rPr>
      </w:pPr>
    </w:p>
    <w:p w14:paraId="0F84D7C8" w14:textId="77777777" w:rsidR="003F0515" w:rsidRPr="00C76F7B" w:rsidRDefault="003F0515" w:rsidP="003F0515">
      <w:pPr>
        <w:pStyle w:val="BodyText"/>
        <w:jc w:val="left"/>
        <w:rPr>
          <w:szCs w:val="22"/>
          <w:lang w:val="lt-LT"/>
        </w:rPr>
      </w:pPr>
    </w:p>
    <w:p w14:paraId="7656CFE5" w14:textId="77777777" w:rsidR="003F0515" w:rsidRPr="00C76F7B" w:rsidRDefault="003F0515" w:rsidP="003F0515">
      <w:pPr>
        <w:pStyle w:val="BodyText"/>
        <w:jc w:val="left"/>
        <w:rPr>
          <w:szCs w:val="22"/>
          <w:lang w:val="lt-LT"/>
        </w:rPr>
      </w:pPr>
    </w:p>
    <w:p w14:paraId="7B7285E4" w14:textId="77777777" w:rsidR="003F0515" w:rsidRPr="00C76F7B" w:rsidRDefault="003F0515" w:rsidP="003F0515">
      <w:pPr>
        <w:pStyle w:val="BodyText"/>
        <w:jc w:val="left"/>
        <w:rPr>
          <w:szCs w:val="22"/>
          <w:lang w:val="lt-LT"/>
        </w:rPr>
      </w:pPr>
    </w:p>
    <w:p w14:paraId="738765D9" w14:textId="77777777" w:rsidR="003F0515" w:rsidRPr="00C76F7B" w:rsidRDefault="003F0515" w:rsidP="003F0515">
      <w:pPr>
        <w:pStyle w:val="BodyText"/>
        <w:jc w:val="left"/>
        <w:rPr>
          <w:szCs w:val="22"/>
          <w:lang w:val="lt-LT"/>
        </w:rPr>
      </w:pPr>
    </w:p>
    <w:p w14:paraId="2C5B36EF" w14:textId="77777777" w:rsidR="003F0515" w:rsidRPr="00C76F7B" w:rsidRDefault="003F0515" w:rsidP="003F0515">
      <w:pPr>
        <w:pStyle w:val="BodyText"/>
        <w:jc w:val="left"/>
        <w:rPr>
          <w:szCs w:val="22"/>
          <w:lang w:val="lt-LT"/>
        </w:rPr>
      </w:pPr>
    </w:p>
    <w:p w14:paraId="42574777" w14:textId="77777777" w:rsidR="003F0515" w:rsidRPr="00C76F7B" w:rsidRDefault="003F0515" w:rsidP="003F0515">
      <w:pPr>
        <w:pStyle w:val="BodyText"/>
        <w:jc w:val="left"/>
        <w:rPr>
          <w:szCs w:val="22"/>
          <w:lang w:val="lt-LT"/>
        </w:rPr>
      </w:pPr>
    </w:p>
    <w:p w14:paraId="295D7580" w14:textId="77777777" w:rsidR="003F0515" w:rsidRPr="00C76F7B" w:rsidRDefault="003F0515" w:rsidP="003F0515">
      <w:pPr>
        <w:pStyle w:val="BodyText"/>
        <w:jc w:val="left"/>
        <w:rPr>
          <w:szCs w:val="22"/>
          <w:lang w:val="lt-LT"/>
        </w:rPr>
      </w:pPr>
    </w:p>
    <w:p w14:paraId="01717E1B" w14:textId="77777777" w:rsidR="003F0515" w:rsidRPr="00C76F7B" w:rsidRDefault="003F0515" w:rsidP="003F0515">
      <w:pPr>
        <w:pStyle w:val="BodyText"/>
        <w:jc w:val="left"/>
        <w:rPr>
          <w:szCs w:val="22"/>
          <w:lang w:val="lt-LT"/>
        </w:rPr>
      </w:pPr>
    </w:p>
    <w:p w14:paraId="79FF73AC" w14:textId="77777777" w:rsidR="003F0515" w:rsidRPr="00C76F7B" w:rsidRDefault="003F0515" w:rsidP="003F0515">
      <w:pPr>
        <w:pStyle w:val="BodyText"/>
        <w:jc w:val="left"/>
        <w:rPr>
          <w:szCs w:val="22"/>
          <w:lang w:val="lt-LT"/>
        </w:rPr>
      </w:pPr>
    </w:p>
    <w:p w14:paraId="58059195" w14:textId="77777777" w:rsidR="003F0515" w:rsidRPr="00C76F7B" w:rsidRDefault="003F0515" w:rsidP="003F0515">
      <w:pPr>
        <w:pStyle w:val="BodyText"/>
        <w:jc w:val="left"/>
        <w:rPr>
          <w:szCs w:val="22"/>
          <w:lang w:val="lt-LT"/>
        </w:rPr>
      </w:pPr>
    </w:p>
    <w:p w14:paraId="68AEEF7F" w14:textId="77777777" w:rsidR="003F0515" w:rsidRPr="00C76F7B" w:rsidRDefault="003F0515" w:rsidP="003F0515">
      <w:pPr>
        <w:pStyle w:val="BodyText"/>
        <w:jc w:val="left"/>
        <w:rPr>
          <w:szCs w:val="22"/>
          <w:lang w:val="lt-LT"/>
        </w:rPr>
      </w:pPr>
    </w:p>
    <w:p w14:paraId="1A26CA55" w14:textId="77777777" w:rsidR="003F0515" w:rsidRPr="00C76F7B" w:rsidRDefault="003F0515" w:rsidP="003F0515">
      <w:pPr>
        <w:pStyle w:val="BodyText"/>
        <w:jc w:val="left"/>
        <w:rPr>
          <w:szCs w:val="22"/>
          <w:lang w:val="lt-LT"/>
        </w:rPr>
      </w:pPr>
    </w:p>
    <w:p w14:paraId="5D2CE7A2" w14:textId="77777777" w:rsidR="003F0515" w:rsidRPr="00C76F7B" w:rsidRDefault="003F0515" w:rsidP="003F0515">
      <w:pPr>
        <w:pStyle w:val="Title"/>
        <w:rPr>
          <w:szCs w:val="22"/>
        </w:rPr>
      </w:pPr>
    </w:p>
    <w:p w14:paraId="1EBF1A01" w14:textId="77777777" w:rsidR="003F0515" w:rsidRPr="00C76F7B" w:rsidRDefault="003F0515" w:rsidP="003F0515">
      <w:pPr>
        <w:pStyle w:val="Title"/>
        <w:rPr>
          <w:szCs w:val="22"/>
        </w:rPr>
      </w:pPr>
      <w:r w:rsidRPr="00C76F7B">
        <w:rPr>
          <w:szCs w:val="22"/>
        </w:rPr>
        <w:t>B. PAKUOTĖS LAPELIS</w:t>
      </w:r>
    </w:p>
    <w:p w14:paraId="24555E46" w14:textId="77777777" w:rsidR="003F0515" w:rsidRPr="00C76F7B" w:rsidRDefault="003F0515" w:rsidP="003F0515">
      <w:pPr>
        <w:pStyle w:val="Title"/>
        <w:rPr>
          <w:szCs w:val="22"/>
        </w:rPr>
      </w:pPr>
      <w:r w:rsidRPr="00C76F7B">
        <w:rPr>
          <w:szCs w:val="22"/>
        </w:rPr>
        <w:br w:type="page"/>
      </w:r>
      <w:bookmarkStart w:id="0" w:name="_Toc129243138"/>
      <w:bookmarkStart w:id="1" w:name="_Toc129243263"/>
      <w:r w:rsidRPr="00C76F7B">
        <w:rPr>
          <w:szCs w:val="22"/>
        </w:rPr>
        <w:lastRenderedPageBreak/>
        <w:t>Pakuotės lapelis: informacija vartotojui</w:t>
      </w:r>
      <w:bookmarkEnd w:id="0"/>
      <w:bookmarkEnd w:id="1"/>
    </w:p>
    <w:p w14:paraId="7A0E68F6" w14:textId="77777777" w:rsidR="003F0515" w:rsidRPr="00C76F7B" w:rsidRDefault="003F0515" w:rsidP="003F0515">
      <w:pPr>
        <w:jc w:val="center"/>
        <w:rPr>
          <w:b/>
          <w:szCs w:val="22"/>
          <w:lang w:val="lt-LT"/>
        </w:rPr>
      </w:pPr>
    </w:p>
    <w:p w14:paraId="70A1C0C1" w14:textId="77777777" w:rsidR="003F0515" w:rsidRPr="00C76F7B" w:rsidRDefault="003F0515" w:rsidP="003F0515">
      <w:pPr>
        <w:jc w:val="center"/>
        <w:rPr>
          <w:b/>
          <w:szCs w:val="22"/>
          <w:lang w:val="lt-LT"/>
        </w:rPr>
      </w:pPr>
      <w:r w:rsidRPr="00C76F7B">
        <w:rPr>
          <w:b/>
          <w:szCs w:val="22"/>
          <w:lang w:val="lt-LT"/>
        </w:rPr>
        <w:t>Gelomyrtol forte 300 mg skrandyje neirios minkštosios kapsulės</w:t>
      </w:r>
    </w:p>
    <w:p w14:paraId="086C8EDF" w14:textId="77777777" w:rsidR="003F0515" w:rsidRPr="00C76F7B" w:rsidRDefault="003F0515" w:rsidP="003F0515">
      <w:pPr>
        <w:pStyle w:val="Default"/>
        <w:jc w:val="center"/>
        <w:rPr>
          <w:bCs/>
          <w:sz w:val="22"/>
          <w:szCs w:val="22"/>
          <w:lang w:val="lt-LT"/>
        </w:rPr>
      </w:pPr>
      <w:r w:rsidRPr="00C76F7B">
        <w:rPr>
          <w:sz w:val="22"/>
          <w:szCs w:val="22"/>
          <w:lang w:val="lt-LT"/>
        </w:rPr>
        <w:t>Išgrynintų eukaliptų, saldžiųjų apelsinų, mirtų ir citrinų eterinių aliejų mišinio (66:32:1:1) distiliatas</w:t>
      </w:r>
    </w:p>
    <w:p w14:paraId="47B1C413" w14:textId="77777777" w:rsidR="003F0515" w:rsidRPr="00C76F7B" w:rsidRDefault="003F0515" w:rsidP="003F0515">
      <w:pPr>
        <w:pStyle w:val="Title"/>
        <w:rPr>
          <w:szCs w:val="22"/>
        </w:rPr>
      </w:pPr>
    </w:p>
    <w:p w14:paraId="09BBD630" w14:textId="77777777" w:rsidR="003F0515" w:rsidRPr="00C76F7B" w:rsidRDefault="003F0515" w:rsidP="003F0515">
      <w:pPr>
        <w:ind w:left="567" w:hanging="567"/>
        <w:rPr>
          <w:b/>
          <w:szCs w:val="22"/>
          <w:lang w:val="lt-LT"/>
        </w:rPr>
      </w:pPr>
    </w:p>
    <w:p w14:paraId="06149548" w14:textId="77777777" w:rsidR="003F0515" w:rsidRPr="00C76F7B" w:rsidRDefault="003F0515" w:rsidP="003F0515">
      <w:pPr>
        <w:numPr>
          <w:ilvl w:val="12"/>
          <w:numId w:val="0"/>
        </w:numPr>
        <w:ind w:right="-2"/>
        <w:rPr>
          <w:b/>
          <w:szCs w:val="22"/>
          <w:lang w:val="lt-LT"/>
        </w:rPr>
      </w:pPr>
      <w:r w:rsidRPr="00C76F7B">
        <w:rPr>
          <w:b/>
          <w:szCs w:val="22"/>
          <w:lang w:val="lt-LT"/>
        </w:rPr>
        <w:t>Atidžiai perskaitykite visą šį lapelį, prieš pradėdami vartoti šį vaistą, nes jame pateikiama Jums svarbi informacija.</w:t>
      </w:r>
    </w:p>
    <w:p w14:paraId="5EAF9437" w14:textId="77777777" w:rsidR="003F0515" w:rsidRPr="00C76F7B" w:rsidRDefault="003F0515" w:rsidP="003F0515">
      <w:pPr>
        <w:numPr>
          <w:ilvl w:val="12"/>
          <w:numId w:val="0"/>
        </w:numPr>
        <w:rPr>
          <w:szCs w:val="22"/>
          <w:lang w:val="lt-LT"/>
        </w:rPr>
      </w:pPr>
      <w:r w:rsidRPr="00C76F7B">
        <w:rPr>
          <w:szCs w:val="22"/>
          <w:lang w:val="lt-LT"/>
        </w:rPr>
        <w:t>Visada vartokite šį vaistą tiksliai kaip aprašyta šiame lapelyje arba kaip nurodė gydytojas arba vaistininkas.</w:t>
      </w:r>
    </w:p>
    <w:p w14:paraId="10D5F081" w14:textId="77777777" w:rsidR="003F0515" w:rsidRPr="00C76F7B" w:rsidRDefault="003F0515" w:rsidP="003F0515">
      <w:pPr>
        <w:numPr>
          <w:ilvl w:val="0"/>
          <w:numId w:val="8"/>
        </w:numPr>
        <w:tabs>
          <w:tab w:val="left" w:pos="567"/>
        </w:tabs>
        <w:ind w:left="567" w:hanging="567"/>
        <w:rPr>
          <w:szCs w:val="22"/>
          <w:lang w:val="lt-LT"/>
        </w:rPr>
      </w:pPr>
      <w:r w:rsidRPr="00C76F7B">
        <w:rPr>
          <w:szCs w:val="22"/>
          <w:lang w:val="lt-LT"/>
        </w:rPr>
        <w:t xml:space="preserve">Neišmeskite šio lapelio, nes vėl gali prireikti jį perskaityti. </w:t>
      </w:r>
    </w:p>
    <w:p w14:paraId="7A783544" w14:textId="77777777" w:rsidR="003F0515" w:rsidRPr="00C76F7B" w:rsidRDefault="003F0515" w:rsidP="003F0515">
      <w:pPr>
        <w:numPr>
          <w:ilvl w:val="0"/>
          <w:numId w:val="8"/>
        </w:numPr>
        <w:tabs>
          <w:tab w:val="left" w:pos="567"/>
        </w:tabs>
        <w:ind w:left="567" w:hanging="567"/>
        <w:rPr>
          <w:szCs w:val="22"/>
          <w:lang w:val="lt-LT"/>
        </w:rPr>
      </w:pPr>
      <w:r w:rsidRPr="00C76F7B">
        <w:rPr>
          <w:szCs w:val="22"/>
          <w:lang w:val="lt-LT"/>
        </w:rPr>
        <w:t>Jeigu norite sužinoti daugiau arba pasitarti, kreipkitės į vaistininką.</w:t>
      </w:r>
    </w:p>
    <w:p w14:paraId="70A05894" w14:textId="77777777" w:rsidR="003F0515" w:rsidRPr="00C76F7B" w:rsidRDefault="003F0515" w:rsidP="003F0515">
      <w:pPr>
        <w:numPr>
          <w:ilvl w:val="0"/>
          <w:numId w:val="8"/>
        </w:numPr>
        <w:tabs>
          <w:tab w:val="left" w:pos="567"/>
        </w:tabs>
        <w:ind w:left="567" w:hanging="567"/>
        <w:rPr>
          <w:szCs w:val="22"/>
          <w:lang w:val="lt-LT"/>
        </w:rPr>
      </w:pPr>
      <w:r w:rsidRPr="00C76F7B">
        <w:rPr>
          <w:szCs w:val="22"/>
          <w:lang w:val="lt-LT"/>
        </w:rPr>
        <w:t>Jeigu pasireiškė šalutinis poveikis (net jeigu jis šiame lapelyje nenurodytas), kreipkitės į gydytoją arba vaistininką. Žr. 4 skyrių.</w:t>
      </w:r>
    </w:p>
    <w:p w14:paraId="52730EBD" w14:textId="77777777" w:rsidR="003F0515" w:rsidRPr="00C76F7B" w:rsidRDefault="003F0515" w:rsidP="003F0515">
      <w:pPr>
        <w:numPr>
          <w:ilvl w:val="0"/>
          <w:numId w:val="8"/>
        </w:numPr>
        <w:tabs>
          <w:tab w:val="left" w:pos="567"/>
        </w:tabs>
        <w:ind w:left="567" w:hanging="567"/>
        <w:rPr>
          <w:b/>
          <w:szCs w:val="22"/>
          <w:lang w:val="lt-LT"/>
        </w:rPr>
      </w:pPr>
      <w:r w:rsidRPr="00C76F7B">
        <w:rPr>
          <w:szCs w:val="22"/>
          <w:lang w:val="lt-LT"/>
        </w:rPr>
        <w:t>Jeigu per 10 dienų Jūsų savijauta nepagerėjo arba net pablogėjo, kreipkitės į gydytoją.</w:t>
      </w:r>
    </w:p>
    <w:p w14:paraId="230954EF" w14:textId="77777777" w:rsidR="003F0515" w:rsidRPr="00C76F7B" w:rsidRDefault="003F0515" w:rsidP="003F0515">
      <w:pPr>
        <w:tabs>
          <w:tab w:val="left" w:pos="567"/>
        </w:tabs>
        <w:rPr>
          <w:szCs w:val="22"/>
          <w:lang w:val="lt-LT"/>
        </w:rPr>
      </w:pPr>
    </w:p>
    <w:p w14:paraId="380C1A5C" w14:textId="77777777" w:rsidR="003F0515" w:rsidRPr="00C76F7B" w:rsidRDefault="003F0515" w:rsidP="003F0515">
      <w:pPr>
        <w:pStyle w:val="Heading4"/>
        <w:spacing w:before="0" w:after="0"/>
        <w:rPr>
          <w:sz w:val="22"/>
          <w:szCs w:val="22"/>
          <w:lang w:val="lt-LT"/>
        </w:rPr>
      </w:pPr>
      <w:r w:rsidRPr="00C76F7B">
        <w:rPr>
          <w:sz w:val="22"/>
          <w:szCs w:val="22"/>
          <w:lang w:val="lt-LT"/>
        </w:rPr>
        <w:t>Apie ką rašoma šiame lapelyje?</w:t>
      </w:r>
    </w:p>
    <w:p w14:paraId="435C047A" w14:textId="77777777" w:rsidR="003F0515" w:rsidRPr="00C76F7B" w:rsidRDefault="003F0515" w:rsidP="003F0515">
      <w:pPr>
        <w:pStyle w:val="Heading4"/>
        <w:spacing w:before="0" w:after="0"/>
        <w:rPr>
          <w:sz w:val="22"/>
          <w:szCs w:val="22"/>
          <w:lang w:val="lt-LT"/>
        </w:rPr>
      </w:pPr>
    </w:p>
    <w:p w14:paraId="3C2499FB" w14:textId="170A1542" w:rsidR="003F0515" w:rsidRPr="00C76F7B" w:rsidRDefault="003F0515" w:rsidP="003F0515">
      <w:pPr>
        <w:numPr>
          <w:ilvl w:val="0"/>
          <w:numId w:val="2"/>
        </w:numPr>
        <w:ind w:left="709" w:hanging="709"/>
        <w:rPr>
          <w:szCs w:val="22"/>
          <w:lang w:val="lt-LT"/>
        </w:rPr>
      </w:pPr>
      <w:r w:rsidRPr="00C76F7B">
        <w:rPr>
          <w:szCs w:val="22"/>
          <w:lang w:val="lt-LT"/>
        </w:rPr>
        <w:t>Kas yra Gelomyrtol forte ir kam jis vartojamas</w:t>
      </w:r>
    </w:p>
    <w:p w14:paraId="63340DF8" w14:textId="78DE37ED" w:rsidR="003F0515" w:rsidRPr="00C76F7B" w:rsidRDefault="003F0515" w:rsidP="003F0515">
      <w:pPr>
        <w:numPr>
          <w:ilvl w:val="0"/>
          <w:numId w:val="2"/>
        </w:numPr>
        <w:ind w:left="709" w:hanging="709"/>
        <w:rPr>
          <w:szCs w:val="22"/>
          <w:lang w:val="lt-LT"/>
        </w:rPr>
      </w:pPr>
      <w:r w:rsidRPr="00C76F7B">
        <w:rPr>
          <w:szCs w:val="22"/>
          <w:lang w:val="lt-LT"/>
        </w:rPr>
        <w:t>Kas žinotina prieš vartojant Gelomyrtol forte</w:t>
      </w:r>
    </w:p>
    <w:p w14:paraId="5F08D07D" w14:textId="00146CB9" w:rsidR="003F0515" w:rsidRPr="00C76F7B" w:rsidRDefault="003F0515" w:rsidP="003F0515">
      <w:pPr>
        <w:numPr>
          <w:ilvl w:val="0"/>
          <w:numId w:val="2"/>
        </w:numPr>
        <w:ind w:left="709" w:hanging="709"/>
        <w:rPr>
          <w:szCs w:val="22"/>
          <w:lang w:val="lt-LT"/>
        </w:rPr>
      </w:pPr>
      <w:r w:rsidRPr="00C76F7B">
        <w:rPr>
          <w:szCs w:val="22"/>
          <w:lang w:val="lt-LT"/>
        </w:rPr>
        <w:t>Kaip vartoti Gelomyrtol forte</w:t>
      </w:r>
    </w:p>
    <w:p w14:paraId="70332CBD" w14:textId="77777777" w:rsidR="003F0515" w:rsidRPr="00C76F7B" w:rsidRDefault="003F0515" w:rsidP="003F0515">
      <w:pPr>
        <w:numPr>
          <w:ilvl w:val="0"/>
          <w:numId w:val="2"/>
        </w:numPr>
        <w:ind w:left="709" w:hanging="709"/>
        <w:rPr>
          <w:szCs w:val="22"/>
          <w:lang w:val="lt-LT"/>
        </w:rPr>
      </w:pPr>
      <w:r w:rsidRPr="00C76F7B">
        <w:rPr>
          <w:szCs w:val="22"/>
          <w:lang w:val="lt-LT"/>
        </w:rPr>
        <w:t>Galimas šalutinis poveikis</w:t>
      </w:r>
    </w:p>
    <w:p w14:paraId="76484CFC" w14:textId="2A9B9ECB" w:rsidR="003F0515" w:rsidRPr="00C76F7B" w:rsidRDefault="003F0515" w:rsidP="003F0515">
      <w:pPr>
        <w:numPr>
          <w:ilvl w:val="0"/>
          <w:numId w:val="2"/>
        </w:numPr>
        <w:ind w:left="709" w:hanging="709"/>
        <w:rPr>
          <w:szCs w:val="22"/>
          <w:lang w:val="lt-LT"/>
        </w:rPr>
      </w:pPr>
      <w:r w:rsidRPr="00C76F7B">
        <w:rPr>
          <w:szCs w:val="22"/>
          <w:lang w:val="lt-LT"/>
        </w:rPr>
        <w:t xml:space="preserve">Kaip laikyti Gelomyrtol forte </w:t>
      </w:r>
    </w:p>
    <w:p w14:paraId="4EBE6957" w14:textId="77777777" w:rsidR="003F0515" w:rsidRPr="00C76F7B" w:rsidRDefault="003F0515" w:rsidP="003F0515">
      <w:pPr>
        <w:numPr>
          <w:ilvl w:val="0"/>
          <w:numId w:val="2"/>
        </w:numPr>
        <w:ind w:left="709" w:hanging="709"/>
        <w:rPr>
          <w:szCs w:val="22"/>
          <w:lang w:val="lt-LT"/>
        </w:rPr>
      </w:pPr>
      <w:r w:rsidRPr="00C76F7B">
        <w:rPr>
          <w:szCs w:val="22"/>
          <w:lang w:val="lt-LT"/>
        </w:rPr>
        <w:t>Pakuotės turinys ir kita informacija</w:t>
      </w:r>
    </w:p>
    <w:p w14:paraId="79DC09F1" w14:textId="77777777" w:rsidR="003F0515" w:rsidRPr="00C76F7B" w:rsidRDefault="003F0515" w:rsidP="003F0515">
      <w:pPr>
        <w:rPr>
          <w:szCs w:val="22"/>
          <w:lang w:val="lt-LT"/>
        </w:rPr>
      </w:pPr>
    </w:p>
    <w:p w14:paraId="09764C81" w14:textId="77777777" w:rsidR="003F0515" w:rsidRPr="00C76F7B" w:rsidRDefault="003F0515" w:rsidP="003F0515">
      <w:pPr>
        <w:rPr>
          <w:szCs w:val="22"/>
          <w:lang w:val="lt-LT"/>
        </w:rPr>
      </w:pPr>
    </w:p>
    <w:p w14:paraId="1A619E59" w14:textId="2F27A452" w:rsidR="003F0515" w:rsidRPr="00C76F7B" w:rsidRDefault="003F0515" w:rsidP="003010E2">
      <w:pPr>
        <w:pStyle w:val="BodyText2"/>
        <w:numPr>
          <w:ilvl w:val="0"/>
          <w:numId w:val="11"/>
        </w:numPr>
        <w:jc w:val="left"/>
        <w:rPr>
          <w:szCs w:val="22"/>
        </w:rPr>
      </w:pPr>
      <w:r w:rsidRPr="00C76F7B">
        <w:rPr>
          <w:b/>
          <w:szCs w:val="22"/>
        </w:rPr>
        <w:t>Kas yra Gelomyrtol forte ir kam jis vartojamas</w:t>
      </w:r>
    </w:p>
    <w:p w14:paraId="2E0479A0" w14:textId="77777777" w:rsidR="003F0515" w:rsidRPr="00C76F7B" w:rsidRDefault="003F0515" w:rsidP="003F0515">
      <w:pPr>
        <w:rPr>
          <w:i/>
          <w:szCs w:val="22"/>
          <w:lang w:val="lt-LT"/>
        </w:rPr>
      </w:pPr>
    </w:p>
    <w:p w14:paraId="7CBAB8ED" w14:textId="04E16BE3" w:rsidR="003F0515" w:rsidRPr="00C76F7B" w:rsidRDefault="003F0515" w:rsidP="00066015">
      <w:pPr>
        <w:jc w:val="both"/>
        <w:rPr>
          <w:szCs w:val="22"/>
          <w:lang w:val="lt-LT"/>
        </w:rPr>
      </w:pPr>
      <w:r w:rsidRPr="00C76F7B">
        <w:rPr>
          <w:szCs w:val="22"/>
          <w:lang w:val="lt-LT"/>
        </w:rPr>
        <w:t xml:space="preserve">Šis vaistinis preparatas skirtas atsikosėjimui, sergant ūmiu ir lėtiniu bronchitu, palengvinti bei sinusito simptomams lengvinti. Gelomyrtol </w:t>
      </w:r>
      <w:r w:rsidR="00066015" w:rsidRPr="00C76F7B">
        <w:rPr>
          <w:szCs w:val="22"/>
          <w:lang w:val="lt-LT"/>
        </w:rPr>
        <w:t xml:space="preserve">forte </w:t>
      </w:r>
      <w:r w:rsidRPr="00C76F7B">
        <w:rPr>
          <w:szCs w:val="22"/>
          <w:lang w:val="lt-LT"/>
        </w:rPr>
        <w:t>skystina bronchų ir nosiaryklės sekretą bei pagerina jo šalinimą.</w:t>
      </w:r>
    </w:p>
    <w:p w14:paraId="22555915" w14:textId="77777777" w:rsidR="003F0515" w:rsidRPr="00C76F7B" w:rsidRDefault="003F0515" w:rsidP="003F0515">
      <w:pPr>
        <w:rPr>
          <w:szCs w:val="22"/>
          <w:lang w:val="lt-LT"/>
        </w:rPr>
      </w:pPr>
    </w:p>
    <w:p w14:paraId="3F472D35" w14:textId="77777777" w:rsidR="003F0515" w:rsidRPr="00C76F7B" w:rsidRDefault="003F0515" w:rsidP="003F0515">
      <w:pPr>
        <w:rPr>
          <w:szCs w:val="22"/>
          <w:lang w:val="lt-LT"/>
        </w:rPr>
      </w:pPr>
      <w:r w:rsidRPr="00C76F7B">
        <w:rPr>
          <w:szCs w:val="22"/>
          <w:lang w:val="lt-LT"/>
        </w:rPr>
        <w:t>Jeigu per 10 dienų Jūsų savijauta nepagerėjo arba net pablogėjo, kreipkitės į gydytoją.</w:t>
      </w:r>
    </w:p>
    <w:p w14:paraId="289E1509" w14:textId="77777777" w:rsidR="003F0515" w:rsidRPr="00C76F7B" w:rsidRDefault="003F0515" w:rsidP="003F0515">
      <w:pPr>
        <w:rPr>
          <w:szCs w:val="22"/>
          <w:lang w:val="lt-LT"/>
        </w:rPr>
      </w:pPr>
    </w:p>
    <w:p w14:paraId="5399B862" w14:textId="77777777" w:rsidR="003F0515" w:rsidRPr="00C76F7B" w:rsidRDefault="003F0515" w:rsidP="003F0515">
      <w:pPr>
        <w:rPr>
          <w:szCs w:val="22"/>
          <w:lang w:val="lt-LT"/>
        </w:rPr>
      </w:pPr>
    </w:p>
    <w:p w14:paraId="4B4377B2" w14:textId="56F4A148" w:rsidR="003F0515" w:rsidRPr="00C76F7B" w:rsidRDefault="003F0515" w:rsidP="003F0515">
      <w:pPr>
        <w:rPr>
          <w:rStyle w:val="Heading2Char"/>
          <w:sz w:val="22"/>
          <w:szCs w:val="22"/>
          <w:lang w:val="lt-LT"/>
        </w:rPr>
      </w:pPr>
      <w:r w:rsidRPr="00C76F7B">
        <w:rPr>
          <w:b/>
          <w:szCs w:val="22"/>
          <w:lang w:val="lt-LT"/>
        </w:rPr>
        <w:t>2.</w:t>
      </w:r>
      <w:r w:rsidR="003010E2" w:rsidRPr="00C76F7B">
        <w:rPr>
          <w:b/>
          <w:szCs w:val="22"/>
          <w:lang w:val="lt-LT"/>
        </w:rPr>
        <w:t xml:space="preserve"> </w:t>
      </w:r>
      <w:r w:rsidRPr="00C76F7B">
        <w:rPr>
          <w:b/>
          <w:szCs w:val="22"/>
          <w:lang w:val="lt-LT"/>
        </w:rPr>
        <w:t xml:space="preserve">Kas žinotina prieš vartojant Gelomyrtol forte </w:t>
      </w:r>
    </w:p>
    <w:p w14:paraId="7653B74F" w14:textId="77777777" w:rsidR="003F0515" w:rsidRPr="00C76F7B" w:rsidRDefault="003F0515" w:rsidP="003F0515">
      <w:pPr>
        <w:rPr>
          <w:szCs w:val="22"/>
          <w:lang w:val="lt-LT"/>
        </w:rPr>
      </w:pPr>
    </w:p>
    <w:p w14:paraId="04AC5521" w14:textId="01DC1B61" w:rsidR="003F0515" w:rsidRPr="00C76F7B" w:rsidRDefault="003F0515" w:rsidP="003F0515">
      <w:pPr>
        <w:rPr>
          <w:b/>
          <w:szCs w:val="22"/>
          <w:lang w:val="lt-LT"/>
        </w:rPr>
      </w:pPr>
      <w:r w:rsidRPr="00C76F7B">
        <w:rPr>
          <w:b/>
          <w:szCs w:val="22"/>
          <w:lang w:val="lt-LT"/>
        </w:rPr>
        <w:t>Gelomyrtol forte vartoti negalima:</w:t>
      </w:r>
    </w:p>
    <w:p w14:paraId="17DD2BD7" w14:textId="77777777" w:rsidR="00A35436" w:rsidRPr="00F6276D" w:rsidRDefault="00A35436" w:rsidP="00A35436">
      <w:pPr>
        <w:pStyle w:val="BodyTextIndent"/>
        <w:numPr>
          <w:ilvl w:val="0"/>
          <w:numId w:val="3"/>
        </w:numPr>
        <w:spacing w:after="0"/>
        <w:ind w:hanging="720"/>
        <w:rPr>
          <w:szCs w:val="22"/>
          <w:lang w:val="lt-LT"/>
        </w:rPr>
      </w:pPr>
      <w:r w:rsidRPr="00F6276D">
        <w:rPr>
          <w:szCs w:val="22"/>
          <w:lang w:val="lt-LT"/>
        </w:rPr>
        <w:t>jei yra alergija eukalipto aliejui, saldžiųjų apelsinų aliejui, mirtos aliejui, citrinos aliejui arba cineolui (svarbiausiam eukalipto aliejaus komponentui) arba bet kuriai pagalbinei šio vaisto medžiagai (jos išvardytos 6 skyriuje)</w:t>
      </w:r>
      <w:r>
        <w:rPr>
          <w:szCs w:val="22"/>
          <w:lang w:val="lt-LT"/>
        </w:rPr>
        <w:t>;</w:t>
      </w:r>
    </w:p>
    <w:p w14:paraId="1AE79333" w14:textId="77777777" w:rsidR="00A35436" w:rsidRDefault="00A35436" w:rsidP="00A35436">
      <w:pPr>
        <w:pStyle w:val="BodyTextIndent"/>
        <w:numPr>
          <w:ilvl w:val="0"/>
          <w:numId w:val="3"/>
        </w:numPr>
        <w:spacing w:after="0"/>
        <w:ind w:hanging="720"/>
        <w:rPr>
          <w:szCs w:val="22"/>
          <w:lang w:val="lt-LT"/>
        </w:rPr>
      </w:pPr>
      <w:r w:rsidRPr="00F6276D">
        <w:rPr>
          <w:szCs w:val="22"/>
          <w:lang w:val="lt-LT"/>
        </w:rPr>
        <w:t>jeigu sergate skrandžio, žarnų arba tulžies pūslės ir latakų uždegimine liga arba sunkia kepenų liga;</w:t>
      </w:r>
    </w:p>
    <w:p w14:paraId="4106D8EE" w14:textId="77777777" w:rsidR="00A35436" w:rsidRPr="00F6276D" w:rsidRDefault="00A35436" w:rsidP="00A35436">
      <w:pPr>
        <w:pStyle w:val="BodyTextIndent"/>
        <w:numPr>
          <w:ilvl w:val="0"/>
          <w:numId w:val="3"/>
        </w:numPr>
        <w:spacing w:after="0"/>
        <w:ind w:hanging="720"/>
        <w:rPr>
          <w:szCs w:val="22"/>
          <w:lang w:val="lt-LT"/>
        </w:rPr>
      </w:pPr>
      <w:r>
        <w:rPr>
          <w:szCs w:val="22"/>
          <w:lang w:val="lt-LT"/>
        </w:rPr>
        <w:t>jaunesniems kaip 6 metų vaikams.</w:t>
      </w:r>
    </w:p>
    <w:p w14:paraId="4D4A999D" w14:textId="77777777" w:rsidR="003F0515" w:rsidRPr="00C76F7B" w:rsidRDefault="003F0515" w:rsidP="003F0515">
      <w:pPr>
        <w:rPr>
          <w:szCs w:val="22"/>
          <w:lang w:val="lt-LT"/>
        </w:rPr>
      </w:pPr>
    </w:p>
    <w:p w14:paraId="457A5793" w14:textId="77777777" w:rsidR="003F0515" w:rsidRPr="00C76F7B" w:rsidRDefault="003F0515" w:rsidP="003F0515">
      <w:pPr>
        <w:rPr>
          <w:szCs w:val="22"/>
          <w:lang w:val="lt-LT"/>
        </w:rPr>
      </w:pPr>
    </w:p>
    <w:p w14:paraId="017E8443" w14:textId="77777777" w:rsidR="003F0515" w:rsidRPr="00C76F7B" w:rsidRDefault="003F0515" w:rsidP="003F0515">
      <w:pPr>
        <w:rPr>
          <w:b/>
          <w:szCs w:val="22"/>
          <w:lang w:val="lt-LT"/>
        </w:rPr>
      </w:pPr>
      <w:r w:rsidRPr="00C76F7B">
        <w:rPr>
          <w:b/>
          <w:szCs w:val="22"/>
          <w:lang w:val="lt-LT"/>
        </w:rPr>
        <w:t>Įspėjimai ir atsargumo priemonės</w:t>
      </w:r>
    </w:p>
    <w:p w14:paraId="119F643A" w14:textId="3D5DCD1E" w:rsidR="00A35436" w:rsidRPr="00F6276D" w:rsidRDefault="00A35436" w:rsidP="00A35436">
      <w:pPr>
        <w:rPr>
          <w:szCs w:val="22"/>
          <w:lang w:val="lt-LT"/>
        </w:rPr>
      </w:pPr>
      <w:r w:rsidRPr="00F6276D">
        <w:rPr>
          <w:szCs w:val="22"/>
          <w:lang w:val="lt-LT"/>
        </w:rPr>
        <w:t>Pasitarkite su gydytoju arba vaistininku, prieš pradėdami vartoti Gelomyrtol forte</w:t>
      </w:r>
      <w:r>
        <w:rPr>
          <w:szCs w:val="22"/>
          <w:lang w:val="lt-LT"/>
        </w:rPr>
        <w:t>:</w:t>
      </w:r>
    </w:p>
    <w:p w14:paraId="2AD4B9BF" w14:textId="77777777" w:rsidR="00A35436" w:rsidRPr="00F6276D" w:rsidRDefault="00A35436" w:rsidP="00A35436">
      <w:pPr>
        <w:rPr>
          <w:szCs w:val="22"/>
          <w:lang w:val="lt-LT"/>
        </w:rPr>
      </w:pPr>
    </w:p>
    <w:p w14:paraId="3DE6A276" w14:textId="77777777" w:rsidR="00A35436" w:rsidRDefault="00A35436" w:rsidP="00A35436">
      <w:pPr>
        <w:numPr>
          <w:ilvl w:val="0"/>
          <w:numId w:val="9"/>
        </w:numPr>
        <w:ind w:left="567" w:hanging="567"/>
        <w:rPr>
          <w:szCs w:val="22"/>
          <w:lang w:val="lt-LT"/>
        </w:rPr>
      </w:pPr>
      <w:r>
        <w:rPr>
          <w:szCs w:val="22"/>
          <w:lang w:val="lt-LT"/>
        </w:rPr>
        <w:t>j</w:t>
      </w:r>
      <w:r w:rsidRPr="00F6276D">
        <w:rPr>
          <w:szCs w:val="22"/>
          <w:lang w:val="lt-LT"/>
        </w:rPr>
        <w:t>eigu sergate bronchų astma, kokliušu arba kitokia kvėpavimo takų liga pasižyminčia padidėjusiu kvėpavimo sistemos jautrumu, Gelomyrtol forte galima vartoti tik gydytojui paskyrus.</w:t>
      </w:r>
    </w:p>
    <w:p w14:paraId="53F36D0C" w14:textId="77777777" w:rsidR="00A35436" w:rsidRPr="00F6276D" w:rsidRDefault="00A35436" w:rsidP="00A35436">
      <w:pPr>
        <w:rPr>
          <w:szCs w:val="22"/>
          <w:lang w:val="lt-LT"/>
        </w:rPr>
      </w:pPr>
      <w:r w:rsidRPr="00F6276D">
        <w:rPr>
          <w:szCs w:val="22"/>
          <w:lang w:val="lt-LT"/>
        </w:rPr>
        <w:t xml:space="preserve">Jeigu savijauta nepagerėjo arba pasunkėjo, arba atsirado dusulys arba </w:t>
      </w:r>
      <w:r w:rsidRPr="00961974">
        <w:rPr>
          <w:lang w:val="lt-LT"/>
        </w:rPr>
        <w:t>karščiavimas</w:t>
      </w:r>
      <w:r w:rsidRPr="00F6276D">
        <w:rPr>
          <w:szCs w:val="22"/>
          <w:lang w:val="lt-LT"/>
        </w:rPr>
        <w:t>, arba pradėjote atsikosėti gleivėmis, kuriose yra kraujo, arba į pūlius panašios išskyros, nedelsiant kreipkitės į gydytoją.</w:t>
      </w:r>
    </w:p>
    <w:p w14:paraId="6BF02C8D" w14:textId="0429B1E3" w:rsidR="003F0515" w:rsidRDefault="003F0515" w:rsidP="003F0515">
      <w:pPr>
        <w:rPr>
          <w:szCs w:val="22"/>
          <w:lang w:val="lt-LT"/>
        </w:rPr>
      </w:pPr>
    </w:p>
    <w:p w14:paraId="4E9A0A7C" w14:textId="1820F07D" w:rsidR="00A35436" w:rsidRPr="00370601" w:rsidRDefault="00A35436" w:rsidP="003F0515">
      <w:pPr>
        <w:rPr>
          <w:b/>
          <w:bCs/>
          <w:szCs w:val="22"/>
          <w:lang w:val="lt-LT"/>
        </w:rPr>
      </w:pPr>
      <w:r w:rsidRPr="00370601">
        <w:rPr>
          <w:b/>
          <w:bCs/>
          <w:szCs w:val="22"/>
          <w:lang w:val="lt-LT"/>
        </w:rPr>
        <w:t>Vaikams</w:t>
      </w:r>
    </w:p>
    <w:p w14:paraId="77EA1A20" w14:textId="77777777" w:rsidR="003F0515" w:rsidRPr="00C76F7B" w:rsidRDefault="003F0515" w:rsidP="003F0515">
      <w:pPr>
        <w:rPr>
          <w:szCs w:val="22"/>
          <w:lang w:val="lt-LT"/>
        </w:rPr>
      </w:pPr>
      <w:r w:rsidRPr="00C76F7B">
        <w:rPr>
          <w:szCs w:val="22"/>
          <w:lang w:val="lt-LT"/>
        </w:rPr>
        <w:lastRenderedPageBreak/>
        <w:t>Jaunesniems nei 6 metų vaikams Gelomyrtol forte vartoti negalima.</w:t>
      </w:r>
    </w:p>
    <w:p w14:paraId="759ACD36" w14:textId="77777777" w:rsidR="003F0515" w:rsidRPr="00C76F7B" w:rsidRDefault="003F0515" w:rsidP="003F0515">
      <w:pPr>
        <w:rPr>
          <w:szCs w:val="22"/>
          <w:lang w:val="lt-LT"/>
        </w:rPr>
      </w:pPr>
    </w:p>
    <w:p w14:paraId="4EBF77A5" w14:textId="584266CD" w:rsidR="003F0515" w:rsidRPr="00C76F7B" w:rsidRDefault="003F0515" w:rsidP="003F0515">
      <w:pPr>
        <w:pStyle w:val="Heading3"/>
        <w:spacing w:before="0" w:after="0"/>
        <w:rPr>
          <w:rFonts w:ascii="Times New Roman" w:hAnsi="Times New Roman" w:cs="Times New Roman"/>
          <w:sz w:val="22"/>
          <w:szCs w:val="22"/>
          <w:lang w:val="lt-LT"/>
        </w:rPr>
      </w:pPr>
      <w:r w:rsidRPr="00C76F7B">
        <w:rPr>
          <w:rFonts w:ascii="Times New Roman" w:hAnsi="Times New Roman" w:cs="Times New Roman"/>
          <w:sz w:val="22"/>
          <w:szCs w:val="22"/>
          <w:lang w:val="lt-LT"/>
        </w:rPr>
        <w:t>Kiti vaistai ir Gelomyrtol forte</w:t>
      </w:r>
      <w:r w:rsidRPr="00C76F7B" w:rsidDel="00D9048C">
        <w:rPr>
          <w:rFonts w:ascii="Times New Roman" w:hAnsi="Times New Roman" w:cs="Times New Roman"/>
          <w:sz w:val="22"/>
          <w:szCs w:val="22"/>
          <w:lang w:val="lt-LT"/>
        </w:rPr>
        <w:t xml:space="preserve"> </w:t>
      </w:r>
    </w:p>
    <w:p w14:paraId="225DC57E" w14:textId="77777777" w:rsidR="003F0515" w:rsidRPr="00C76F7B" w:rsidRDefault="003F0515" w:rsidP="003F0515">
      <w:pPr>
        <w:tabs>
          <w:tab w:val="left" w:pos="8160"/>
        </w:tabs>
        <w:rPr>
          <w:szCs w:val="22"/>
          <w:lang w:val="lt-LT"/>
        </w:rPr>
      </w:pPr>
      <w:r w:rsidRPr="00C76F7B">
        <w:rPr>
          <w:szCs w:val="22"/>
          <w:lang w:val="lt-LT"/>
        </w:rPr>
        <w:t>Jeigu preparatas vartojamas taip, kaip rekomenduojama, vaistų sąveika nėra žinoma.</w:t>
      </w:r>
    </w:p>
    <w:p w14:paraId="026E305E" w14:textId="77777777" w:rsidR="003F0515" w:rsidRPr="00C76F7B" w:rsidRDefault="003F0515" w:rsidP="003F0515">
      <w:pPr>
        <w:pStyle w:val="Heading3"/>
        <w:spacing w:before="0" w:after="0"/>
        <w:rPr>
          <w:rFonts w:ascii="Times New Roman" w:hAnsi="Times New Roman" w:cs="Times New Roman"/>
          <w:sz w:val="22"/>
          <w:szCs w:val="22"/>
          <w:lang w:val="lt-LT"/>
        </w:rPr>
      </w:pPr>
    </w:p>
    <w:p w14:paraId="58424576" w14:textId="77777777" w:rsidR="003F0515" w:rsidRPr="00C76F7B" w:rsidRDefault="003F0515" w:rsidP="003F0515">
      <w:pPr>
        <w:pStyle w:val="Heading3"/>
        <w:spacing w:before="0" w:after="0"/>
        <w:rPr>
          <w:rFonts w:ascii="Times New Roman" w:hAnsi="Times New Roman" w:cs="Times New Roman"/>
          <w:sz w:val="22"/>
          <w:szCs w:val="22"/>
          <w:lang w:val="lt-LT"/>
        </w:rPr>
      </w:pPr>
      <w:r w:rsidRPr="00C76F7B">
        <w:rPr>
          <w:rFonts w:ascii="Times New Roman" w:hAnsi="Times New Roman" w:cs="Times New Roman"/>
          <w:sz w:val="22"/>
          <w:szCs w:val="22"/>
          <w:lang w:val="lt-LT"/>
        </w:rPr>
        <w:t>Nėštumas, žindymo laikotarpis ir vaisingumas</w:t>
      </w:r>
    </w:p>
    <w:p w14:paraId="016FAC5F" w14:textId="77777777" w:rsidR="003F0515" w:rsidRPr="00C76F7B" w:rsidRDefault="003F0515" w:rsidP="003F0515">
      <w:pPr>
        <w:rPr>
          <w:szCs w:val="22"/>
          <w:lang w:val="lt-LT"/>
        </w:rPr>
      </w:pPr>
      <w:r w:rsidRPr="00C76F7B">
        <w:rPr>
          <w:szCs w:val="22"/>
          <w:lang w:val="lt-LT"/>
        </w:rPr>
        <w:t>Jeigu esate nėščia, žindote kūdikį, manote, kad galbūt esate nėščia, arba planuojate pastoti, tai prieš vartodama šį vaistą, pasitarkite su gydytoju arba vaistininku.</w:t>
      </w:r>
    </w:p>
    <w:p w14:paraId="34345D3A" w14:textId="77777777" w:rsidR="003F0515" w:rsidRPr="00C76F7B" w:rsidRDefault="003F0515" w:rsidP="003F0515">
      <w:pPr>
        <w:rPr>
          <w:szCs w:val="22"/>
          <w:lang w:val="lt-LT"/>
        </w:rPr>
      </w:pPr>
    </w:p>
    <w:p w14:paraId="08F4E39E" w14:textId="77777777" w:rsidR="00022650" w:rsidRPr="00F6276D" w:rsidRDefault="00022650" w:rsidP="00022650">
      <w:pPr>
        <w:rPr>
          <w:szCs w:val="22"/>
          <w:lang w:val="lt-LT"/>
        </w:rPr>
      </w:pPr>
      <w:r w:rsidRPr="00F6276D">
        <w:rPr>
          <w:szCs w:val="22"/>
          <w:lang w:val="lt-LT"/>
        </w:rPr>
        <w:t>Dėl veikliosios medžiagos tirpumo riebaluose, labai tikėtinas mažų koncentracijų patekimas į motinos pieną. Duomenų apie padidėjusį pavojų žindymo laikotarpiu vartojant Gelomyrtol forte iki šiol gauta nebuvo. Kaip ir prieš vartojant kitokių vaistinių preparatų, žindymo laikotarpiu reikia pasitarti su gydytoju.</w:t>
      </w:r>
    </w:p>
    <w:p w14:paraId="35CCC8AA" w14:textId="77777777" w:rsidR="00022650" w:rsidRPr="00F6276D" w:rsidRDefault="00022650" w:rsidP="00022650">
      <w:pPr>
        <w:ind w:left="567" w:hanging="567"/>
        <w:rPr>
          <w:szCs w:val="22"/>
          <w:lang w:val="lt-LT"/>
        </w:rPr>
      </w:pPr>
    </w:p>
    <w:p w14:paraId="0C3AF84E" w14:textId="77777777" w:rsidR="00022650" w:rsidRPr="00F6276D" w:rsidRDefault="00022650" w:rsidP="00022650">
      <w:pPr>
        <w:rPr>
          <w:szCs w:val="22"/>
          <w:lang w:val="lt-LT"/>
        </w:rPr>
      </w:pPr>
      <w:r w:rsidRPr="00F6276D">
        <w:rPr>
          <w:szCs w:val="22"/>
          <w:lang w:val="lt-LT"/>
        </w:rPr>
        <w:t>Tyrimai su gyvūnais tiesioginio ar netiesioginio kenk</w:t>
      </w:r>
      <w:r>
        <w:rPr>
          <w:szCs w:val="22"/>
          <w:lang w:val="lt-LT"/>
        </w:rPr>
        <w:t>s</w:t>
      </w:r>
      <w:r w:rsidRPr="00F6276D">
        <w:rPr>
          <w:szCs w:val="22"/>
          <w:lang w:val="lt-LT"/>
        </w:rPr>
        <w:t>mingo poveikio vaisingumui neparodė.</w:t>
      </w:r>
    </w:p>
    <w:p w14:paraId="13F34091" w14:textId="77777777" w:rsidR="003F0515" w:rsidRPr="00C76F7B" w:rsidRDefault="003F0515" w:rsidP="003F0515">
      <w:pPr>
        <w:pStyle w:val="Heading3"/>
        <w:spacing w:before="0" w:after="0"/>
        <w:rPr>
          <w:rFonts w:ascii="Times New Roman" w:hAnsi="Times New Roman" w:cs="Times New Roman"/>
          <w:sz w:val="22"/>
          <w:szCs w:val="22"/>
          <w:lang w:val="lt-LT"/>
        </w:rPr>
      </w:pPr>
    </w:p>
    <w:p w14:paraId="7600BCC2" w14:textId="77777777" w:rsidR="003F0515" w:rsidRPr="00C76F7B" w:rsidRDefault="003F0515" w:rsidP="003F0515">
      <w:pPr>
        <w:pStyle w:val="Heading3"/>
        <w:spacing w:before="0" w:after="0"/>
        <w:rPr>
          <w:rFonts w:ascii="Times New Roman" w:hAnsi="Times New Roman" w:cs="Times New Roman"/>
          <w:sz w:val="22"/>
          <w:szCs w:val="22"/>
          <w:lang w:val="lt-LT"/>
        </w:rPr>
      </w:pPr>
      <w:r w:rsidRPr="00C76F7B">
        <w:rPr>
          <w:rFonts w:ascii="Times New Roman" w:hAnsi="Times New Roman" w:cs="Times New Roman"/>
          <w:sz w:val="22"/>
          <w:szCs w:val="22"/>
          <w:lang w:val="lt-LT"/>
        </w:rPr>
        <w:t>Vairavimas ir mechanizmų valdymas</w:t>
      </w:r>
    </w:p>
    <w:p w14:paraId="155666A0" w14:textId="77777777" w:rsidR="003F0515" w:rsidRPr="00C76F7B" w:rsidRDefault="003F0515" w:rsidP="003F0515">
      <w:pPr>
        <w:rPr>
          <w:szCs w:val="22"/>
          <w:lang w:val="lt-LT"/>
        </w:rPr>
      </w:pPr>
      <w:r w:rsidRPr="00C76F7B">
        <w:rPr>
          <w:szCs w:val="22"/>
          <w:lang w:val="lt-LT"/>
        </w:rPr>
        <w:t>Specialių atsargumo priemonių nereikia.</w:t>
      </w:r>
    </w:p>
    <w:p w14:paraId="2EABBD40" w14:textId="77777777" w:rsidR="003F0515" w:rsidRPr="00C76F7B" w:rsidRDefault="003F0515" w:rsidP="003F0515">
      <w:pPr>
        <w:rPr>
          <w:szCs w:val="22"/>
          <w:lang w:val="lt-LT"/>
        </w:rPr>
      </w:pPr>
    </w:p>
    <w:p w14:paraId="0D8811C6" w14:textId="419907BE" w:rsidR="003F0515" w:rsidRPr="00C76F7B" w:rsidRDefault="003F0515" w:rsidP="003F0515">
      <w:pPr>
        <w:rPr>
          <w:b/>
          <w:szCs w:val="22"/>
          <w:lang w:val="lt-LT"/>
        </w:rPr>
      </w:pPr>
      <w:r w:rsidRPr="00C76F7B">
        <w:rPr>
          <w:b/>
          <w:szCs w:val="22"/>
          <w:lang w:val="lt-LT"/>
        </w:rPr>
        <w:t xml:space="preserve">Gelomyrtol forte sudėtyje yra sorbitolio. </w:t>
      </w:r>
    </w:p>
    <w:p w14:paraId="32A5988B" w14:textId="77777777" w:rsidR="00022650" w:rsidRDefault="00022650" w:rsidP="00022650">
      <w:pPr>
        <w:rPr>
          <w:szCs w:val="22"/>
          <w:lang w:val="lt-LT"/>
        </w:rPr>
      </w:pPr>
      <w:r>
        <w:rPr>
          <w:szCs w:val="22"/>
          <w:lang w:val="lt-LT"/>
        </w:rPr>
        <w:t xml:space="preserve">Kiekvienoje šio vaisto </w:t>
      </w:r>
      <w:r w:rsidRPr="00F6276D">
        <w:rPr>
          <w:szCs w:val="22"/>
          <w:lang w:val="lt-LT"/>
        </w:rPr>
        <w:t>skrandyje neirio</w:t>
      </w:r>
      <w:r>
        <w:rPr>
          <w:szCs w:val="22"/>
          <w:lang w:val="lt-LT"/>
        </w:rPr>
        <w:t>je</w:t>
      </w:r>
      <w:r w:rsidRPr="00F6276D">
        <w:rPr>
          <w:szCs w:val="22"/>
          <w:lang w:val="lt-LT"/>
        </w:rPr>
        <w:t xml:space="preserve"> minkšto</w:t>
      </w:r>
      <w:r>
        <w:rPr>
          <w:szCs w:val="22"/>
          <w:lang w:val="lt-LT"/>
        </w:rPr>
        <w:t>joje</w:t>
      </w:r>
      <w:r w:rsidRPr="00F6276D">
        <w:rPr>
          <w:szCs w:val="22"/>
          <w:lang w:val="lt-LT"/>
        </w:rPr>
        <w:t xml:space="preserve"> kapsulė</w:t>
      </w:r>
      <w:r>
        <w:rPr>
          <w:szCs w:val="22"/>
          <w:lang w:val="lt-LT"/>
        </w:rPr>
        <w:t xml:space="preserve">je yra ne daugiau kaip 50 mg sorbitolio. </w:t>
      </w:r>
    </w:p>
    <w:p w14:paraId="15D9E18B" w14:textId="77777777" w:rsidR="00022650" w:rsidRDefault="00022650" w:rsidP="00022650">
      <w:pPr>
        <w:rPr>
          <w:szCs w:val="22"/>
          <w:lang w:val="lt-LT"/>
        </w:rPr>
      </w:pPr>
    </w:p>
    <w:p w14:paraId="62AE4B30" w14:textId="77777777" w:rsidR="00022650" w:rsidRPr="00750FD3" w:rsidRDefault="00022650" w:rsidP="00022650">
      <w:pPr>
        <w:autoSpaceDE w:val="0"/>
        <w:autoSpaceDN w:val="0"/>
        <w:adjustRightInd w:val="0"/>
        <w:rPr>
          <w:i/>
          <w:szCs w:val="22"/>
          <w:lang w:val="lt-LT"/>
        </w:rPr>
      </w:pPr>
      <w:r w:rsidRPr="002C0FB7">
        <w:rPr>
          <w:szCs w:val="22"/>
          <w:lang w:val="lt-LT" w:eastAsia="de-DE"/>
        </w:rPr>
        <w:t>Sorbitolis yra fruktozės šaltinis. Jeigu gydytojas yra sakęs, kad Jūs (ar Jūsų vaikas) netoleruojate</w:t>
      </w:r>
      <w:r>
        <w:rPr>
          <w:szCs w:val="22"/>
          <w:lang w:val="lt-LT" w:eastAsia="de-DE"/>
        </w:rPr>
        <w:t xml:space="preserve"> </w:t>
      </w:r>
      <w:r w:rsidRPr="002C0FB7">
        <w:rPr>
          <w:szCs w:val="22"/>
          <w:lang w:val="lt-LT" w:eastAsia="de-DE"/>
        </w:rPr>
        <w:t>kokių nors angliavandenių, ar Jums nustatytas retas genetinis sutrikimas įgimtas fruktozės</w:t>
      </w:r>
      <w:r>
        <w:rPr>
          <w:szCs w:val="22"/>
          <w:lang w:val="lt-LT" w:eastAsia="de-DE"/>
        </w:rPr>
        <w:t xml:space="preserve"> </w:t>
      </w:r>
      <w:r w:rsidRPr="002C0FB7">
        <w:rPr>
          <w:szCs w:val="22"/>
          <w:lang w:val="lt-LT" w:eastAsia="de-DE"/>
        </w:rPr>
        <w:t>netoleravimas (ĮFN), kurio atveju organizmas negali suskaidyti fruktozės, prieš vartodami šio</w:t>
      </w:r>
      <w:r>
        <w:rPr>
          <w:szCs w:val="22"/>
          <w:lang w:val="lt-LT" w:eastAsia="de-DE"/>
        </w:rPr>
        <w:t xml:space="preserve"> </w:t>
      </w:r>
      <w:r w:rsidRPr="002C0FB7">
        <w:rPr>
          <w:szCs w:val="22"/>
          <w:lang w:val="lt-LT" w:eastAsia="de-DE"/>
        </w:rPr>
        <w:t>vaisto (ar prieš duodami jo Jūsų vaikui), pasakykite gydytojui.</w:t>
      </w:r>
    </w:p>
    <w:p w14:paraId="0A951A13" w14:textId="77777777" w:rsidR="003F0515" w:rsidRPr="00C76F7B" w:rsidRDefault="003F0515" w:rsidP="003F0515">
      <w:pPr>
        <w:rPr>
          <w:i/>
          <w:szCs w:val="22"/>
          <w:lang w:val="lt-LT"/>
        </w:rPr>
      </w:pPr>
    </w:p>
    <w:p w14:paraId="1515EF8C" w14:textId="77777777" w:rsidR="003F0515" w:rsidRPr="00C76F7B" w:rsidRDefault="003F0515" w:rsidP="003F0515">
      <w:pPr>
        <w:rPr>
          <w:szCs w:val="22"/>
          <w:lang w:val="lt-LT"/>
        </w:rPr>
      </w:pPr>
    </w:p>
    <w:p w14:paraId="05937A85" w14:textId="26CAD938" w:rsidR="003F0515" w:rsidRPr="00C76F7B" w:rsidRDefault="003F0515" w:rsidP="003F0515">
      <w:pPr>
        <w:rPr>
          <w:rStyle w:val="Heading2Char"/>
          <w:sz w:val="22"/>
          <w:szCs w:val="22"/>
          <w:lang w:val="lt-LT"/>
        </w:rPr>
      </w:pPr>
      <w:r w:rsidRPr="00C76F7B">
        <w:rPr>
          <w:b/>
          <w:szCs w:val="22"/>
          <w:lang w:val="lt-LT"/>
        </w:rPr>
        <w:t>3.</w:t>
      </w:r>
      <w:r w:rsidR="003010E2" w:rsidRPr="00C76F7B">
        <w:rPr>
          <w:b/>
          <w:szCs w:val="22"/>
          <w:lang w:val="lt-LT"/>
        </w:rPr>
        <w:t xml:space="preserve"> </w:t>
      </w:r>
      <w:r w:rsidRPr="00C76F7B">
        <w:rPr>
          <w:b/>
          <w:szCs w:val="22"/>
          <w:lang w:val="lt-LT"/>
        </w:rPr>
        <w:t>Kaip vartoti Gelomyrtol forte</w:t>
      </w:r>
      <w:r w:rsidRPr="00C76F7B" w:rsidDel="00BA63FF">
        <w:rPr>
          <w:b/>
          <w:szCs w:val="22"/>
          <w:lang w:val="lt-LT"/>
        </w:rPr>
        <w:t xml:space="preserve"> </w:t>
      </w:r>
    </w:p>
    <w:p w14:paraId="05CFFDB0" w14:textId="77777777" w:rsidR="003F0515" w:rsidRPr="00C76F7B" w:rsidRDefault="003F0515" w:rsidP="003F0515">
      <w:pPr>
        <w:rPr>
          <w:szCs w:val="22"/>
          <w:lang w:val="lt-LT"/>
        </w:rPr>
      </w:pPr>
    </w:p>
    <w:p w14:paraId="1743F35A" w14:textId="77777777" w:rsidR="003F0515" w:rsidRPr="00C76F7B" w:rsidRDefault="003F0515" w:rsidP="003F0515">
      <w:pPr>
        <w:rPr>
          <w:szCs w:val="22"/>
          <w:lang w:val="lt-LT"/>
        </w:rPr>
      </w:pPr>
      <w:r w:rsidRPr="00C76F7B">
        <w:rPr>
          <w:szCs w:val="22"/>
          <w:lang w:val="lt-LT"/>
        </w:rPr>
        <w:t>Visada vartokite šį vaistą tiksliai kaip nurodė gydytojas arba vaistininkas. Jeigu abejojate, kreipkitės į gydytoją arba vaistininką.</w:t>
      </w:r>
    </w:p>
    <w:p w14:paraId="24DB6FD4" w14:textId="77777777" w:rsidR="003F0515" w:rsidRPr="00C76F7B" w:rsidRDefault="003F0515" w:rsidP="003F0515">
      <w:pPr>
        <w:rPr>
          <w:szCs w:val="22"/>
          <w:lang w:val="lt-LT"/>
        </w:rPr>
      </w:pPr>
    </w:p>
    <w:p w14:paraId="115DF155" w14:textId="77777777" w:rsidR="003F0515" w:rsidRPr="00C76F7B" w:rsidRDefault="003F0515" w:rsidP="003F0515">
      <w:pPr>
        <w:rPr>
          <w:color w:val="000000"/>
          <w:szCs w:val="22"/>
          <w:lang w:val="lt-LT"/>
        </w:rPr>
      </w:pPr>
      <w:r w:rsidRPr="00C76F7B">
        <w:rPr>
          <w:color w:val="000000"/>
          <w:szCs w:val="22"/>
          <w:lang w:val="lt-LT"/>
        </w:rPr>
        <w:t>Rekomenduojama dozė:</w:t>
      </w:r>
    </w:p>
    <w:p w14:paraId="3B6EACEE" w14:textId="34BE432C" w:rsidR="003F0515" w:rsidRPr="00C76F7B" w:rsidRDefault="003F0515" w:rsidP="00066015">
      <w:pPr>
        <w:rPr>
          <w:szCs w:val="22"/>
          <w:lang w:val="lt-LT"/>
        </w:rPr>
      </w:pPr>
    </w:p>
    <w:p w14:paraId="1FECFE81" w14:textId="77777777" w:rsidR="003F0515" w:rsidRPr="00C76F7B" w:rsidRDefault="003F0515" w:rsidP="003F0515">
      <w:pPr>
        <w:rPr>
          <w:szCs w:val="22"/>
          <w:lang w:val="lt-LT"/>
        </w:rPr>
      </w:pPr>
      <w:r w:rsidRPr="00C76F7B">
        <w:rPr>
          <w:b/>
          <w:szCs w:val="22"/>
          <w:lang w:val="lt-LT"/>
        </w:rPr>
        <w:t>Gelomyrtol forte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7"/>
        <w:gridCol w:w="3055"/>
      </w:tblGrid>
      <w:tr w:rsidR="003F0515" w:rsidRPr="00C76F7B" w14:paraId="54FC57B4" w14:textId="77777777" w:rsidTr="009A6C33">
        <w:tc>
          <w:tcPr>
            <w:tcW w:w="1985" w:type="dxa"/>
            <w:shd w:val="clear" w:color="auto" w:fill="auto"/>
          </w:tcPr>
          <w:p w14:paraId="61EC5EBF" w14:textId="77777777" w:rsidR="003F0515" w:rsidRPr="00C76F7B" w:rsidRDefault="003F0515" w:rsidP="009A6C33">
            <w:pPr>
              <w:rPr>
                <w:b/>
                <w:szCs w:val="22"/>
                <w:lang w:val="lt-LT"/>
              </w:rPr>
            </w:pPr>
            <w:r w:rsidRPr="00C76F7B">
              <w:rPr>
                <w:b/>
                <w:szCs w:val="22"/>
                <w:lang w:val="lt-LT"/>
              </w:rPr>
              <w:t>Amžius</w:t>
            </w:r>
          </w:p>
        </w:tc>
        <w:tc>
          <w:tcPr>
            <w:tcW w:w="3307" w:type="dxa"/>
            <w:shd w:val="clear" w:color="auto" w:fill="auto"/>
          </w:tcPr>
          <w:p w14:paraId="43FBB4F4" w14:textId="5A88DF3E" w:rsidR="003F0515" w:rsidRPr="00C76F7B" w:rsidRDefault="003F0515" w:rsidP="009A6C33">
            <w:pPr>
              <w:rPr>
                <w:b/>
                <w:szCs w:val="22"/>
                <w:lang w:val="lt-LT"/>
              </w:rPr>
            </w:pPr>
            <w:r w:rsidRPr="00C76F7B">
              <w:rPr>
                <w:b/>
                <w:szCs w:val="22"/>
                <w:lang w:val="lt-LT"/>
              </w:rPr>
              <w:t>Ūmi</w:t>
            </w:r>
            <w:r w:rsidR="00022650">
              <w:rPr>
                <w:b/>
                <w:szCs w:val="22"/>
                <w:lang w:val="lt-LT"/>
              </w:rPr>
              <w:t>nės ligos</w:t>
            </w:r>
          </w:p>
        </w:tc>
        <w:tc>
          <w:tcPr>
            <w:tcW w:w="3055" w:type="dxa"/>
            <w:shd w:val="clear" w:color="auto" w:fill="auto"/>
          </w:tcPr>
          <w:p w14:paraId="2A59E03D" w14:textId="4FE92125" w:rsidR="003F0515" w:rsidRPr="00C76F7B" w:rsidRDefault="003F0515" w:rsidP="009A6C33">
            <w:pPr>
              <w:rPr>
                <w:b/>
                <w:szCs w:val="22"/>
                <w:lang w:val="lt-LT"/>
              </w:rPr>
            </w:pPr>
            <w:r w:rsidRPr="00C76F7B">
              <w:rPr>
                <w:b/>
                <w:szCs w:val="22"/>
                <w:lang w:val="lt-LT"/>
              </w:rPr>
              <w:t>Lėtinė</w:t>
            </w:r>
            <w:r w:rsidR="00022650">
              <w:rPr>
                <w:b/>
                <w:szCs w:val="22"/>
                <w:lang w:val="lt-LT"/>
              </w:rPr>
              <w:t>s ligos</w:t>
            </w:r>
          </w:p>
        </w:tc>
      </w:tr>
      <w:tr w:rsidR="003F0515" w:rsidRPr="00C76F7B" w14:paraId="1F6B4193" w14:textId="77777777" w:rsidTr="009A6C33">
        <w:tc>
          <w:tcPr>
            <w:tcW w:w="1985" w:type="dxa"/>
            <w:shd w:val="clear" w:color="auto" w:fill="auto"/>
          </w:tcPr>
          <w:p w14:paraId="6FBD8288" w14:textId="762C00DD" w:rsidR="003F0515" w:rsidRPr="00C76F7B" w:rsidRDefault="00022650" w:rsidP="009A6C33">
            <w:pPr>
              <w:rPr>
                <w:szCs w:val="22"/>
                <w:lang w:val="lt-LT"/>
              </w:rPr>
            </w:pPr>
            <w:r>
              <w:rPr>
                <w:szCs w:val="22"/>
              </w:rPr>
              <w:t>Suaugusiesiems ir paaugliams nuo 12 metų</w:t>
            </w:r>
          </w:p>
        </w:tc>
        <w:tc>
          <w:tcPr>
            <w:tcW w:w="3307" w:type="dxa"/>
            <w:shd w:val="clear" w:color="auto" w:fill="auto"/>
          </w:tcPr>
          <w:p w14:paraId="54459C0F" w14:textId="1ECC7BF4" w:rsidR="003F0515" w:rsidRPr="00C76F7B" w:rsidRDefault="00022650" w:rsidP="009A6C33">
            <w:pPr>
              <w:rPr>
                <w:szCs w:val="22"/>
                <w:lang w:val="lt-LT"/>
              </w:rPr>
            </w:pPr>
            <w:r w:rsidRPr="00F6276D">
              <w:rPr>
                <w:szCs w:val="22"/>
                <w:lang w:val="en-US"/>
              </w:rPr>
              <w:t>1 kapsulė 3</w:t>
            </w:r>
            <w:r>
              <w:rPr>
                <w:szCs w:val="22"/>
                <w:lang w:val="en-US"/>
              </w:rPr>
              <w:t>–</w:t>
            </w:r>
            <w:r w:rsidRPr="00F6276D">
              <w:rPr>
                <w:szCs w:val="22"/>
                <w:lang w:val="en-US"/>
              </w:rPr>
              <w:t>4 kartus per parą</w:t>
            </w:r>
          </w:p>
        </w:tc>
        <w:tc>
          <w:tcPr>
            <w:tcW w:w="3055" w:type="dxa"/>
            <w:shd w:val="clear" w:color="auto" w:fill="auto"/>
          </w:tcPr>
          <w:p w14:paraId="0D80C0A5" w14:textId="7CC6BEB4" w:rsidR="003F0515" w:rsidRPr="00C76F7B" w:rsidRDefault="003F0515" w:rsidP="009A6C33">
            <w:pPr>
              <w:rPr>
                <w:szCs w:val="22"/>
                <w:lang w:val="lt-LT"/>
              </w:rPr>
            </w:pPr>
            <w:r w:rsidRPr="00C76F7B">
              <w:rPr>
                <w:szCs w:val="22"/>
                <w:lang w:val="lt-LT"/>
              </w:rPr>
              <w:t xml:space="preserve">1 kapsulė </w:t>
            </w:r>
            <w:r w:rsidR="00022650">
              <w:rPr>
                <w:szCs w:val="22"/>
                <w:lang w:val="lt-LT"/>
              </w:rPr>
              <w:t>2</w:t>
            </w:r>
            <w:r w:rsidR="00976F64" w:rsidRPr="00C76F7B">
              <w:rPr>
                <w:szCs w:val="22"/>
                <w:lang w:val="lt-LT"/>
              </w:rPr>
              <w:t>–</w:t>
            </w:r>
            <w:r w:rsidR="00022650">
              <w:rPr>
                <w:szCs w:val="22"/>
                <w:lang w:val="lt-LT"/>
              </w:rPr>
              <w:t>3</w:t>
            </w:r>
            <w:r w:rsidRPr="00C76F7B">
              <w:rPr>
                <w:szCs w:val="22"/>
                <w:lang w:val="lt-LT"/>
              </w:rPr>
              <w:t> kartus per parą</w:t>
            </w:r>
          </w:p>
        </w:tc>
      </w:tr>
      <w:tr w:rsidR="003F0515" w:rsidRPr="00C76F7B" w14:paraId="48027E21" w14:textId="77777777" w:rsidTr="009A6C33">
        <w:tc>
          <w:tcPr>
            <w:tcW w:w="1985" w:type="dxa"/>
            <w:shd w:val="clear" w:color="auto" w:fill="auto"/>
          </w:tcPr>
          <w:p w14:paraId="70BF70C0" w14:textId="6F8F0210" w:rsidR="003F0515" w:rsidRPr="00C76F7B" w:rsidRDefault="00022650" w:rsidP="009A6C33">
            <w:pPr>
              <w:rPr>
                <w:szCs w:val="22"/>
                <w:lang w:val="lt-LT"/>
              </w:rPr>
            </w:pPr>
            <w:r w:rsidRPr="00F6276D">
              <w:rPr>
                <w:szCs w:val="22"/>
              </w:rPr>
              <w:t>6–12 metų</w:t>
            </w:r>
            <w:r>
              <w:rPr>
                <w:szCs w:val="22"/>
              </w:rPr>
              <w:t xml:space="preserve"> vaikams ir paaugliams</w:t>
            </w:r>
          </w:p>
        </w:tc>
        <w:tc>
          <w:tcPr>
            <w:tcW w:w="3307" w:type="dxa"/>
            <w:shd w:val="clear" w:color="auto" w:fill="auto"/>
          </w:tcPr>
          <w:p w14:paraId="7B557978" w14:textId="04EB4EDD" w:rsidR="003F0515" w:rsidRPr="00C76F7B" w:rsidRDefault="003F0515" w:rsidP="009A6C33">
            <w:pPr>
              <w:rPr>
                <w:szCs w:val="22"/>
                <w:lang w:val="lt-LT"/>
              </w:rPr>
            </w:pPr>
            <w:r w:rsidRPr="00C76F7B">
              <w:rPr>
                <w:szCs w:val="22"/>
                <w:lang w:val="lt-LT"/>
              </w:rPr>
              <w:t xml:space="preserve">1 kapsulė </w:t>
            </w:r>
            <w:r w:rsidR="00022650">
              <w:rPr>
                <w:szCs w:val="22"/>
                <w:lang w:val="lt-LT"/>
              </w:rPr>
              <w:t>1</w:t>
            </w:r>
            <w:r w:rsidR="00976F64" w:rsidRPr="00C76F7B">
              <w:rPr>
                <w:szCs w:val="22"/>
                <w:lang w:val="lt-LT"/>
              </w:rPr>
              <w:t>–</w:t>
            </w:r>
            <w:r w:rsidR="00022650">
              <w:rPr>
                <w:szCs w:val="22"/>
                <w:lang w:val="lt-LT"/>
              </w:rPr>
              <w:t>3</w:t>
            </w:r>
            <w:r w:rsidRPr="00C76F7B">
              <w:rPr>
                <w:szCs w:val="22"/>
                <w:lang w:val="lt-LT"/>
              </w:rPr>
              <w:t> kartus per parą</w:t>
            </w:r>
          </w:p>
        </w:tc>
        <w:tc>
          <w:tcPr>
            <w:tcW w:w="3055" w:type="dxa"/>
            <w:shd w:val="clear" w:color="auto" w:fill="auto"/>
          </w:tcPr>
          <w:p w14:paraId="1921FD63" w14:textId="24D472B5" w:rsidR="003F0515" w:rsidRPr="00C76F7B" w:rsidRDefault="003F0515" w:rsidP="009A6C33">
            <w:pPr>
              <w:rPr>
                <w:szCs w:val="22"/>
                <w:lang w:val="lt-LT"/>
              </w:rPr>
            </w:pPr>
            <w:r w:rsidRPr="00C76F7B">
              <w:rPr>
                <w:szCs w:val="22"/>
                <w:lang w:val="lt-LT"/>
              </w:rPr>
              <w:t xml:space="preserve">1 kapsulė </w:t>
            </w:r>
            <w:r w:rsidR="00022650">
              <w:rPr>
                <w:szCs w:val="22"/>
                <w:lang w:val="lt-LT"/>
              </w:rPr>
              <w:t>1</w:t>
            </w:r>
            <w:r w:rsidR="00976F64" w:rsidRPr="00C76F7B">
              <w:rPr>
                <w:szCs w:val="22"/>
                <w:lang w:val="lt-LT"/>
              </w:rPr>
              <w:t>–</w:t>
            </w:r>
            <w:r w:rsidR="00022650">
              <w:rPr>
                <w:szCs w:val="22"/>
                <w:lang w:val="lt-LT"/>
              </w:rPr>
              <w:t>2</w:t>
            </w:r>
            <w:r w:rsidRPr="00C76F7B">
              <w:rPr>
                <w:szCs w:val="22"/>
                <w:lang w:val="lt-LT"/>
              </w:rPr>
              <w:t> kartus per parą</w:t>
            </w:r>
          </w:p>
        </w:tc>
      </w:tr>
    </w:tbl>
    <w:p w14:paraId="22AD968D" w14:textId="77777777" w:rsidR="003F0515" w:rsidRPr="00C76F7B" w:rsidRDefault="003F0515" w:rsidP="003F0515">
      <w:pPr>
        <w:rPr>
          <w:szCs w:val="22"/>
          <w:lang w:val="lt-LT"/>
        </w:rPr>
      </w:pPr>
    </w:p>
    <w:p w14:paraId="769144C0" w14:textId="77777777" w:rsidR="00022650" w:rsidRDefault="00022650" w:rsidP="00022650">
      <w:pPr>
        <w:rPr>
          <w:szCs w:val="22"/>
          <w:lang w:val="lt-LT"/>
        </w:rPr>
      </w:pPr>
      <w:r w:rsidRPr="00F410C7">
        <w:rPr>
          <w:i/>
          <w:szCs w:val="22"/>
          <w:lang w:val="lt-LT"/>
        </w:rPr>
        <w:t>Vartojimo būdas</w:t>
      </w:r>
    </w:p>
    <w:p w14:paraId="3E077B00" w14:textId="77777777" w:rsidR="00022650" w:rsidRPr="00F6276D" w:rsidRDefault="00022650" w:rsidP="00022650">
      <w:pPr>
        <w:rPr>
          <w:szCs w:val="22"/>
          <w:lang w:val="lt-LT"/>
        </w:rPr>
      </w:pPr>
      <w:r>
        <w:rPr>
          <w:szCs w:val="22"/>
          <w:lang w:val="lt-LT"/>
        </w:rPr>
        <w:t>Srandyje neiri minkštoji</w:t>
      </w:r>
      <w:r w:rsidRPr="00F6276D">
        <w:rPr>
          <w:szCs w:val="22"/>
          <w:lang w:val="lt-LT"/>
        </w:rPr>
        <w:t xml:space="preserve"> kapsulė geriam</w:t>
      </w:r>
      <w:r>
        <w:rPr>
          <w:szCs w:val="22"/>
          <w:lang w:val="lt-LT"/>
        </w:rPr>
        <w:t>a</w:t>
      </w:r>
      <w:r w:rsidRPr="00F6276D">
        <w:rPr>
          <w:szCs w:val="22"/>
          <w:lang w:val="lt-LT"/>
        </w:rPr>
        <w:t xml:space="preserve"> 30 min. prieš valgį, užgeriant pakankamu kiekiu šalto skysčio. Paskutinioji dozė gali būti geriama prieš pat miegą.</w:t>
      </w:r>
    </w:p>
    <w:p w14:paraId="40069594" w14:textId="77777777" w:rsidR="00022650" w:rsidRPr="00F410C7" w:rsidRDefault="00022650" w:rsidP="00022650">
      <w:pPr>
        <w:rPr>
          <w:i/>
          <w:szCs w:val="22"/>
          <w:lang w:val="lt-LT"/>
        </w:rPr>
      </w:pPr>
    </w:p>
    <w:p w14:paraId="57A51BCA" w14:textId="77777777" w:rsidR="00022650" w:rsidRDefault="00022650" w:rsidP="00022650">
      <w:pPr>
        <w:rPr>
          <w:szCs w:val="22"/>
          <w:lang w:val="lt-LT"/>
        </w:rPr>
      </w:pPr>
      <w:r w:rsidRPr="00F410C7">
        <w:rPr>
          <w:i/>
          <w:szCs w:val="22"/>
          <w:lang w:val="lt-LT"/>
        </w:rPr>
        <w:t>Vartojimo trukmė</w:t>
      </w:r>
    </w:p>
    <w:p w14:paraId="74280A18" w14:textId="77777777" w:rsidR="00022650" w:rsidRPr="00F6276D" w:rsidRDefault="00022650" w:rsidP="00022650">
      <w:pPr>
        <w:rPr>
          <w:szCs w:val="22"/>
          <w:lang w:val="lt-LT"/>
        </w:rPr>
      </w:pPr>
      <w:r w:rsidRPr="00F6276D">
        <w:rPr>
          <w:szCs w:val="22"/>
          <w:lang w:val="lt-LT"/>
        </w:rPr>
        <w:t>Gelomyrtol forte vartojimo laikotarpis priklauso nuo simptomų. Sergant lėtinėmis ligomis, galima vartoti ilgą laiką.</w:t>
      </w:r>
    </w:p>
    <w:p w14:paraId="1281CFC2" w14:textId="77777777" w:rsidR="003F0515" w:rsidRPr="00C76F7B" w:rsidRDefault="003F0515" w:rsidP="003F0515">
      <w:pPr>
        <w:rPr>
          <w:szCs w:val="22"/>
          <w:lang w:val="lt-LT"/>
        </w:rPr>
      </w:pPr>
    </w:p>
    <w:p w14:paraId="190BFDD3" w14:textId="4C322A99" w:rsidR="003F0515" w:rsidRPr="00C76F7B" w:rsidRDefault="003F0515" w:rsidP="003F0515">
      <w:pPr>
        <w:rPr>
          <w:b/>
          <w:szCs w:val="22"/>
          <w:lang w:val="lt-LT"/>
        </w:rPr>
      </w:pPr>
      <w:r w:rsidRPr="00C76F7B">
        <w:rPr>
          <w:b/>
          <w:szCs w:val="22"/>
          <w:lang w:val="lt-LT"/>
        </w:rPr>
        <w:t>Ką daryti pavartojus per didelę Gelomyrtol forte dozę?</w:t>
      </w:r>
    </w:p>
    <w:p w14:paraId="7C1551E7" w14:textId="77777777" w:rsidR="003F0515" w:rsidRPr="00C76F7B" w:rsidRDefault="003F0515" w:rsidP="003F0515">
      <w:pPr>
        <w:rPr>
          <w:szCs w:val="22"/>
          <w:lang w:val="lt-LT"/>
        </w:rPr>
      </w:pPr>
      <w:r w:rsidRPr="00C76F7B">
        <w:rPr>
          <w:szCs w:val="22"/>
          <w:lang w:val="lt-LT"/>
        </w:rPr>
        <w:t>Praneškite gydytojui. Gydytojas nuspręs, kokių priemonių reikia imtis. Gali sustiprėti toliau išvardyto šalutinio poveikio pasireiškimas.</w:t>
      </w:r>
    </w:p>
    <w:p w14:paraId="58F40B58" w14:textId="77777777" w:rsidR="003F0515" w:rsidRPr="00C76F7B" w:rsidRDefault="003F0515" w:rsidP="003F0515">
      <w:pPr>
        <w:rPr>
          <w:szCs w:val="22"/>
          <w:lang w:val="lt-LT"/>
        </w:rPr>
      </w:pPr>
    </w:p>
    <w:p w14:paraId="256415B3" w14:textId="3B991962" w:rsidR="003F0515" w:rsidRPr="00C76F7B" w:rsidRDefault="003F0515" w:rsidP="003F0515">
      <w:pPr>
        <w:rPr>
          <w:b/>
          <w:szCs w:val="22"/>
          <w:lang w:val="lt-LT"/>
        </w:rPr>
      </w:pPr>
      <w:r w:rsidRPr="00C76F7B">
        <w:rPr>
          <w:b/>
          <w:szCs w:val="22"/>
          <w:lang w:val="lt-LT"/>
        </w:rPr>
        <w:t>Pamiršus pavartoti Gelomyrtol forte</w:t>
      </w:r>
    </w:p>
    <w:p w14:paraId="0BA128A1" w14:textId="7B6F8A5B" w:rsidR="003F0515" w:rsidRPr="00C76F7B" w:rsidRDefault="003F0515" w:rsidP="003F0515">
      <w:pPr>
        <w:rPr>
          <w:szCs w:val="22"/>
          <w:lang w:val="lt-LT"/>
        </w:rPr>
      </w:pPr>
      <w:r w:rsidRPr="00C76F7B">
        <w:rPr>
          <w:szCs w:val="22"/>
          <w:lang w:val="lt-LT"/>
        </w:rPr>
        <w:lastRenderedPageBreak/>
        <w:t>Negalima vartoti dvigubos dozės norint kompensuoti praleistą dozę. Praleidus dozę, toliau Gelomyrtol forte vartokite įprastai, kaip paskyrė gydytojas arba nurodyta dozavimo rekomendacijose.</w:t>
      </w:r>
    </w:p>
    <w:p w14:paraId="40A06F98" w14:textId="77777777" w:rsidR="003F0515" w:rsidRPr="00C76F7B" w:rsidRDefault="003F0515" w:rsidP="003F0515">
      <w:pPr>
        <w:rPr>
          <w:szCs w:val="22"/>
          <w:lang w:val="lt-LT"/>
        </w:rPr>
      </w:pPr>
    </w:p>
    <w:p w14:paraId="65E60284" w14:textId="3038DF2C" w:rsidR="003F0515" w:rsidRPr="00C76F7B" w:rsidRDefault="003F0515" w:rsidP="003F0515">
      <w:pPr>
        <w:rPr>
          <w:szCs w:val="22"/>
          <w:lang w:val="lt-LT"/>
        </w:rPr>
      </w:pPr>
      <w:r w:rsidRPr="00C76F7B">
        <w:rPr>
          <w:szCs w:val="22"/>
          <w:lang w:val="lt-LT"/>
        </w:rPr>
        <w:t>Jeigu kiltų daugiau klausimų dėl šio vaisto vartojimo, kreipkitės į gydytoją arba vaistininką</w:t>
      </w:r>
      <w:r w:rsidR="00F00E1D">
        <w:rPr>
          <w:szCs w:val="22"/>
          <w:lang w:val="lt-LT"/>
        </w:rPr>
        <w:t>.</w:t>
      </w:r>
    </w:p>
    <w:p w14:paraId="43FB7C29" w14:textId="77777777" w:rsidR="003F0515" w:rsidRPr="00C76F7B" w:rsidRDefault="003F0515" w:rsidP="003F0515">
      <w:pPr>
        <w:rPr>
          <w:szCs w:val="22"/>
          <w:lang w:val="lt-LT"/>
        </w:rPr>
      </w:pPr>
    </w:p>
    <w:p w14:paraId="21D7148D" w14:textId="77777777" w:rsidR="003F0515" w:rsidRPr="00C76F7B" w:rsidRDefault="003F0515" w:rsidP="003F0515">
      <w:pPr>
        <w:rPr>
          <w:szCs w:val="22"/>
          <w:lang w:val="lt-LT"/>
        </w:rPr>
      </w:pPr>
    </w:p>
    <w:p w14:paraId="533C2F07" w14:textId="2539F3A4" w:rsidR="003F0515" w:rsidRPr="00C76F7B" w:rsidRDefault="003F0515" w:rsidP="003F0515">
      <w:pPr>
        <w:rPr>
          <w:b/>
          <w:szCs w:val="22"/>
          <w:lang w:val="lt-LT"/>
        </w:rPr>
      </w:pPr>
      <w:r w:rsidRPr="00C76F7B">
        <w:rPr>
          <w:b/>
          <w:szCs w:val="22"/>
          <w:lang w:val="lt-LT"/>
        </w:rPr>
        <w:t>4.</w:t>
      </w:r>
      <w:r w:rsidR="003010E2" w:rsidRPr="00C76F7B">
        <w:rPr>
          <w:b/>
          <w:szCs w:val="22"/>
          <w:lang w:val="lt-LT"/>
        </w:rPr>
        <w:t xml:space="preserve"> </w:t>
      </w:r>
      <w:r w:rsidRPr="00C76F7B">
        <w:rPr>
          <w:b/>
          <w:szCs w:val="22"/>
          <w:lang w:val="lt-LT"/>
        </w:rPr>
        <w:t>Galimas šalutinis poveikis</w:t>
      </w:r>
    </w:p>
    <w:p w14:paraId="46E4F629" w14:textId="77777777" w:rsidR="003F0515" w:rsidRPr="00C76F7B" w:rsidRDefault="003F0515" w:rsidP="003F0515">
      <w:pPr>
        <w:rPr>
          <w:szCs w:val="22"/>
          <w:lang w:val="lt-LT"/>
        </w:rPr>
      </w:pPr>
    </w:p>
    <w:p w14:paraId="58C45BD5" w14:textId="77777777" w:rsidR="003F0515" w:rsidRPr="00C76F7B" w:rsidRDefault="003F0515" w:rsidP="003F0515">
      <w:pPr>
        <w:rPr>
          <w:szCs w:val="22"/>
          <w:lang w:val="lt-LT"/>
        </w:rPr>
      </w:pPr>
      <w:r w:rsidRPr="00C76F7B">
        <w:rPr>
          <w:szCs w:val="22"/>
          <w:lang w:val="lt-LT"/>
        </w:rPr>
        <w:t>Šis vaistas, kaip ir visi kiti, gali sukelti šalutinį poveikį, nors jis pasireiškia ne visiems žmonėms.</w:t>
      </w:r>
    </w:p>
    <w:p w14:paraId="0003EB86" w14:textId="77777777" w:rsidR="003F0515" w:rsidRPr="00C76F7B" w:rsidRDefault="003F0515" w:rsidP="003F0515">
      <w:pPr>
        <w:rPr>
          <w:szCs w:val="22"/>
          <w:lang w:val="lt-LT"/>
        </w:rPr>
      </w:pPr>
    </w:p>
    <w:p w14:paraId="12C43DBA" w14:textId="77777777" w:rsidR="00340C4D" w:rsidRPr="00F410C7" w:rsidRDefault="00340C4D" w:rsidP="00340C4D">
      <w:pPr>
        <w:pStyle w:val="BodyTextIndent"/>
        <w:tabs>
          <w:tab w:val="left" w:pos="0"/>
        </w:tabs>
        <w:spacing w:after="0"/>
        <w:ind w:left="0"/>
        <w:rPr>
          <w:i/>
          <w:szCs w:val="22"/>
          <w:lang w:val="lt-LT"/>
        </w:rPr>
      </w:pPr>
      <w:r w:rsidRPr="00F410C7">
        <w:rPr>
          <w:i/>
          <w:szCs w:val="22"/>
          <w:lang w:val="lt-LT"/>
        </w:rPr>
        <w:t>Nedažni (pasitaiko</w:t>
      </w:r>
      <w:r w:rsidRPr="00F410C7">
        <w:rPr>
          <w:i/>
          <w:lang w:val="lt-LT"/>
        </w:rPr>
        <w:t xml:space="preserve"> nuo ≥ 1/1000 iki &lt; 1/100</w:t>
      </w:r>
      <w:r w:rsidRPr="00F410C7">
        <w:rPr>
          <w:i/>
          <w:szCs w:val="22"/>
          <w:lang w:val="lt-LT"/>
        </w:rPr>
        <w:t xml:space="preserve"> vartojusiųjų)</w:t>
      </w:r>
    </w:p>
    <w:p w14:paraId="0D80B89A" w14:textId="77777777" w:rsidR="00340C4D" w:rsidRPr="00F6276D" w:rsidRDefault="00340C4D" w:rsidP="00340C4D">
      <w:pPr>
        <w:pStyle w:val="BodyTextIndent"/>
        <w:tabs>
          <w:tab w:val="left" w:pos="0"/>
        </w:tabs>
        <w:spacing w:after="0"/>
        <w:ind w:left="0"/>
        <w:rPr>
          <w:b/>
          <w:szCs w:val="22"/>
          <w:lang w:val="lt-LT"/>
        </w:rPr>
      </w:pPr>
      <w:r>
        <w:rPr>
          <w:szCs w:val="22"/>
          <w:lang w:val="lt-LT"/>
        </w:rPr>
        <w:t>V</w:t>
      </w:r>
      <w:r w:rsidRPr="00F6276D">
        <w:rPr>
          <w:szCs w:val="22"/>
          <w:lang w:val="lt-LT"/>
        </w:rPr>
        <w:t>irškinimo trakto negalavimų, pvz., skrandžio skausmas, diskomfortas viršutinėje pilvo dalyje, skonio pakitimas bei retais atvejais pykinimas, vėmimas arba viduriavimas.</w:t>
      </w:r>
    </w:p>
    <w:p w14:paraId="1E36AFFC" w14:textId="77777777" w:rsidR="00340C4D" w:rsidRDefault="00340C4D" w:rsidP="00340C4D">
      <w:pPr>
        <w:pStyle w:val="BodyTextIndent"/>
        <w:tabs>
          <w:tab w:val="left" w:pos="0"/>
        </w:tabs>
        <w:spacing w:after="0"/>
        <w:ind w:left="0"/>
        <w:rPr>
          <w:szCs w:val="22"/>
          <w:lang w:val="lt-LT"/>
        </w:rPr>
      </w:pPr>
    </w:p>
    <w:p w14:paraId="330A0754" w14:textId="77777777" w:rsidR="00340C4D" w:rsidRPr="00F410C7" w:rsidRDefault="00340C4D" w:rsidP="00340C4D">
      <w:pPr>
        <w:pStyle w:val="BodyTextIndent"/>
        <w:tabs>
          <w:tab w:val="left" w:pos="0"/>
        </w:tabs>
        <w:spacing w:after="0"/>
        <w:ind w:left="0"/>
        <w:rPr>
          <w:i/>
          <w:lang w:val="lt-LT"/>
        </w:rPr>
      </w:pPr>
      <w:r w:rsidRPr="00F410C7">
        <w:rPr>
          <w:i/>
          <w:szCs w:val="22"/>
          <w:lang w:val="lt-LT"/>
        </w:rPr>
        <w:t xml:space="preserve">Reti (pasitaiko </w:t>
      </w:r>
      <w:r w:rsidRPr="00F410C7">
        <w:rPr>
          <w:i/>
          <w:lang w:val="lt-LT"/>
        </w:rPr>
        <w:t>nuo ≥ 1/10000 iki &lt; 1/1000 vartojusiųjų)</w:t>
      </w:r>
    </w:p>
    <w:p w14:paraId="22C7DE82" w14:textId="77777777" w:rsidR="00340C4D" w:rsidRDefault="00340C4D" w:rsidP="00340C4D">
      <w:pPr>
        <w:pStyle w:val="BodyTextIndent"/>
        <w:tabs>
          <w:tab w:val="left" w:pos="0"/>
        </w:tabs>
        <w:spacing w:after="0"/>
        <w:ind w:left="0"/>
        <w:rPr>
          <w:szCs w:val="22"/>
          <w:lang w:val="lt-LT"/>
        </w:rPr>
      </w:pPr>
      <w:r>
        <w:rPr>
          <w:szCs w:val="22"/>
          <w:lang w:val="lt-LT"/>
        </w:rPr>
        <w:t>P</w:t>
      </w:r>
      <w:r w:rsidRPr="00F6276D">
        <w:rPr>
          <w:szCs w:val="22"/>
          <w:lang w:val="lt-LT"/>
        </w:rPr>
        <w:t>adidėjusio jautrumo reakcijos (pvz., odos bėrimas, niežulys, veido patinimas, dusulys arba kraujotakos sutrikimas).</w:t>
      </w:r>
    </w:p>
    <w:p w14:paraId="68AFF585" w14:textId="77777777" w:rsidR="00340C4D" w:rsidRDefault="00340C4D" w:rsidP="00340C4D">
      <w:pPr>
        <w:pStyle w:val="BodyTextIndent"/>
        <w:tabs>
          <w:tab w:val="left" w:pos="0"/>
        </w:tabs>
        <w:spacing w:after="0"/>
        <w:ind w:left="0"/>
        <w:rPr>
          <w:szCs w:val="22"/>
          <w:lang w:val="lt-LT"/>
        </w:rPr>
      </w:pPr>
    </w:p>
    <w:p w14:paraId="416AD66B" w14:textId="77777777" w:rsidR="00340C4D" w:rsidRDefault="00340C4D" w:rsidP="00340C4D">
      <w:pPr>
        <w:pStyle w:val="BodyTextIndent"/>
        <w:tabs>
          <w:tab w:val="left" w:pos="0"/>
        </w:tabs>
        <w:spacing w:after="0"/>
        <w:ind w:left="0"/>
        <w:rPr>
          <w:lang w:val="lt-LT"/>
        </w:rPr>
      </w:pPr>
      <w:r w:rsidRPr="00F410C7">
        <w:rPr>
          <w:i/>
          <w:szCs w:val="22"/>
          <w:lang w:val="lt-LT"/>
        </w:rPr>
        <w:t xml:space="preserve"> Labai retai (pasitaiko nuo </w:t>
      </w:r>
      <w:r w:rsidRPr="00F410C7">
        <w:rPr>
          <w:i/>
          <w:lang w:val="lt-LT"/>
        </w:rPr>
        <w:t>&lt; 1/10000 vartojusiųjų)</w:t>
      </w:r>
      <w:r>
        <w:rPr>
          <w:lang w:val="lt-LT"/>
        </w:rPr>
        <w:t xml:space="preserve"> </w:t>
      </w:r>
    </w:p>
    <w:p w14:paraId="3AB09E50" w14:textId="77777777" w:rsidR="00340C4D" w:rsidRDefault="00340C4D" w:rsidP="00340C4D">
      <w:pPr>
        <w:pStyle w:val="BodyTextIndent"/>
        <w:tabs>
          <w:tab w:val="left" w:pos="0"/>
        </w:tabs>
        <w:spacing w:after="0"/>
        <w:ind w:left="0"/>
        <w:rPr>
          <w:szCs w:val="22"/>
          <w:lang w:val="lt-LT"/>
        </w:rPr>
      </w:pPr>
      <w:r>
        <w:rPr>
          <w:szCs w:val="22"/>
          <w:lang w:val="lt-LT"/>
        </w:rPr>
        <w:t>Esamų</w:t>
      </w:r>
      <w:r w:rsidRPr="00F6276D">
        <w:rPr>
          <w:szCs w:val="22"/>
          <w:lang w:val="lt-LT"/>
        </w:rPr>
        <w:t xml:space="preserve"> inkstų </w:t>
      </w:r>
      <w:r>
        <w:rPr>
          <w:szCs w:val="22"/>
          <w:lang w:val="lt-LT"/>
        </w:rPr>
        <w:t xml:space="preserve">akmenų judėjimas šlapimtakiuose </w:t>
      </w:r>
      <w:r w:rsidRPr="00F6276D">
        <w:rPr>
          <w:szCs w:val="22"/>
          <w:lang w:val="lt-LT"/>
        </w:rPr>
        <w:t>ar tulžies pūslės akmen</w:t>
      </w:r>
      <w:r>
        <w:rPr>
          <w:szCs w:val="22"/>
          <w:lang w:val="lt-LT"/>
        </w:rPr>
        <w:t>ų judėjimas tulžies latakuose</w:t>
      </w:r>
      <w:r w:rsidRPr="00F6276D">
        <w:rPr>
          <w:szCs w:val="22"/>
          <w:lang w:val="lt-LT"/>
        </w:rPr>
        <w:t>.</w:t>
      </w:r>
    </w:p>
    <w:p w14:paraId="4FFD8253" w14:textId="77777777" w:rsidR="003F0515" w:rsidRPr="00C76F7B" w:rsidRDefault="003F0515" w:rsidP="003F0515">
      <w:pPr>
        <w:pStyle w:val="knZulassung02"/>
        <w:tabs>
          <w:tab w:val="left" w:pos="709"/>
        </w:tabs>
        <w:ind w:left="0" w:right="-5"/>
        <w:rPr>
          <w:rFonts w:ascii="Times New Roman" w:hAnsi="Times New Roman"/>
          <w:szCs w:val="22"/>
          <w:lang w:val="lt-LT"/>
        </w:rPr>
      </w:pPr>
    </w:p>
    <w:p w14:paraId="68259511" w14:textId="77777777" w:rsidR="003F0515" w:rsidRPr="00C76F7B" w:rsidRDefault="003F0515" w:rsidP="003F0515">
      <w:pPr>
        <w:pStyle w:val="BodyText"/>
        <w:jc w:val="left"/>
        <w:rPr>
          <w:szCs w:val="22"/>
          <w:lang w:val="lt-LT"/>
        </w:rPr>
      </w:pPr>
    </w:p>
    <w:p w14:paraId="04D48ED0" w14:textId="77777777" w:rsidR="003F0515" w:rsidRPr="00C76F7B" w:rsidRDefault="003F0515" w:rsidP="003F0515">
      <w:pPr>
        <w:rPr>
          <w:b/>
          <w:szCs w:val="22"/>
          <w:lang w:val="lt-LT"/>
        </w:rPr>
      </w:pPr>
      <w:r w:rsidRPr="00C76F7B">
        <w:rPr>
          <w:b/>
          <w:szCs w:val="22"/>
          <w:lang w:val="lt-LT"/>
        </w:rPr>
        <w:t>Pranešimas apie šalutinį poveikį</w:t>
      </w:r>
    </w:p>
    <w:p w14:paraId="6857E77B" w14:textId="77777777" w:rsidR="005235A0" w:rsidRPr="00C76F7B" w:rsidRDefault="005235A0" w:rsidP="005235A0">
      <w:pPr>
        <w:tabs>
          <w:tab w:val="left" w:pos="567"/>
        </w:tabs>
        <w:suppressAutoHyphens/>
        <w:jc w:val="both"/>
        <w:rPr>
          <w:lang w:val="lt-LT"/>
        </w:rPr>
      </w:pPr>
      <w:r w:rsidRPr="00C76F7B">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C76F7B">
          <w:rPr>
            <w:color w:val="0000FF"/>
            <w:u w:val="single"/>
            <w:lang w:val="lt-LT"/>
          </w:rPr>
          <w:t>www.vvkt.lt</w:t>
        </w:r>
      </w:hyperlink>
      <w:r w:rsidRPr="00C76F7B">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C76F7B">
          <w:rPr>
            <w:color w:val="0000FF"/>
            <w:u w:val="single"/>
            <w:lang w:val="lt-LT"/>
          </w:rPr>
          <w:t>NepageidaujamaR@vvkt.lt</w:t>
        </w:r>
      </w:hyperlink>
      <w:r w:rsidRPr="00C76F7B">
        <w:rPr>
          <w:lang w:val="lt-LT"/>
        </w:rPr>
        <w:t xml:space="preserve">, taip pat per Valstybinės vaistų kontrolės tarnybos prie Lietuvos Respublikos sveikatos apsaugos ministerijos interneto svetainę (adresu </w:t>
      </w:r>
      <w:hyperlink r:id="rId9" w:history="1">
        <w:r w:rsidRPr="00C76F7B">
          <w:rPr>
            <w:color w:val="0000FF"/>
            <w:u w:val="single"/>
            <w:lang w:val="lt-LT"/>
          </w:rPr>
          <w:t>http://www.vvkt.lt</w:t>
        </w:r>
      </w:hyperlink>
      <w:r w:rsidRPr="00C76F7B">
        <w:rPr>
          <w:lang w:val="lt-LT"/>
        </w:rPr>
        <w:t>). Pranešdami apie šalutinį poveikį galite mums padėti gauti daugiau informacijos apie šio vaisto saugumą.</w:t>
      </w:r>
    </w:p>
    <w:p w14:paraId="24F787A5" w14:textId="77777777" w:rsidR="003F0515" w:rsidRPr="00C76F7B" w:rsidRDefault="003F0515" w:rsidP="003F0515">
      <w:pPr>
        <w:rPr>
          <w:szCs w:val="22"/>
          <w:lang w:val="lt-LT"/>
        </w:rPr>
      </w:pPr>
    </w:p>
    <w:p w14:paraId="471B93C4" w14:textId="77777777" w:rsidR="003F0515" w:rsidRPr="00C76F7B" w:rsidRDefault="003F0515" w:rsidP="003F0515">
      <w:pPr>
        <w:rPr>
          <w:szCs w:val="22"/>
          <w:lang w:val="lt-LT"/>
        </w:rPr>
      </w:pPr>
    </w:p>
    <w:p w14:paraId="0800A358" w14:textId="011BC963" w:rsidR="003F0515" w:rsidRPr="00C76F7B" w:rsidRDefault="003F0515" w:rsidP="003F0515">
      <w:pPr>
        <w:rPr>
          <w:rStyle w:val="Heading2Char"/>
          <w:sz w:val="22"/>
          <w:szCs w:val="22"/>
          <w:lang w:val="lt-LT"/>
        </w:rPr>
      </w:pPr>
      <w:r w:rsidRPr="00C76F7B">
        <w:rPr>
          <w:b/>
          <w:szCs w:val="22"/>
          <w:lang w:val="lt-LT"/>
        </w:rPr>
        <w:t>5.</w:t>
      </w:r>
      <w:r w:rsidR="003010E2" w:rsidRPr="00C76F7B">
        <w:rPr>
          <w:b/>
          <w:szCs w:val="22"/>
          <w:lang w:val="lt-LT"/>
        </w:rPr>
        <w:t xml:space="preserve"> </w:t>
      </w:r>
      <w:r w:rsidRPr="00C76F7B">
        <w:rPr>
          <w:b/>
          <w:szCs w:val="22"/>
          <w:lang w:val="lt-LT"/>
        </w:rPr>
        <w:t>Kaip laikyti</w:t>
      </w:r>
      <w:r w:rsidRPr="00C76F7B">
        <w:rPr>
          <w:szCs w:val="22"/>
          <w:lang w:val="lt-LT"/>
        </w:rPr>
        <w:t xml:space="preserve"> </w:t>
      </w:r>
      <w:r w:rsidRPr="00C76F7B">
        <w:rPr>
          <w:b/>
          <w:szCs w:val="22"/>
          <w:lang w:val="lt-LT"/>
        </w:rPr>
        <w:t>Gelomyrtol forte</w:t>
      </w:r>
    </w:p>
    <w:p w14:paraId="1B8711FB" w14:textId="77777777" w:rsidR="003F0515" w:rsidRPr="00C76F7B" w:rsidRDefault="003F0515" w:rsidP="003F0515">
      <w:pPr>
        <w:rPr>
          <w:b/>
          <w:szCs w:val="22"/>
          <w:lang w:val="lt-LT"/>
        </w:rPr>
      </w:pPr>
    </w:p>
    <w:p w14:paraId="27C987B4" w14:textId="77777777" w:rsidR="003F0515" w:rsidRPr="00C76F7B" w:rsidRDefault="003F0515" w:rsidP="003F0515">
      <w:pPr>
        <w:rPr>
          <w:szCs w:val="22"/>
          <w:lang w:val="lt-LT"/>
        </w:rPr>
      </w:pPr>
      <w:r w:rsidRPr="00C76F7B">
        <w:rPr>
          <w:szCs w:val="22"/>
          <w:lang w:val="lt-LT"/>
        </w:rPr>
        <w:t>Šį vaistą laikykite vaikams nepastebimoje ir nepasiekiamoje vietoje.</w:t>
      </w:r>
    </w:p>
    <w:p w14:paraId="7967BCBC" w14:textId="77777777" w:rsidR="003F0515" w:rsidRPr="00C76F7B" w:rsidRDefault="003F0515" w:rsidP="003F0515">
      <w:pPr>
        <w:rPr>
          <w:szCs w:val="22"/>
          <w:lang w:val="lt-LT"/>
        </w:rPr>
      </w:pPr>
    </w:p>
    <w:p w14:paraId="1BC068EB" w14:textId="77777777" w:rsidR="003F0515" w:rsidRPr="00C76F7B" w:rsidRDefault="003F0515" w:rsidP="003F0515">
      <w:pPr>
        <w:rPr>
          <w:szCs w:val="22"/>
          <w:lang w:val="lt-LT"/>
        </w:rPr>
      </w:pPr>
      <w:r w:rsidRPr="00C76F7B">
        <w:rPr>
          <w:szCs w:val="22"/>
          <w:lang w:val="lt-LT"/>
        </w:rPr>
        <w:t>Laikyti ne aukštesnėje kaip 25 ºC temperatūroje.</w:t>
      </w:r>
    </w:p>
    <w:p w14:paraId="3F85B326" w14:textId="77777777" w:rsidR="003F0515" w:rsidRPr="00C76F7B" w:rsidRDefault="003F0515" w:rsidP="003F0515">
      <w:pPr>
        <w:rPr>
          <w:szCs w:val="22"/>
          <w:lang w:val="lt-LT"/>
        </w:rPr>
      </w:pPr>
      <w:r w:rsidRPr="00C76F7B">
        <w:rPr>
          <w:szCs w:val="22"/>
          <w:lang w:val="lt-LT"/>
        </w:rPr>
        <w:t>Laikyti gamintojo pakuotė, kad preparatas būtų apsaugotas nuo drėgmės.</w:t>
      </w:r>
    </w:p>
    <w:p w14:paraId="07367FFE" w14:textId="77777777" w:rsidR="003F0515" w:rsidRPr="00C76F7B" w:rsidRDefault="003F0515" w:rsidP="003F0515">
      <w:pPr>
        <w:rPr>
          <w:szCs w:val="22"/>
          <w:lang w:val="lt-LT"/>
        </w:rPr>
      </w:pPr>
    </w:p>
    <w:p w14:paraId="50D8D5D1" w14:textId="488D8834" w:rsidR="003F0515" w:rsidRPr="00C76F7B" w:rsidRDefault="003F0515" w:rsidP="005235A0">
      <w:pPr>
        <w:jc w:val="both"/>
        <w:rPr>
          <w:szCs w:val="22"/>
          <w:lang w:val="lt-LT"/>
        </w:rPr>
      </w:pPr>
      <w:r w:rsidRPr="00C76F7B">
        <w:rPr>
          <w:szCs w:val="22"/>
          <w:lang w:val="lt-LT"/>
        </w:rPr>
        <w:t xml:space="preserve">Ant </w:t>
      </w:r>
      <w:r w:rsidR="00651959" w:rsidRPr="00C76F7B">
        <w:rPr>
          <w:szCs w:val="22"/>
          <w:lang w:val="lt-LT"/>
        </w:rPr>
        <w:t xml:space="preserve">etiketės, </w:t>
      </w:r>
      <w:r w:rsidRPr="00C76F7B">
        <w:rPr>
          <w:szCs w:val="22"/>
          <w:lang w:val="lt-LT"/>
        </w:rPr>
        <w:t>dėžutės ir lizdinės plokštelės po „Tinka iki“</w:t>
      </w:r>
      <w:r w:rsidR="005235A0" w:rsidRPr="00C76F7B">
        <w:rPr>
          <w:szCs w:val="22"/>
          <w:lang w:val="lt-LT"/>
        </w:rPr>
        <w:t>/„EXP“</w:t>
      </w:r>
      <w:r w:rsidRPr="00C76F7B">
        <w:rPr>
          <w:szCs w:val="22"/>
          <w:lang w:val="lt-LT"/>
        </w:rPr>
        <w:t xml:space="preserve"> nurodytam tinkamumo laikui pasibaigus, šio vaisto vartoti negalima. Vaistas tinkamas vartoti iki paskutinės nurodyto mėnesio dienos.</w:t>
      </w:r>
    </w:p>
    <w:p w14:paraId="298F82A7" w14:textId="77777777" w:rsidR="003F0515" w:rsidRPr="00C76F7B" w:rsidRDefault="003F0515" w:rsidP="003F0515">
      <w:pPr>
        <w:rPr>
          <w:szCs w:val="22"/>
          <w:lang w:val="lt-LT"/>
        </w:rPr>
      </w:pPr>
    </w:p>
    <w:p w14:paraId="0193FE57" w14:textId="77777777" w:rsidR="003F0515" w:rsidRPr="00C76F7B" w:rsidRDefault="003F0515" w:rsidP="005235A0">
      <w:pPr>
        <w:jc w:val="both"/>
        <w:rPr>
          <w:szCs w:val="22"/>
          <w:lang w:val="lt-LT"/>
        </w:rPr>
      </w:pPr>
      <w:r w:rsidRPr="00C76F7B">
        <w:rPr>
          <w:szCs w:val="22"/>
          <w:lang w:val="lt-LT"/>
        </w:rPr>
        <w:t>Vaistų negalima išmesti į kanalizaciją arba su buitinėmis atliekomis. Kaip išmesti nereikalingus vaistus, klauskite vaistininko. Šios priemonės padės apsaugoti aplinką.</w:t>
      </w:r>
    </w:p>
    <w:p w14:paraId="2590EF87" w14:textId="77777777" w:rsidR="003F0515" w:rsidRPr="00C76F7B" w:rsidRDefault="003F0515" w:rsidP="003F0515">
      <w:pPr>
        <w:rPr>
          <w:szCs w:val="22"/>
          <w:lang w:val="lt-LT"/>
        </w:rPr>
      </w:pPr>
    </w:p>
    <w:p w14:paraId="4441D00E" w14:textId="77777777" w:rsidR="003F0515" w:rsidRPr="00C76F7B" w:rsidRDefault="003F0515" w:rsidP="003F0515">
      <w:pPr>
        <w:rPr>
          <w:szCs w:val="22"/>
          <w:lang w:val="lt-LT"/>
        </w:rPr>
      </w:pPr>
    </w:p>
    <w:p w14:paraId="2BD78F67" w14:textId="192CEBCA" w:rsidR="003F0515" w:rsidRPr="00C76F7B" w:rsidRDefault="003F0515" w:rsidP="003F0515">
      <w:pPr>
        <w:pStyle w:val="Heading2"/>
        <w:spacing w:before="0" w:after="0"/>
        <w:rPr>
          <w:rFonts w:ascii="Times New Roman" w:hAnsi="Times New Roman" w:cs="Times New Roman"/>
          <w:i w:val="0"/>
          <w:sz w:val="22"/>
          <w:szCs w:val="22"/>
          <w:lang w:val="lt-LT"/>
        </w:rPr>
      </w:pPr>
      <w:r w:rsidRPr="00C76F7B">
        <w:rPr>
          <w:rFonts w:ascii="Times New Roman" w:hAnsi="Times New Roman" w:cs="Times New Roman"/>
          <w:i w:val="0"/>
          <w:sz w:val="22"/>
          <w:szCs w:val="22"/>
          <w:lang w:val="lt-LT"/>
        </w:rPr>
        <w:t>6.</w:t>
      </w:r>
      <w:r w:rsidR="003010E2" w:rsidRPr="00C76F7B">
        <w:rPr>
          <w:rFonts w:ascii="Times New Roman" w:hAnsi="Times New Roman" w:cs="Times New Roman"/>
          <w:i w:val="0"/>
          <w:sz w:val="22"/>
          <w:szCs w:val="22"/>
          <w:lang w:val="lt-LT"/>
        </w:rPr>
        <w:t xml:space="preserve"> </w:t>
      </w:r>
      <w:r w:rsidRPr="00C76F7B">
        <w:rPr>
          <w:rFonts w:ascii="Times New Roman" w:hAnsi="Times New Roman" w:cs="Times New Roman"/>
          <w:i w:val="0"/>
          <w:sz w:val="22"/>
          <w:szCs w:val="22"/>
          <w:lang w:val="lt-LT"/>
        </w:rPr>
        <w:t>Pakuotės turinys ir kita informacija</w:t>
      </w:r>
    </w:p>
    <w:p w14:paraId="07A52A34" w14:textId="77777777" w:rsidR="003F0515" w:rsidRPr="00C76F7B" w:rsidRDefault="003F0515" w:rsidP="003F0515">
      <w:pPr>
        <w:pStyle w:val="BodyText"/>
        <w:jc w:val="left"/>
        <w:rPr>
          <w:szCs w:val="22"/>
          <w:lang w:val="lt-LT"/>
        </w:rPr>
      </w:pPr>
    </w:p>
    <w:p w14:paraId="6650C0D0" w14:textId="2209860D" w:rsidR="003F0515" w:rsidRPr="00C76F7B" w:rsidRDefault="003F0515" w:rsidP="003F0515">
      <w:pPr>
        <w:pStyle w:val="BodyText"/>
        <w:jc w:val="left"/>
        <w:rPr>
          <w:b/>
          <w:szCs w:val="22"/>
          <w:lang w:val="lt-LT"/>
        </w:rPr>
      </w:pPr>
      <w:r w:rsidRPr="00C76F7B">
        <w:rPr>
          <w:b/>
          <w:szCs w:val="22"/>
          <w:lang w:val="lt-LT"/>
        </w:rPr>
        <w:t>Gelomyrtol forte sudėtis</w:t>
      </w:r>
    </w:p>
    <w:p w14:paraId="4301E70B" w14:textId="0FA21669" w:rsidR="003F0515" w:rsidRPr="00C76F7B" w:rsidRDefault="003F0515" w:rsidP="001A3B38">
      <w:pPr>
        <w:jc w:val="both"/>
        <w:rPr>
          <w:szCs w:val="22"/>
          <w:lang w:val="lt-LT"/>
        </w:rPr>
      </w:pPr>
      <w:r w:rsidRPr="00C76F7B">
        <w:rPr>
          <w:i/>
          <w:szCs w:val="22"/>
          <w:lang w:val="lt-LT"/>
        </w:rPr>
        <w:t>Veiklioji medžiaga</w:t>
      </w:r>
      <w:r w:rsidRPr="00C76F7B">
        <w:rPr>
          <w:szCs w:val="22"/>
          <w:lang w:val="lt-LT"/>
        </w:rPr>
        <w:t>. Vienoje skrandyje neirioje minkštojoje kapsulėje yra 300 mg</w:t>
      </w:r>
      <w:r w:rsidRPr="00C76F7B">
        <w:rPr>
          <w:color w:val="000000"/>
          <w:szCs w:val="22"/>
          <w:lang w:val="lt-LT" w:eastAsia="de-DE"/>
        </w:rPr>
        <w:t xml:space="preserve"> </w:t>
      </w:r>
      <w:r w:rsidRPr="00C76F7B">
        <w:rPr>
          <w:szCs w:val="22"/>
          <w:lang w:val="lt-LT"/>
        </w:rPr>
        <w:t>i</w:t>
      </w:r>
      <w:r w:rsidRPr="00C76F7B">
        <w:rPr>
          <w:color w:val="000000"/>
          <w:szCs w:val="22"/>
          <w:lang w:val="lt-LT" w:eastAsia="de-DE"/>
        </w:rPr>
        <w:t>šgrynintų eukaliptų, saldžiųjų apelsinų, mirtų ir citrinų eterinių aliejų mišinio (66:32:1:1) distiliato</w:t>
      </w:r>
      <w:r w:rsidRPr="00C76F7B">
        <w:rPr>
          <w:szCs w:val="22"/>
          <w:lang w:val="lt-LT"/>
        </w:rPr>
        <w:t>.</w:t>
      </w:r>
    </w:p>
    <w:p w14:paraId="371F2082" w14:textId="77777777" w:rsidR="001A3B38" w:rsidRPr="00C76F7B" w:rsidRDefault="001A3B38" w:rsidP="003F0515">
      <w:pPr>
        <w:rPr>
          <w:i/>
          <w:szCs w:val="22"/>
          <w:lang w:val="lt-LT"/>
        </w:rPr>
      </w:pPr>
    </w:p>
    <w:p w14:paraId="0157923A" w14:textId="15A2BED8" w:rsidR="003F0515" w:rsidRPr="00C76F7B" w:rsidRDefault="003F0515" w:rsidP="003F0515">
      <w:pPr>
        <w:rPr>
          <w:szCs w:val="22"/>
          <w:lang w:val="lt-LT"/>
        </w:rPr>
      </w:pPr>
      <w:r w:rsidRPr="00C76F7B">
        <w:rPr>
          <w:i/>
          <w:szCs w:val="22"/>
          <w:lang w:val="lt-LT"/>
        </w:rPr>
        <w:t>Pagalbinės medžiagos yra</w:t>
      </w:r>
      <w:r w:rsidRPr="00C76F7B">
        <w:rPr>
          <w:szCs w:val="22"/>
          <w:lang w:val="lt-LT"/>
        </w:rPr>
        <w:t>:</w:t>
      </w:r>
    </w:p>
    <w:p w14:paraId="17916E8D" w14:textId="77777777" w:rsidR="003F0515" w:rsidRPr="00C76F7B" w:rsidRDefault="003F0515" w:rsidP="003F0515">
      <w:pPr>
        <w:rPr>
          <w:szCs w:val="22"/>
          <w:u w:val="single"/>
          <w:lang w:val="lt-LT"/>
        </w:rPr>
      </w:pPr>
      <w:r w:rsidRPr="00C76F7B">
        <w:rPr>
          <w:szCs w:val="22"/>
          <w:u w:val="single"/>
          <w:lang w:val="lt-LT"/>
        </w:rPr>
        <w:t>Gelomyrtol forte 300 mg</w:t>
      </w:r>
    </w:p>
    <w:p w14:paraId="414AC288" w14:textId="246E4E5A" w:rsidR="003F0515" w:rsidRPr="00C76F7B" w:rsidRDefault="003F0515" w:rsidP="003F0515">
      <w:pPr>
        <w:rPr>
          <w:szCs w:val="22"/>
          <w:lang w:val="lt-LT"/>
        </w:rPr>
      </w:pPr>
      <w:r w:rsidRPr="00C76F7B">
        <w:rPr>
          <w:szCs w:val="22"/>
          <w:lang w:val="lt-LT"/>
        </w:rPr>
        <w:lastRenderedPageBreak/>
        <w:t>Rafinuotas rapsų aliejus, želatina, glicerolis (85 %), skystasis sorbitolis (nesikristalizuojantis) (E420), hipromeliozės acetat</w:t>
      </w:r>
      <w:r w:rsidR="00340C4D">
        <w:rPr>
          <w:szCs w:val="22"/>
          <w:lang w:val="lt-LT"/>
        </w:rPr>
        <w:t xml:space="preserve">o </w:t>
      </w:r>
      <w:r w:rsidRPr="00C76F7B">
        <w:rPr>
          <w:szCs w:val="22"/>
          <w:lang w:val="lt-LT"/>
        </w:rPr>
        <w:t>sukcinatas, trietilo citratas, natrio laurilsulfatas, talkas, dekstrinas, amonio glicirizatas, praskiesta vandenilio chlorido rūgštis.</w:t>
      </w:r>
    </w:p>
    <w:p w14:paraId="6C15C04B" w14:textId="77777777" w:rsidR="003F0515" w:rsidRPr="00C76F7B" w:rsidRDefault="003F0515" w:rsidP="003F0515">
      <w:pPr>
        <w:pStyle w:val="BodyText"/>
        <w:jc w:val="left"/>
        <w:rPr>
          <w:szCs w:val="22"/>
          <w:lang w:val="lt-LT"/>
        </w:rPr>
      </w:pPr>
    </w:p>
    <w:p w14:paraId="197F0086" w14:textId="62686535" w:rsidR="003F0515" w:rsidRPr="00C76F7B" w:rsidRDefault="003F0515" w:rsidP="003F0515">
      <w:pPr>
        <w:pStyle w:val="BodyText"/>
        <w:jc w:val="left"/>
        <w:rPr>
          <w:b/>
          <w:szCs w:val="22"/>
          <w:lang w:val="lt-LT"/>
        </w:rPr>
      </w:pPr>
      <w:r w:rsidRPr="00C76F7B">
        <w:rPr>
          <w:b/>
          <w:szCs w:val="22"/>
          <w:lang w:val="lt-LT"/>
        </w:rPr>
        <w:t>Gelomyrtol forte išvaizda ir kiekis pakuotėje</w:t>
      </w:r>
    </w:p>
    <w:p w14:paraId="3843D126" w14:textId="77777777" w:rsidR="003F0515" w:rsidRPr="00C76F7B" w:rsidRDefault="003F0515" w:rsidP="003F0515">
      <w:pPr>
        <w:pStyle w:val="BodyText"/>
        <w:jc w:val="left"/>
        <w:rPr>
          <w:szCs w:val="22"/>
          <w:lang w:val="lt-LT"/>
        </w:rPr>
      </w:pPr>
    </w:p>
    <w:p w14:paraId="5CABDF29" w14:textId="5232C9A6" w:rsidR="003F0515" w:rsidRPr="00C76F7B" w:rsidRDefault="003F0515" w:rsidP="003F0515">
      <w:pPr>
        <w:pStyle w:val="BodyText"/>
        <w:jc w:val="left"/>
        <w:rPr>
          <w:szCs w:val="22"/>
          <w:lang w:val="lt-LT"/>
        </w:rPr>
      </w:pPr>
      <w:r w:rsidRPr="00C76F7B">
        <w:rPr>
          <w:szCs w:val="22"/>
          <w:lang w:val="lt-LT"/>
        </w:rPr>
        <w:t>Natūralios spalvos, skaidrios minkštosios želatininės kapsulės.</w:t>
      </w:r>
    </w:p>
    <w:p w14:paraId="4997C3A2" w14:textId="1DC303F1" w:rsidR="003F0515" w:rsidRPr="00C76F7B" w:rsidRDefault="003F0515" w:rsidP="003F0515">
      <w:pPr>
        <w:rPr>
          <w:szCs w:val="22"/>
          <w:lang w:val="lt-LT"/>
        </w:rPr>
      </w:pPr>
      <w:r w:rsidRPr="00C76F7B">
        <w:rPr>
          <w:color w:val="000000"/>
          <w:szCs w:val="22"/>
          <w:lang w:val="lt-LT"/>
        </w:rPr>
        <w:t>Pakuotė, kurioje yra 20</w:t>
      </w:r>
      <w:r w:rsidR="00C76F7B">
        <w:rPr>
          <w:color w:val="000000"/>
          <w:szCs w:val="22"/>
          <w:lang w:val="lt-LT"/>
        </w:rPr>
        <w:t xml:space="preserve"> arba 50</w:t>
      </w:r>
      <w:r w:rsidRPr="00C76F7B">
        <w:rPr>
          <w:color w:val="000000"/>
          <w:szCs w:val="22"/>
          <w:lang w:val="lt-LT"/>
        </w:rPr>
        <w:t xml:space="preserve"> neirių minkštųjų kapsulių</w:t>
      </w:r>
      <w:r w:rsidRPr="00C76F7B">
        <w:rPr>
          <w:szCs w:val="22"/>
          <w:lang w:val="lt-LT"/>
        </w:rPr>
        <w:t>.</w:t>
      </w:r>
    </w:p>
    <w:p w14:paraId="5E38FECF" w14:textId="65373671" w:rsidR="003F0515" w:rsidRPr="00C76F7B" w:rsidRDefault="003F0515" w:rsidP="003F0515">
      <w:pPr>
        <w:rPr>
          <w:szCs w:val="22"/>
          <w:lang w:val="lt-LT"/>
        </w:rPr>
      </w:pPr>
    </w:p>
    <w:p w14:paraId="4B9426B0" w14:textId="160705DF" w:rsidR="003F0515" w:rsidRDefault="00F00E1D" w:rsidP="003F0515">
      <w:pPr>
        <w:rPr>
          <w:szCs w:val="22"/>
          <w:lang w:val="lt-LT"/>
        </w:rPr>
      </w:pPr>
      <w:r>
        <w:rPr>
          <w:szCs w:val="22"/>
          <w:lang w:val="lt-LT"/>
        </w:rPr>
        <w:t>Gali būti tiekiamos ne visų dydžių pakuotės.</w:t>
      </w:r>
    </w:p>
    <w:p w14:paraId="2678FE2D" w14:textId="77777777" w:rsidR="00F00E1D" w:rsidRPr="00C76F7B" w:rsidRDefault="00F00E1D" w:rsidP="003F0515">
      <w:pPr>
        <w:rPr>
          <w:szCs w:val="22"/>
          <w:lang w:val="lt-LT"/>
        </w:rPr>
      </w:pPr>
    </w:p>
    <w:p w14:paraId="6972B7B8" w14:textId="77777777" w:rsidR="00651959" w:rsidRPr="00C76F7B" w:rsidRDefault="00651959" w:rsidP="00651959">
      <w:pPr>
        <w:tabs>
          <w:tab w:val="left" w:pos="567"/>
        </w:tabs>
        <w:suppressAutoHyphens/>
        <w:rPr>
          <w:lang w:val="lt-LT"/>
        </w:rPr>
      </w:pPr>
      <w:r w:rsidRPr="00C76F7B">
        <w:rPr>
          <w:b/>
          <w:lang w:val="lt-LT"/>
        </w:rPr>
        <w:t>Gamintojas</w:t>
      </w:r>
    </w:p>
    <w:p w14:paraId="70FEED3A" w14:textId="77777777" w:rsidR="00651959" w:rsidRPr="00C76F7B" w:rsidRDefault="00651959" w:rsidP="00651959">
      <w:pPr>
        <w:tabs>
          <w:tab w:val="left" w:pos="567"/>
        </w:tabs>
        <w:rPr>
          <w:szCs w:val="22"/>
          <w:lang w:val="lt-LT"/>
        </w:rPr>
      </w:pPr>
      <w:r w:rsidRPr="00C76F7B">
        <w:rPr>
          <w:lang w:val="lt-LT"/>
        </w:rPr>
        <w:t>G. Pohl-Boskamp GmbH &amp; Co. KG</w:t>
      </w:r>
    </w:p>
    <w:p w14:paraId="7EDFACAC" w14:textId="77777777" w:rsidR="00651959" w:rsidRPr="00C76F7B" w:rsidRDefault="00651959" w:rsidP="00651959">
      <w:pPr>
        <w:tabs>
          <w:tab w:val="left" w:pos="567"/>
        </w:tabs>
        <w:rPr>
          <w:lang w:val="lt-LT"/>
        </w:rPr>
      </w:pPr>
      <w:r w:rsidRPr="00C76F7B">
        <w:rPr>
          <w:lang w:val="lt-LT"/>
        </w:rPr>
        <w:t>Kieler Straße 11, 25551 Hohenlockstedt</w:t>
      </w:r>
    </w:p>
    <w:p w14:paraId="65F0442F" w14:textId="77777777" w:rsidR="00651959" w:rsidRPr="00C76F7B" w:rsidRDefault="00651959" w:rsidP="00651959">
      <w:pPr>
        <w:tabs>
          <w:tab w:val="left" w:pos="567"/>
        </w:tabs>
        <w:rPr>
          <w:lang w:val="lt-LT"/>
        </w:rPr>
      </w:pPr>
      <w:r w:rsidRPr="00C76F7B">
        <w:rPr>
          <w:lang w:val="lt-LT"/>
        </w:rPr>
        <w:t>Vokietija</w:t>
      </w:r>
    </w:p>
    <w:p w14:paraId="4D74A919" w14:textId="77777777" w:rsidR="00651959" w:rsidRPr="00C76F7B" w:rsidRDefault="00651959" w:rsidP="00651959">
      <w:pPr>
        <w:tabs>
          <w:tab w:val="left" w:pos="567"/>
        </w:tabs>
        <w:suppressAutoHyphens/>
        <w:rPr>
          <w:lang w:val="lt-LT"/>
        </w:rPr>
      </w:pPr>
    </w:p>
    <w:p w14:paraId="0F87FEC0" w14:textId="77777777" w:rsidR="00651959" w:rsidRPr="00C76F7B" w:rsidRDefault="00651959" w:rsidP="00651959">
      <w:pPr>
        <w:tabs>
          <w:tab w:val="left" w:pos="567"/>
        </w:tabs>
        <w:suppressAutoHyphens/>
        <w:rPr>
          <w:b/>
          <w:lang w:val="lt-LT"/>
        </w:rPr>
      </w:pPr>
      <w:r w:rsidRPr="00C76F7B">
        <w:rPr>
          <w:b/>
          <w:lang w:val="lt-LT"/>
        </w:rPr>
        <w:t xml:space="preserve">Lygiagretus importuotojas </w:t>
      </w:r>
    </w:p>
    <w:p w14:paraId="6F44B6FB" w14:textId="77777777" w:rsidR="00651959" w:rsidRPr="00C76F7B" w:rsidRDefault="00651959" w:rsidP="00651959">
      <w:pPr>
        <w:tabs>
          <w:tab w:val="left" w:pos="567"/>
        </w:tabs>
        <w:suppressAutoHyphens/>
        <w:rPr>
          <w:lang w:val="lt-LT"/>
        </w:rPr>
      </w:pPr>
      <w:r w:rsidRPr="00C76F7B">
        <w:rPr>
          <w:lang w:val="lt-LT"/>
        </w:rPr>
        <w:t>UAB „Lex ano</w:t>
      </w:r>
      <w:r w:rsidRPr="00C76F7B">
        <w:rPr>
          <w:rFonts w:eastAsia="Calibri"/>
          <w:lang w:val="lt-LT"/>
        </w:rPr>
        <w:t>“</w:t>
      </w:r>
    </w:p>
    <w:p w14:paraId="3A2CB3F8" w14:textId="77777777" w:rsidR="00651959" w:rsidRPr="00C76F7B" w:rsidRDefault="00651959" w:rsidP="00651959">
      <w:pPr>
        <w:tabs>
          <w:tab w:val="left" w:pos="567"/>
        </w:tabs>
        <w:suppressAutoHyphens/>
        <w:rPr>
          <w:lang w:val="lt-LT"/>
        </w:rPr>
      </w:pPr>
      <w:r w:rsidRPr="00C76F7B">
        <w:rPr>
          <w:lang w:val="lt-LT"/>
        </w:rPr>
        <w:t>Naugarduko g. 3, Vilnius</w:t>
      </w:r>
    </w:p>
    <w:p w14:paraId="60010370" w14:textId="77777777" w:rsidR="00651959" w:rsidRPr="00C76F7B" w:rsidRDefault="00651959" w:rsidP="00651959">
      <w:pPr>
        <w:tabs>
          <w:tab w:val="left" w:pos="567"/>
        </w:tabs>
        <w:suppressAutoHyphens/>
        <w:rPr>
          <w:lang w:val="lt-LT"/>
        </w:rPr>
      </w:pPr>
      <w:r w:rsidRPr="00C76F7B">
        <w:rPr>
          <w:lang w:val="lt-LT"/>
        </w:rPr>
        <w:t>Lietuva</w:t>
      </w:r>
    </w:p>
    <w:p w14:paraId="21EDD16E" w14:textId="77777777" w:rsidR="00651959" w:rsidRPr="00C76F7B" w:rsidRDefault="00651959" w:rsidP="00651959">
      <w:pPr>
        <w:tabs>
          <w:tab w:val="left" w:pos="567"/>
        </w:tabs>
        <w:suppressAutoHyphens/>
        <w:rPr>
          <w:highlight w:val="yellow"/>
          <w:lang w:val="lt-LT"/>
        </w:rPr>
      </w:pPr>
    </w:p>
    <w:p w14:paraId="3B883876" w14:textId="77777777" w:rsidR="00651959" w:rsidRPr="00C76F7B" w:rsidRDefault="00651959" w:rsidP="00651959">
      <w:pPr>
        <w:tabs>
          <w:tab w:val="left" w:pos="567"/>
        </w:tabs>
        <w:suppressAutoHyphens/>
        <w:rPr>
          <w:b/>
          <w:lang w:val="lt-LT"/>
        </w:rPr>
      </w:pPr>
      <w:r w:rsidRPr="00C76F7B">
        <w:rPr>
          <w:b/>
          <w:lang w:val="lt-LT"/>
        </w:rPr>
        <w:t xml:space="preserve">Perpakavo </w:t>
      </w:r>
    </w:p>
    <w:p w14:paraId="73EAD5FD" w14:textId="77777777" w:rsidR="00651959" w:rsidRPr="00C76F7B" w:rsidRDefault="00651959" w:rsidP="00651959">
      <w:pPr>
        <w:tabs>
          <w:tab w:val="left" w:pos="567"/>
        </w:tabs>
        <w:suppressAutoHyphens/>
        <w:rPr>
          <w:lang w:val="lt-LT"/>
        </w:rPr>
      </w:pPr>
      <w:r w:rsidRPr="00C76F7B">
        <w:rPr>
          <w:lang w:val="lt-LT"/>
        </w:rPr>
        <w:t xml:space="preserve">BĮ UAB </w:t>
      </w:r>
      <w:r w:rsidRPr="00C76F7B">
        <w:rPr>
          <w:rFonts w:eastAsia="Calibri"/>
          <w:lang w:val="lt-LT"/>
        </w:rPr>
        <w:t>„</w:t>
      </w:r>
      <w:r w:rsidRPr="00C76F7B">
        <w:rPr>
          <w:lang w:val="lt-LT"/>
        </w:rPr>
        <w:t>Norfachema</w:t>
      </w:r>
      <w:r w:rsidRPr="00C76F7B">
        <w:rPr>
          <w:rFonts w:eastAsia="Calibri"/>
          <w:lang w:val="lt-LT"/>
        </w:rPr>
        <w:t>“</w:t>
      </w:r>
    </w:p>
    <w:p w14:paraId="132043EC" w14:textId="77777777" w:rsidR="00651959" w:rsidRPr="00C76F7B" w:rsidRDefault="00651959" w:rsidP="00651959">
      <w:pPr>
        <w:tabs>
          <w:tab w:val="left" w:pos="567"/>
        </w:tabs>
        <w:suppressAutoHyphens/>
        <w:rPr>
          <w:lang w:val="lt-LT"/>
        </w:rPr>
      </w:pPr>
      <w:r w:rsidRPr="00C76F7B">
        <w:rPr>
          <w:lang w:val="lt-LT"/>
        </w:rPr>
        <w:t>Vytauto g. 6, Jonava</w:t>
      </w:r>
    </w:p>
    <w:p w14:paraId="57DA75B2" w14:textId="77777777" w:rsidR="00651959" w:rsidRPr="00C76F7B" w:rsidRDefault="00651959" w:rsidP="00651959">
      <w:pPr>
        <w:tabs>
          <w:tab w:val="left" w:pos="567"/>
        </w:tabs>
        <w:suppressAutoHyphens/>
        <w:rPr>
          <w:lang w:val="lt-LT"/>
        </w:rPr>
      </w:pPr>
      <w:r w:rsidRPr="00C76F7B">
        <w:rPr>
          <w:lang w:val="lt-LT"/>
        </w:rPr>
        <w:t>Lietuva</w:t>
      </w:r>
    </w:p>
    <w:p w14:paraId="72E21A02" w14:textId="77777777" w:rsidR="00651959" w:rsidRPr="00C76F7B" w:rsidRDefault="00651959" w:rsidP="00651959">
      <w:pPr>
        <w:tabs>
          <w:tab w:val="left" w:pos="567"/>
        </w:tabs>
        <w:suppressAutoHyphens/>
        <w:rPr>
          <w:lang w:val="lt-LT"/>
        </w:rPr>
      </w:pPr>
    </w:p>
    <w:p w14:paraId="670CB197" w14:textId="77777777" w:rsidR="00651959" w:rsidRPr="00C76F7B" w:rsidRDefault="00651959" w:rsidP="00651959">
      <w:pPr>
        <w:tabs>
          <w:tab w:val="left" w:pos="567"/>
        </w:tabs>
        <w:suppressAutoHyphens/>
        <w:rPr>
          <w:rFonts w:eastAsia="Calibri"/>
          <w:lang w:val="lt-LT"/>
        </w:rPr>
      </w:pPr>
      <w:r w:rsidRPr="00C76F7B">
        <w:rPr>
          <w:rFonts w:eastAsia="Calibri"/>
          <w:lang w:val="lt-LT"/>
        </w:rPr>
        <w:t>arba</w:t>
      </w:r>
    </w:p>
    <w:p w14:paraId="6D05D93A" w14:textId="77777777" w:rsidR="00651959" w:rsidRPr="00C76F7B" w:rsidRDefault="00651959" w:rsidP="00651959">
      <w:pPr>
        <w:tabs>
          <w:tab w:val="left" w:pos="567"/>
        </w:tabs>
        <w:suppressAutoHyphens/>
        <w:rPr>
          <w:rFonts w:eastAsia="Calibri"/>
          <w:lang w:val="lt-LT"/>
        </w:rPr>
      </w:pPr>
    </w:p>
    <w:p w14:paraId="146B6B14" w14:textId="77777777" w:rsidR="00651959" w:rsidRPr="00C76F7B" w:rsidRDefault="00651959" w:rsidP="00651959">
      <w:pPr>
        <w:tabs>
          <w:tab w:val="left" w:pos="567"/>
        </w:tabs>
        <w:suppressAutoHyphens/>
        <w:rPr>
          <w:rFonts w:eastAsia="Calibri"/>
          <w:lang w:val="lt-LT"/>
        </w:rPr>
      </w:pPr>
      <w:r w:rsidRPr="00C76F7B">
        <w:rPr>
          <w:rFonts w:eastAsia="Calibri"/>
          <w:lang w:val="lt-LT"/>
        </w:rPr>
        <w:t>UAB „Entafarma“</w:t>
      </w:r>
    </w:p>
    <w:p w14:paraId="77F78C0B" w14:textId="77777777" w:rsidR="00651959" w:rsidRPr="00C76F7B" w:rsidRDefault="00651959" w:rsidP="00651959">
      <w:pPr>
        <w:tabs>
          <w:tab w:val="left" w:pos="567"/>
        </w:tabs>
        <w:suppressAutoHyphens/>
        <w:rPr>
          <w:rFonts w:eastAsia="Calibri"/>
          <w:lang w:val="lt-LT"/>
        </w:rPr>
      </w:pPr>
      <w:r w:rsidRPr="00C76F7B">
        <w:rPr>
          <w:rFonts w:eastAsia="Calibri"/>
          <w:lang w:val="lt-LT"/>
        </w:rPr>
        <w:t>Klonėnų vs. 1</w:t>
      </w:r>
    </w:p>
    <w:p w14:paraId="6EC48186" w14:textId="77777777" w:rsidR="00651959" w:rsidRPr="00C76F7B" w:rsidRDefault="00651959" w:rsidP="00651959">
      <w:pPr>
        <w:tabs>
          <w:tab w:val="left" w:pos="567"/>
        </w:tabs>
        <w:suppressAutoHyphens/>
        <w:rPr>
          <w:lang w:val="lt-LT"/>
        </w:rPr>
      </w:pPr>
      <w:r w:rsidRPr="00C76F7B">
        <w:rPr>
          <w:lang w:val="lt-LT"/>
        </w:rPr>
        <w:t>Širvintų r. sav.</w:t>
      </w:r>
    </w:p>
    <w:p w14:paraId="03A9D184" w14:textId="77777777" w:rsidR="00651959" w:rsidRPr="00C76F7B" w:rsidRDefault="00651959" w:rsidP="00651959">
      <w:pPr>
        <w:tabs>
          <w:tab w:val="left" w:pos="567"/>
        </w:tabs>
        <w:suppressAutoHyphens/>
        <w:rPr>
          <w:lang w:val="lt-LT"/>
        </w:rPr>
      </w:pPr>
      <w:r w:rsidRPr="00C76F7B">
        <w:rPr>
          <w:lang w:val="lt-LT"/>
        </w:rPr>
        <w:t>Lietuva</w:t>
      </w:r>
    </w:p>
    <w:p w14:paraId="44B3C287" w14:textId="0E5619C8" w:rsidR="003F0515" w:rsidRPr="00C76F7B" w:rsidRDefault="003F0515" w:rsidP="003F0515">
      <w:pPr>
        <w:pStyle w:val="Heading3"/>
        <w:spacing w:before="0" w:after="0"/>
        <w:rPr>
          <w:rFonts w:ascii="Times New Roman" w:hAnsi="Times New Roman" w:cs="Times New Roman"/>
          <w:sz w:val="22"/>
          <w:szCs w:val="22"/>
          <w:lang w:val="lt-LT"/>
        </w:rPr>
      </w:pPr>
    </w:p>
    <w:p w14:paraId="6386851D" w14:textId="77777777" w:rsidR="00A17782" w:rsidRPr="00C76F7B" w:rsidRDefault="00A17782" w:rsidP="00A17782">
      <w:pPr>
        <w:tabs>
          <w:tab w:val="left" w:pos="567"/>
        </w:tabs>
        <w:jc w:val="both"/>
        <w:rPr>
          <w:szCs w:val="22"/>
          <w:lang w:val="lt-LT"/>
        </w:rPr>
      </w:pPr>
      <w:r w:rsidRPr="00C76F7B">
        <w:rPr>
          <w:lang w:val="lt-LT"/>
        </w:rPr>
        <w:t>Registruotojas eksportuojančioje valstybėje yra G. Pohl-Boskamp GmbH &amp; Co. KG</w:t>
      </w:r>
      <w:r w:rsidRPr="00C76F7B">
        <w:rPr>
          <w:szCs w:val="22"/>
          <w:lang w:val="lt-LT"/>
        </w:rPr>
        <w:t xml:space="preserve"> </w:t>
      </w:r>
      <w:r w:rsidRPr="00C76F7B">
        <w:rPr>
          <w:lang w:val="lt-LT"/>
        </w:rPr>
        <w:t>Kieler Straße 11, 25551 Hohenlockstedt</w:t>
      </w:r>
      <w:r w:rsidRPr="00C76F7B">
        <w:rPr>
          <w:szCs w:val="22"/>
          <w:lang w:val="lt-LT"/>
        </w:rPr>
        <w:t xml:space="preserve">, </w:t>
      </w:r>
      <w:r w:rsidRPr="00C76F7B">
        <w:rPr>
          <w:lang w:val="lt-LT"/>
        </w:rPr>
        <w:t xml:space="preserve">Vokietija. </w:t>
      </w:r>
    </w:p>
    <w:p w14:paraId="1827C28F" w14:textId="485FA491" w:rsidR="00A17782" w:rsidRPr="00C76F7B" w:rsidRDefault="00A17782" w:rsidP="00A17782">
      <w:pPr>
        <w:rPr>
          <w:lang w:val="lt-LT"/>
        </w:rPr>
      </w:pPr>
    </w:p>
    <w:p w14:paraId="1839267F" w14:textId="77777777" w:rsidR="00A17782" w:rsidRPr="00C76F7B" w:rsidRDefault="00A17782" w:rsidP="00A17782">
      <w:pPr>
        <w:rPr>
          <w:lang w:val="lt-LT"/>
        </w:rPr>
      </w:pPr>
    </w:p>
    <w:p w14:paraId="3F3A94A7" w14:textId="28BADBDC" w:rsidR="003F0515" w:rsidRPr="00C76F7B" w:rsidRDefault="003F0515" w:rsidP="003F0515">
      <w:pPr>
        <w:pStyle w:val="Heading3"/>
        <w:spacing w:before="0" w:after="0"/>
        <w:rPr>
          <w:rFonts w:ascii="Times New Roman" w:hAnsi="Times New Roman" w:cs="Times New Roman"/>
          <w:sz w:val="22"/>
          <w:szCs w:val="22"/>
          <w:lang w:val="lt-LT"/>
        </w:rPr>
      </w:pPr>
      <w:r w:rsidRPr="00C76F7B">
        <w:rPr>
          <w:rFonts w:ascii="Times New Roman" w:hAnsi="Times New Roman" w:cs="Times New Roman"/>
          <w:sz w:val="22"/>
          <w:szCs w:val="22"/>
          <w:lang w:val="lt-LT"/>
        </w:rPr>
        <w:t xml:space="preserve">Šis pakuotės lapelis paskutinį kartą peržiūrėtas </w:t>
      </w:r>
      <w:r w:rsidR="00FA265E">
        <w:rPr>
          <w:rFonts w:ascii="Times New Roman" w:hAnsi="Times New Roman" w:cs="Times New Roman"/>
          <w:sz w:val="22"/>
          <w:szCs w:val="22"/>
          <w:lang w:val="lt-LT"/>
        </w:rPr>
        <w:t>2019-1</w:t>
      </w:r>
      <w:r w:rsidR="00ED43B3">
        <w:rPr>
          <w:rFonts w:ascii="Times New Roman" w:hAnsi="Times New Roman" w:cs="Times New Roman"/>
          <w:sz w:val="22"/>
          <w:szCs w:val="22"/>
          <w:lang w:val="lt-LT"/>
        </w:rPr>
        <w:t>2-05</w:t>
      </w:r>
      <w:bookmarkStart w:id="2" w:name="_GoBack"/>
      <w:bookmarkEnd w:id="2"/>
    </w:p>
    <w:p w14:paraId="45659BD1" w14:textId="77777777" w:rsidR="003F0515" w:rsidRPr="00C76F7B" w:rsidRDefault="003F0515" w:rsidP="003F0515">
      <w:pPr>
        <w:rPr>
          <w:szCs w:val="22"/>
          <w:lang w:val="lt-LT"/>
        </w:rPr>
      </w:pPr>
    </w:p>
    <w:p w14:paraId="66176FE6" w14:textId="77777777" w:rsidR="003F0515" w:rsidRPr="00C76F7B" w:rsidRDefault="003F0515" w:rsidP="003F0515">
      <w:pPr>
        <w:rPr>
          <w:szCs w:val="22"/>
          <w:lang w:val="lt-LT"/>
        </w:rPr>
      </w:pPr>
    </w:p>
    <w:p w14:paraId="2C2CB5A1" w14:textId="28ACFB5B" w:rsidR="003F0515" w:rsidRPr="00C76F7B" w:rsidRDefault="003F0515" w:rsidP="003F0515">
      <w:pPr>
        <w:rPr>
          <w:szCs w:val="22"/>
          <w:lang w:val="lt-LT"/>
        </w:rPr>
      </w:pPr>
      <w:r w:rsidRPr="00C76F7B">
        <w:rPr>
          <w:szCs w:val="22"/>
          <w:lang w:val="lt-LT"/>
        </w:rPr>
        <w:t xml:space="preserve">Išsami informacija apie šį vaistą pateikiama Valstybinės vaistų kontrolės tarnybos prie Lietuvos Respublikos sveikatos apsaugos ministerijos tinklalapyje </w:t>
      </w:r>
      <w:hyperlink r:id="rId10" w:history="1">
        <w:r w:rsidR="00651959" w:rsidRPr="00C76F7B">
          <w:rPr>
            <w:rStyle w:val="Hyperlink"/>
            <w:szCs w:val="22"/>
            <w:lang w:val="lt-LT"/>
          </w:rPr>
          <w:t>http://www.vvkt.lt/</w:t>
        </w:r>
      </w:hyperlink>
      <w:r w:rsidRPr="00C76F7B">
        <w:rPr>
          <w:szCs w:val="22"/>
          <w:lang w:val="lt-LT"/>
        </w:rPr>
        <w:t>.</w:t>
      </w:r>
    </w:p>
    <w:p w14:paraId="2F859714" w14:textId="77777777" w:rsidR="00651959" w:rsidRPr="00C76F7B" w:rsidRDefault="00651959" w:rsidP="003F0515">
      <w:pPr>
        <w:rPr>
          <w:szCs w:val="22"/>
          <w:lang w:val="lt-LT"/>
        </w:rPr>
      </w:pPr>
    </w:p>
    <w:p w14:paraId="1208BAF2" w14:textId="77777777" w:rsidR="008E71E7" w:rsidRPr="00C76F7B" w:rsidRDefault="008E71E7">
      <w:pPr>
        <w:rPr>
          <w:lang w:val="lt-LT"/>
        </w:rPr>
      </w:pPr>
    </w:p>
    <w:sectPr w:rsidR="008E71E7" w:rsidRPr="00C76F7B" w:rsidSect="00F6276D">
      <w:headerReference w:type="default" r:id="rId11"/>
      <w:footerReference w:type="even" r:id="rId12"/>
      <w:footerReference w:type="default" r:id="rId13"/>
      <w:pgSz w:w="11906" w:h="16838" w:code="9"/>
      <w:pgMar w:top="1134" w:right="1418" w:bottom="1134" w:left="1418" w:header="737"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5A3E" w14:textId="77777777" w:rsidR="006A5227" w:rsidRDefault="006A5227">
      <w:r>
        <w:separator/>
      </w:r>
    </w:p>
  </w:endnote>
  <w:endnote w:type="continuationSeparator" w:id="0">
    <w:p w14:paraId="0162D784" w14:textId="77777777" w:rsidR="006A5227" w:rsidRDefault="006A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6EFD" w14:textId="77777777" w:rsidR="00C35050" w:rsidRDefault="005235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DEC9A2" w14:textId="77777777" w:rsidR="00C35050" w:rsidRDefault="006A52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B551" w14:textId="179C172B" w:rsidR="00C35050" w:rsidRDefault="005235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182">
      <w:rPr>
        <w:rStyle w:val="PageNumber"/>
        <w:noProof/>
      </w:rPr>
      <w:t>7</w:t>
    </w:r>
    <w:r>
      <w:rPr>
        <w:rStyle w:val="PageNumber"/>
      </w:rPr>
      <w:fldChar w:fldCharType="end"/>
    </w:r>
  </w:p>
  <w:p w14:paraId="405DB13A" w14:textId="77777777" w:rsidR="00C35050" w:rsidRDefault="006A52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AEF2" w14:textId="77777777" w:rsidR="006A5227" w:rsidRDefault="006A5227">
      <w:r>
        <w:separator/>
      </w:r>
    </w:p>
  </w:footnote>
  <w:footnote w:type="continuationSeparator" w:id="0">
    <w:p w14:paraId="3857981D" w14:textId="77777777" w:rsidR="006A5227" w:rsidRDefault="006A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A6836" w14:textId="77777777" w:rsidR="00C35050" w:rsidRDefault="006A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B0994"/>
    <w:multiLevelType w:val="hybridMultilevel"/>
    <w:tmpl w:val="389045EE"/>
    <w:lvl w:ilvl="0" w:tplc="407C66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17A42"/>
    <w:multiLevelType w:val="hybridMultilevel"/>
    <w:tmpl w:val="FFEA5842"/>
    <w:lvl w:ilvl="0" w:tplc="38CC776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9D4FCC"/>
    <w:multiLevelType w:val="hybridMultilevel"/>
    <w:tmpl w:val="038ECC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0534A"/>
    <w:multiLevelType w:val="hybridMultilevel"/>
    <w:tmpl w:val="B484B7F0"/>
    <w:lvl w:ilvl="0" w:tplc="040485E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104AC"/>
    <w:multiLevelType w:val="hybridMultilevel"/>
    <w:tmpl w:val="EF621D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E034859"/>
    <w:multiLevelType w:val="multilevel"/>
    <w:tmpl w:val="5E9871C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C10BA3"/>
    <w:multiLevelType w:val="hybridMultilevel"/>
    <w:tmpl w:val="484626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2"/>
  </w:num>
  <w:num w:numId="6">
    <w:abstractNumId w:val="8"/>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0"/>
    <w:lvlOverride w:ilvl="0">
      <w:lvl w:ilvl="0">
        <w:start w:val="1"/>
        <w:numFmt w:val="bullet"/>
        <w:lvlText w:val="-"/>
        <w:lvlJc w:val="left"/>
        <w:pPr>
          <w:ind w:left="360" w:hanging="360"/>
        </w:pPr>
      </w:lvl>
    </w:lvlOverride>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30"/>
    <w:rsid w:val="00022650"/>
    <w:rsid w:val="00066015"/>
    <w:rsid w:val="000B04AE"/>
    <w:rsid w:val="001A3B38"/>
    <w:rsid w:val="00216CA2"/>
    <w:rsid w:val="002C6405"/>
    <w:rsid w:val="003010E2"/>
    <w:rsid w:val="00340C4D"/>
    <w:rsid w:val="00370601"/>
    <w:rsid w:val="003D5A89"/>
    <w:rsid w:val="003F0515"/>
    <w:rsid w:val="005235A0"/>
    <w:rsid w:val="00630182"/>
    <w:rsid w:val="00651959"/>
    <w:rsid w:val="006A5227"/>
    <w:rsid w:val="006B0534"/>
    <w:rsid w:val="00727C48"/>
    <w:rsid w:val="008C61E5"/>
    <w:rsid w:val="008E71E7"/>
    <w:rsid w:val="008F1B53"/>
    <w:rsid w:val="00976F64"/>
    <w:rsid w:val="00A17782"/>
    <w:rsid w:val="00A35436"/>
    <w:rsid w:val="00B25834"/>
    <w:rsid w:val="00BB6977"/>
    <w:rsid w:val="00C76F7B"/>
    <w:rsid w:val="00DF0C02"/>
    <w:rsid w:val="00E927F7"/>
    <w:rsid w:val="00ED43B3"/>
    <w:rsid w:val="00F00E1D"/>
    <w:rsid w:val="00F72330"/>
    <w:rsid w:val="00FA2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2B49"/>
  <w15:chartTrackingRefBased/>
  <w15:docId w15:val="{2BF12E87-B9DF-4CA7-904C-BA2F406B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15"/>
    <w:pPr>
      <w:spacing w:after="0" w:line="240" w:lineRule="auto"/>
    </w:pPr>
    <w:rPr>
      <w:rFonts w:ascii="Times New Roman" w:eastAsia="Times New Roman" w:hAnsi="Times New Roman" w:cs="Times New Roman"/>
      <w:szCs w:val="24"/>
      <w:lang w:val="en-GB"/>
    </w:rPr>
  </w:style>
  <w:style w:type="paragraph" w:styleId="Heading1">
    <w:name w:val="heading 1"/>
    <w:basedOn w:val="Normal"/>
    <w:next w:val="Normal"/>
    <w:link w:val="Heading1Char"/>
    <w:autoRedefine/>
    <w:qFormat/>
    <w:rsid w:val="003F0515"/>
    <w:pPr>
      <w:keepNext/>
      <w:outlineLvl w:val="0"/>
    </w:pPr>
    <w:rPr>
      <w:b/>
      <w:szCs w:val="20"/>
      <w:lang w:val="lt-LT" w:eastAsia="lt-LT"/>
    </w:rPr>
  </w:style>
  <w:style w:type="paragraph" w:styleId="Heading2">
    <w:name w:val="heading 2"/>
    <w:basedOn w:val="Normal"/>
    <w:next w:val="Normal"/>
    <w:link w:val="Heading2Char"/>
    <w:qFormat/>
    <w:rsid w:val="003F05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F051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F051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515"/>
    <w:rPr>
      <w:rFonts w:ascii="Times New Roman" w:eastAsia="Times New Roman" w:hAnsi="Times New Roman" w:cs="Times New Roman"/>
      <w:b/>
      <w:szCs w:val="20"/>
      <w:lang w:eastAsia="lt-LT"/>
    </w:rPr>
  </w:style>
  <w:style w:type="character" w:customStyle="1" w:styleId="Heading2Char">
    <w:name w:val="Heading 2 Char"/>
    <w:basedOn w:val="DefaultParagraphFont"/>
    <w:link w:val="Heading2"/>
    <w:rsid w:val="003F0515"/>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3F0515"/>
    <w:rPr>
      <w:rFonts w:ascii="Arial" w:eastAsia="Times New Roman" w:hAnsi="Arial" w:cs="Arial"/>
      <w:b/>
      <w:bCs/>
      <w:sz w:val="26"/>
      <w:szCs w:val="26"/>
      <w:lang w:val="en-GB"/>
    </w:rPr>
  </w:style>
  <w:style w:type="character" w:customStyle="1" w:styleId="Heading4Char">
    <w:name w:val="Heading 4 Char"/>
    <w:basedOn w:val="DefaultParagraphFont"/>
    <w:link w:val="Heading4"/>
    <w:rsid w:val="003F0515"/>
    <w:rPr>
      <w:rFonts w:ascii="Times New Roman" w:eastAsia="Times New Roman" w:hAnsi="Times New Roman" w:cs="Times New Roman"/>
      <w:b/>
      <w:bCs/>
      <w:sz w:val="28"/>
      <w:szCs w:val="28"/>
      <w:lang w:val="en-GB"/>
    </w:rPr>
  </w:style>
  <w:style w:type="paragraph" w:styleId="BodyText3">
    <w:name w:val="Body Text 3"/>
    <w:basedOn w:val="Normal"/>
    <w:link w:val="BodyText3Char"/>
    <w:rsid w:val="003F0515"/>
    <w:rPr>
      <w:szCs w:val="20"/>
      <w:lang w:val="lt-LT"/>
    </w:rPr>
  </w:style>
  <w:style w:type="character" w:customStyle="1" w:styleId="BodyText3Char">
    <w:name w:val="Body Text 3 Char"/>
    <w:basedOn w:val="DefaultParagraphFont"/>
    <w:link w:val="BodyText3"/>
    <w:rsid w:val="003F0515"/>
    <w:rPr>
      <w:rFonts w:ascii="Times New Roman" w:eastAsia="Times New Roman" w:hAnsi="Times New Roman" w:cs="Times New Roman"/>
      <w:szCs w:val="20"/>
    </w:rPr>
  </w:style>
  <w:style w:type="paragraph" w:styleId="BodyText2">
    <w:name w:val="Body Text 2"/>
    <w:basedOn w:val="Normal"/>
    <w:link w:val="BodyText2Char"/>
    <w:rsid w:val="003F0515"/>
    <w:pPr>
      <w:jc w:val="center"/>
    </w:pPr>
    <w:rPr>
      <w:color w:val="000000"/>
      <w:szCs w:val="20"/>
      <w:lang w:val="lt-LT"/>
    </w:rPr>
  </w:style>
  <w:style w:type="character" w:customStyle="1" w:styleId="BodyText2Char">
    <w:name w:val="Body Text 2 Char"/>
    <w:basedOn w:val="DefaultParagraphFont"/>
    <w:link w:val="BodyText2"/>
    <w:rsid w:val="003F0515"/>
    <w:rPr>
      <w:rFonts w:ascii="Times New Roman" w:eastAsia="Times New Roman" w:hAnsi="Times New Roman" w:cs="Times New Roman"/>
      <w:color w:val="000000"/>
      <w:szCs w:val="20"/>
    </w:rPr>
  </w:style>
  <w:style w:type="paragraph" w:styleId="BodyText">
    <w:name w:val="Body Text"/>
    <w:basedOn w:val="Normal"/>
    <w:link w:val="BodyTextChar"/>
    <w:rsid w:val="003F0515"/>
    <w:pPr>
      <w:jc w:val="both"/>
    </w:pPr>
  </w:style>
  <w:style w:type="character" w:customStyle="1" w:styleId="BodyTextChar">
    <w:name w:val="Body Text Char"/>
    <w:basedOn w:val="DefaultParagraphFont"/>
    <w:link w:val="BodyText"/>
    <w:rsid w:val="003F0515"/>
    <w:rPr>
      <w:rFonts w:ascii="Times New Roman" w:eastAsia="Times New Roman" w:hAnsi="Times New Roman" w:cs="Times New Roman"/>
      <w:szCs w:val="24"/>
      <w:lang w:val="en-GB"/>
    </w:rPr>
  </w:style>
  <w:style w:type="paragraph" w:styleId="Footer">
    <w:name w:val="footer"/>
    <w:basedOn w:val="Normal"/>
    <w:link w:val="FooterChar"/>
    <w:uiPriority w:val="99"/>
    <w:rsid w:val="003F0515"/>
    <w:pPr>
      <w:tabs>
        <w:tab w:val="center" w:pos="4153"/>
        <w:tab w:val="right" w:pos="8306"/>
      </w:tabs>
    </w:pPr>
  </w:style>
  <w:style w:type="character" w:customStyle="1" w:styleId="FooterChar">
    <w:name w:val="Footer Char"/>
    <w:basedOn w:val="DefaultParagraphFont"/>
    <w:link w:val="Footer"/>
    <w:uiPriority w:val="99"/>
    <w:rsid w:val="003F0515"/>
    <w:rPr>
      <w:rFonts w:ascii="Times New Roman" w:eastAsia="Times New Roman" w:hAnsi="Times New Roman" w:cs="Times New Roman"/>
      <w:szCs w:val="24"/>
      <w:lang w:val="en-GB"/>
    </w:rPr>
  </w:style>
  <w:style w:type="character" w:styleId="PageNumber">
    <w:name w:val="page number"/>
    <w:basedOn w:val="DefaultParagraphFont"/>
    <w:rsid w:val="003F0515"/>
  </w:style>
  <w:style w:type="character" w:styleId="CommentReference">
    <w:name w:val="annotation reference"/>
    <w:semiHidden/>
    <w:rsid w:val="003F0515"/>
    <w:rPr>
      <w:sz w:val="16"/>
      <w:szCs w:val="16"/>
    </w:rPr>
  </w:style>
  <w:style w:type="paragraph" w:styleId="CommentText">
    <w:name w:val="annotation text"/>
    <w:basedOn w:val="Normal"/>
    <w:link w:val="CommentTextChar"/>
    <w:semiHidden/>
    <w:rsid w:val="003F0515"/>
    <w:rPr>
      <w:sz w:val="20"/>
      <w:szCs w:val="20"/>
    </w:rPr>
  </w:style>
  <w:style w:type="character" w:customStyle="1" w:styleId="CommentTextChar">
    <w:name w:val="Comment Text Char"/>
    <w:basedOn w:val="DefaultParagraphFont"/>
    <w:link w:val="CommentText"/>
    <w:semiHidden/>
    <w:rsid w:val="003F051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F0515"/>
    <w:rPr>
      <w:b/>
      <w:bCs/>
    </w:rPr>
  </w:style>
  <w:style w:type="character" w:customStyle="1" w:styleId="CommentSubjectChar">
    <w:name w:val="Comment Subject Char"/>
    <w:basedOn w:val="CommentTextChar"/>
    <w:link w:val="CommentSubject"/>
    <w:semiHidden/>
    <w:rsid w:val="003F0515"/>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3F0515"/>
    <w:rPr>
      <w:rFonts w:ascii="Tahoma" w:hAnsi="Tahoma" w:cs="Tahoma"/>
      <w:sz w:val="16"/>
      <w:szCs w:val="16"/>
    </w:rPr>
  </w:style>
  <w:style w:type="character" w:customStyle="1" w:styleId="BalloonTextChar">
    <w:name w:val="Balloon Text Char"/>
    <w:basedOn w:val="DefaultParagraphFont"/>
    <w:link w:val="BalloonText"/>
    <w:semiHidden/>
    <w:rsid w:val="003F0515"/>
    <w:rPr>
      <w:rFonts w:ascii="Tahoma" w:eastAsia="Times New Roman" w:hAnsi="Tahoma" w:cs="Tahoma"/>
      <w:sz w:val="16"/>
      <w:szCs w:val="16"/>
      <w:lang w:val="en-GB"/>
    </w:rPr>
  </w:style>
  <w:style w:type="paragraph" w:customStyle="1" w:styleId="Tablehead">
    <w:name w:val="Table_head"/>
    <w:basedOn w:val="Normal"/>
    <w:rsid w:val="003F0515"/>
    <w:pPr>
      <w:spacing w:before="60" w:after="60" w:line="280" w:lineRule="exact"/>
      <w:jc w:val="both"/>
    </w:pPr>
    <w:rPr>
      <w:b/>
      <w:szCs w:val="20"/>
      <w:lang w:eastAsia="de-DE"/>
    </w:rPr>
  </w:style>
  <w:style w:type="paragraph" w:styleId="BodyTextIndent">
    <w:name w:val="Body Text Indent"/>
    <w:basedOn w:val="Normal"/>
    <w:link w:val="BodyTextIndentChar"/>
    <w:rsid w:val="003F0515"/>
    <w:pPr>
      <w:spacing w:after="120"/>
      <w:ind w:left="283"/>
    </w:pPr>
  </w:style>
  <w:style w:type="character" w:customStyle="1" w:styleId="BodyTextIndentChar">
    <w:name w:val="Body Text Indent Char"/>
    <w:basedOn w:val="DefaultParagraphFont"/>
    <w:link w:val="BodyTextIndent"/>
    <w:rsid w:val="003F0515"/>
    <w:rPr>
      <w:rFonts w:ascii="Times New Roman" w:eastAsia="Times New Roman" w:hAnsi="Times New Roman" w:cs="Times New Roman"/>
      <w:szCs w:val="24"/>
      <w:lang w:val="en-GB"/>
    </w:rPr>
  </w:style>
  <w:style w:type="paragraph" w:styleId="DocumentMap">
    <w:name w:val="Document Map"/>
    <w:basedOn w:val="Normal"/>
    <w:link w:val="DocumentMapChar"/>
    <w:semiHidden/>
    <w:rsid w:val="003F05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F0515"/>
    <w:rPr>
      <w:rFonts w:ascii="Tahoma" w:eastAsia="Times New Roman" w:hAnsi="Tahoma" w:cs="Tahoma"/>
      <w:sz w:val="20"/>
      <w:szCs w:val="20"/>
      <w:shd w:val="clear" w:color="auto" w:fill="000080"/>
      <w:lang w:val="en-GB"/>
    </w:rPr>
  </w:style>
  <w:style w:type="paragraph" w:styleId="Title">
    <w:name w:val="Title"/>
    <w:basedOn w:val="Normal"/>
    <w:link w:val="TitleChar"/>
    <w:autoRedefine/>
    <w:qFormat/>
    <w:rsid w:val="003F0515"/>
    <w:pPr>
      <w:jc w:val="center"/>
      <w:outlineLvl w:val="0"/>
    </w:pPr>
    <w:rPr>
      <w:b/>
      <w:kern w:val="28"/>
      <w:szCs w:val="20"/>
      <w:lang w:val="lt-LT" w:eastAsia="lt-LT"/>
    </w:rPr>
  </w:style>
  <w:style w:type="character" w:customStyle="1" w:styleId="TitleChar">
    <w:name w:val="Title Char"/>
    <w:basedOn w:val="DefaultParagraphFont"/>
    <w:link w:val="Title"/>
    <w:rsid w:val="003F0515"/>
    <w:rPr>
      <w:rFonts w:ascii="Times New Roman" w:eastAsia="Times New Roman" w:hAnsi="Times New Roman" w:cs="Times New Roman"/>
      <w:b/>
      <w:kern w:val="28"/>
      <w:szCs w:val="20"/>
      <w:lang w:eastAsia="lt-LT"/>
    </w:rPr>
  </w:style>
  <w:style w:type="character" w:styleId="Hyperlink">
    <w:name w:val="Hyperlink"/>
    <w:uiPriority w:val="99"/>
    <w:rsid w:val="003F0515"/>
    <w:rPr>
      <w:color w:val="0000FF"/>
      <w:u w:val="single"/>
    </w:rPr>
  </w:style>
  <w:style w:type="paragraph" w:customStyle="1" w:styleId="BTEMEASMCA">
    <w:name w:val="BT EMEA_SMCA"/>
    <w:basedOn w:val="Normal"/>
    <w:link w:val="BTEMEASMCAChar"/>
    <w:autoRedefine/>
    <w:rsid w:val="003F0515"/>
    <w:rPr>
      <w:noProof/>
      <w:szCs w:val="22"/>
      <w:lang w:val="lt-LT"/>
    </w:rPr>
  </w:style>
  <w:style w:type="character" w:customStyle="1" w:styleId="BTEMEASMCAChar">
    <w:name w:val="BT EMEA_SMCA Char"/>
    <w:link w:val="BTEMEASMCA"/>
    <w:rsid w:val="003F0515"/>
    <w:rPr>
      <w:rFonts w:ascii="Times New Roman" w:eastAsia="Times New Roman" w:hAnsi="Times New Roman" w:cs="Times New Roman"/>
      <w:noProof/>
    </w:rPr>
  </w:style>
  <w:style w:type="paragraph" w:styleId="Header">
    <w:name w:val="header"/>
    <w:basedOn w:val="Normal"/>
    <w:link w:val="HeaderChar"/>
    <w:rsid w:val="003F0515"/>
    <w:pPr>
      <w:tabs>
        <w:tab w:val="center" w:pos="4536"/>
        <w:tab w:val="right" w:pos="9072"/>
      </w:tabs>
    </w:pPr>
  </w:style>
  <w:style w:type="character" w:customStyle="1" w:styleId="HeaderChar">
    <w:name w:val="Header Char"/>
    <w:basedOn w:val="DefaultParagraphFont"/>
    <w:link w:val="Header"/>
    <w:rsid w:val="003F0515"/>
    <w:rPr>
      <w:rFonts w:ascii="Times New Roman" w:eastAsia="Times New Roman" w:hAnsi="Times New Roman" w:cs="Times New Roman"/>
      <w:szCs w:val="24"/>
      <w:lang w:val="en-GB"/>
    </w:rPr>
  </w:style>
  <w:style w:type="paragraph" w:customStyle="1" w:styleId="TTEMEASMCA">
    <w:name w:val="TT EMEA_SMCA"/>
    <w:basedOn w:val="Heading1"/>
    <w:link w:val="TTEMEASMCAChar"/>
    <w:autoRedefine/>
    <w:rsid w:val="003F0515"/>
    <w:pPr>
      <w:keepNext w:val="0"/>
      <w:tabs>
        <w:tab w:val="left" w:pos="567"/>
      </w:tabs>
      <w:ind w:left="567" w:hanging="567"/>
      <w:jc w:val="center"/>
    </w:pPr>
    <w:rPr>
      <w:smallCaps/>
      <w:szCs w:val="22"/>
      <w:lang w:val="en-US" w:eastAsia="en-US"/>
    </w:rPr>
  </w:style>
  <w:style w:type="character" w:customStyle="1" w:styleId="TTEMEASMCAChar">
    <w:name w:val="TT EMEA_SMCA Char"/>
    <w:link w:val="TTEMEASMCA"/>
    <w:rsid w:val="003F0515"/>
    <w:rPr>
      <w:rFonts w:ascii="Times New Roman" w:eastAsia="Times New Roman" w:hAnsi="Times New Roman" w:cs="Times New Roman"/>
      <w:b/>
      <w:smallCaps/>
      <w:lang w:val="en-US"/>
    </w:rPr>
  </w:style>
  <w:style w:type="paragraph" w:customStyle="1" w:styleId="BTAnIIEMEASMCA">
    <w:name w:val="BT(AnII) EMEA_SMCA"/>
    <w:basedOn w:val="BalloonText"/>
    <w:autoRedefine/>
    <w:rsid w:val="003F0515"/>
    <w:pPr>
      <w:tabs>
        <w:tab w:val="left" w:pos="1701"/>
      </w:tabs>
      <w:ind w:left="1701" w:hanging="567"/>
    </w:pPr>
    <w:rPr>
      <w:rFonts w:ascii="Times New Roman" w:hAnsi="Times New Roman"/>
      <w:b/>
      <w:sz w:val="22"/>
      <w:szCs w:val="22"/>
    </w:rPr>
  </w:style>
  <w:style w:type="paragraph" w:customStyle="1" w:styleId="knZulassung02">
    <w:name w:val="knZulassung02"/>
    <w:basedOn w:val="Normal"/>
    <w:rsid w:val="003F0515"/>
    <w:pPr>
      <w:ind w:left="1843" w:right="284"/>
    </w:pPr>
    <w:rPr>
      <w:rFonts w:ascii="Courier" w:hAnsi="Courier"/>
      <w:szCs w:val="20"/>
      <w:lang w:val="de-DE" w:eastAsia="de-DE"/>
    </w:rPr>
  </w:style>
  <w:style w:type="table" w:styleId="TableGrid">
    <w:name w:val="Table Grid"/>
    <w:basedOn w:val="TableNormal"/>
    <w:rsid w:val="003F0515"/>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uiPriority w:val="99"/>
    <w:rsid w:val="003F0515"/>
    <w:pPr>
      <w:spacing w:after="140" w:line="280" w:lineRule="atLeast"/>
    </w:pPr>
    <w:rPr>
      <w:rFonts w:ascii="Verdana" w:hAnsi="Verdana"/>
      <w:snapToGrid w:val="0"/>
      <w:sz w:val="18"/>
      <w:szCs w:val="20"/>
      <w:lang w:eastAsia="x-none"/>
    </w:rPr>
  </w:style>
  <w:style w:type="paragraph" w:customStyle="1" w:styleId="NormalAgency">
    <w:name w:val="Normal (Agency)"/>
    <w:link w:val="NormalAgencyChar"/>
    <w:uiPriority w:val="99"/>
    <w:rsid w:val="003F0515"/>
    <w:pPr>
      <w:spacing w:after="0" w:line="240" w:lineRule="auto"/>
    </w:pPr>
    <w:rPr>
      <w:rFonts w:ascii="Verdana" w:eastAsia="Times New Roman" w:hAnsi="Verdana" w:cs="Times New Roman"/>
      <w:snapToGrid w:val="0"/>
      <w:sz w:val="18"/>
      <w:lang w:val="en-GB" w:eastAsia="en-GB"/>
    </w:rPr>
  </w:style>
  <w:style w:type="paragraph" w:customStyle="1" w:styleId="TabletextrowsAgency">
    <w:name w:val="Table text rows (Agency)"/>
    <w:basedOn w:val="Normal"/>
    <w:uiPriority w:val="99"/>
    <w:rsid w:val="003F0515"/>
    <w:pPr>
      <w:spacing w:line="280" w:lineRule="exact"/>
    </w:pPr>
    <w:rPr>
      <w:rFonts w:ascii="Verdana" w:hAnsi="Verdana"/>
      <w:snapToGrid w:val="0"/>
      <w:sz w:val="18"/>
      <w:szCs w:val="20"/>
    </w:rPr>
  </w:style>
  <w:style w:type="character" w:customStyle="1" w:styleId="BodytextAgencyChar">
    <w:name w:val="Body text (Agency) Char"/>
    <w:link w:val="BodytextAgency"/>
    <w:uiPriority w:val="99"/>
    <w:locked/>
    <w:rsid w:val="003F0515"/>
    <w:rPr>
      <w:rFonts w:ascii="Verdana" w:eastAsia="Times New Roman" w:hAnsi="Verdana" w:cs="Times New Roman"/>
      <w:snapToGrid w:val="0"/>
      <w:sz w:val="18"/>
      <w:szCs w:val="20"/>
      <w:lang w:val="en-GB" w:eastAsia="x-none"/>
    </w:rPr>
  </w:style>
  <w:style w:type="character" w:customStyle="1" w:styleId="NormalAgencyChar">
    <w:name w:val="Normal (Agency) Char"/>
    <w:link w:val="NormalAgency"/>
    <w:uiPriority w:val="99"/>
    <w:locked/>
    <w:rsid w:val="003F0515"/>
    <w:rPr>
      <w:rFonts w:ascii="Verdana" w:eastAsia="Times New Roman" w:hAnsi="Verdana" w:cs="Times New Roman"/>
      <w:snapToGrid w:val="0"/>
      <w:sz w:val="18"/>
      <w:lang w:val="en-GB" w:eastAsia="en-GB"/>
    </w:rPr>
  </w:style>
  <w:style w:type="paragraph" w:customStyle="1" w:styleId="berarbeitung1">
    <w:name w:val="Überarbeitung1"/>
    <w:hidden/>
    <w:uiPriority w:val="99"/>
    <w:semiHidden/>
    <w:rsid w:val="003F0515"/>
    <w:pPr>
      <w:spacing w:after="0" w:line="240" w:lineRule="auto"/>
    </w:pPr>
    <w:rPr>
      <w:rFonts w:ascii="Times New Roman" w:eastAsia="Times New Roman" w:hAnsi="Times New Roman" w:cs="Times New Roman"/>
      <w:szCs w:val="24"/>
      <w:lang w:val="en-GB"/>
    </w:rPr>
  </w:style>
  <w:style w:type="character" w:customStyle="1" w:styleId="Benutzer">
    <w:name w:val="Benutzer"/>
    <w:semiHidden/>
    <w:rsid w:val="003F0515"/>
    <w:rPr>
      <w:rFonts w:ascii="Times New Roman" w:hAnsi="Times New Roman" w:cs="Times New Roman"/>
      <w:b w:val="0"/>
      <w:bCs w:val="0"/>
      <w:i w:val="0"/>
      <w:iCs w:val="0"/>
      <w:strike w:val="0"/>
      <w:color w:val="0000FF"/>
      <w:sz w:val="24"/>
      <w:szCs w:val="24"/>
      <w:u w:val="none"/>
    </w:rPr>
  </w:style>
  <w:style w:type="character" w:customStyle="1" w:styleId="shorttext">
    <w:name w:val="short_text"/>
    <w:rsid w:val="003F0515"/>
  </w:style>
  <w:style w:type="character" w:customStyle="1" w:styleId="hps">
    <w:name w:val="hps"/>
    <w:rsid w:val="003F0515"/>
  </w:style>
  <w:style w:type="paragraph" w:customStyle="1" w:styleId="Default">
    <w:name w:val="Default"/>
    <w:rsid w:val="003F0515"/>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Revision">
    <w:name w:val="Revision"/>
    <w:hidden/>
    <w:uiPriority w:val="99"/>
    <w:semiHidden/>
    <w:rsid w:val="003F0515"/>
    <w:pPr>
      <w:spacing w:after="0" w:line="240" w:lineRule="auto"/>
    </w:pPr>
    <w:rPr>
      <w:rFonts w:ascii="Times New Roman" w:eastAsia="Times New Roman" w:hAnsi="Times New Roman" w:cs="Times New Roman"/>
      <w:szCs w:val="24"/>
      <w:lang w:val="en-GB"/>
    </w:rPr>
  </w:style>
  <w:style w:type="numbering" w:customStyle="1" w:styleId="Sraonra1">
    <w:name w:val="Sąrašo nėra1"/>
    <w:next w:val="NoList"/>
    <w:uiPriority w:val="99"/>
    <w:semiHidden/>
    <w:unhideWhenUsed/>
    <w:rsid w:val="003F0515"/>
  </w:style>
  <w:style w:type="paragraph" w:styleId="ListParagraph">
    <w:name w:val="List Paragraph"/>
    <w:basedOn w:val="Normal"/>
    <w:uiPriority w:val="34"/>
    <w:qFormat/>
    <w:rsid w:val="003D5A89"/>
    <w:pPr>
      <w:ind w:left="720"/>
      <w:contextualSpacing/>
    </w:pPr>
  </w:style>
  <w:style w:type="character" w:customStyle="1" w:styleId="PI-1labEMEASMCAChar">
    <w:name w:val="PI-1_lab EMEA_SMCA Char"/>
    <w:link w:val="PI-1labEMEASMCA"/>
    <w:locked/>
    <w:rsid w:val="003D5A89"/>
    <w:rPr>
      <w:rFonts w:ascii="Times New Roman" w:eastAsia="Times New Roman" w:hAnsi="Times New Roman" w:cs="Times New Roman"/>
      <w:b/>
      <w:bCs/>
      <w:noProof/>
      <w:lang w:eastAsia="x-none"/>
    </w:rPr>
  </w:style>
  <w:style w:type="paragraph" w:customStyle="1" w:styleId="PI-1labEMEASMCA">
    <w:name w:val="PI-1_lab EMEA_SMCA"/>
    <w:basedOn w:val="Normal"/>
    <w:link w:val="PI-1labEMEASMCAChar"/>
    <w:autoRedefine/>
    <w:rsid w:val="003D5A89"/>
    <w:pPr>
      <w:pBdr>
        <w:top w:val="single" w:sz="4" w:space="1" w:color="auto"/>
        <w:left w:val="single" w:sz="4" w:space="4" w:color="auto"/>
        <w:bottom w:val="single" w:sz="4" w:space="1" w:color="auto"/>
        <w:right w:val="single" w:sz="4" w:space="4" w:color="auto"/>
      </w:pBdr>
      <w:tabs>
        <w:tab w:val="left" w:pos="540"/>
      </w:tabs>
    </w:pPr>
    <w:rPr>
      <w:b/>
      <w:bCs/>
      <w:noProof/>
      <w:szCs w:val="22"/>
      <w:lang w:val="lt-LT" w:eastAsia="x-none"/>
    </w:rPr>
  </w:style>
  <w:style w:type="character" w:customStyle="1" w:styleId="Neapdorotaspaminjimas1">
    <w:name w:val="Neapdorotas paminėjimas1"/>
    <w:basedOn w:val="DefaultParagraphFont"/>
    <w:uiPriority w:val="99"/>
    <w:semiHidden/>
    <w:unhideWhenUsed/>
    <w:rsid w:val="00651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7349</Words>
  <Characters>4190</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14</cp:revision>
  <dcterms:created xsi:type="dcterms:W3CDTF">2019-05-30T12:07:00Z</dcterms:created>
  <dcterms:modified xsi:type="dcterms:W3CDTF">2019-12-06T06:33:00Z</dcterms:modified>
</cp:coreProperties>
</file>