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94A58" w14:textId="77777777" w:rsidR="00267DDB" w:rsidRPr="00074768" w:rsidRDefault="00267DDB" w:rsidP="00267DDB">
      <w:pPr>
        <w:widowControl w:val="0"/>
        <w:spacing w:after="0" w:line="240" w:lineRule="auto"/>
        <w:rPr>
          <w:rFonts w:ascii="Times New Roman" w:eastAsia="Times New Roman" w:hAnsi="Times New Roman"/>
          <w:snapToGrid w:val="0"/>
        </w:rPr>
      </w:pPr>
    </w:p>
    <w:p w14:paraId="63D5FEB0" w14:textId="77777777" w:rsidR="00267DDB" w:rsidRPr="00074768" w:rsidRDefault="00267DDB" w:rsidP="00267DDB">
      <w:pPr>
        <w:tabs>
          <w:tab w:val="left" w:pos="567"/>
        </w:tabs>
        <w:spacing w:after="0" w:line="260" w:lineRule="exact"/>
        <w:outlineLvl w:val="0"/>
        <w:rPr>
          <w:rFonts w:ascii="Times New Roman" w:eastAsia="Times New Roman" w:hAnsi="Times New Roman"/>
          <w:b/>
          <w:snapToGrid w:val="0"/>
        </w:rPr>
      </w:pPr>
    </w:p>
    <w:p w14:paraId="2398955C" w14:textId="77777777" w:rsidR="00267DDB" w:rsidRPr="00074768" w:rsidRDefault="00267DDB" w:rsidP="00267DDB">
      <w:pPr>
        <w:tabs>
          <w:tab w:val="left" w:pos="567"/>
        </w:tabs>
        <w:spacing w:after="0" w:line="260" w:lineRule="exact"/>
        <w:outlineLvl w:val="0"/>
        <w:rPr>
          <w:rFonts w:ascii="Times New Roman" w:eastAsia="Times New Roman" w:hAnsi="Times New Roman"/>
          <w:b/>
          <w:snapToGrid w:val="0"/>
        </w:rPr>
      </w:pPr>
    </w:p>
    <w:p w14:paraId="2FA6A1B8" w14:textId="77777777" w:rsidR="00267DDB" w:rsidRPr="00074768" w:rsidRDefault="00267DDB" w:rsidP="00267DDB">
      <w:pPr>
        <w:tabs>
          <w:tab w:val="left" w:pos="567"/>
        </w:tabs>
        <w:spacing w:after="0" w:line="260" w:lineRule="exact"/>
        <w:outlineLvl w:val="0"/>
        <w:rPr>
          <w:rFonts w:ascii="Times New Roman" w:eastAsia="Times New Roman" w:hAnsi="Times New Roman"/>
          <w:b/>
          <w:snapToGrid w:val="0"/>
        </w:rPr>
      </w:pPr>
    </w:p>
    <w:p w14:paraId="2696EBA2" w14:textId="77777777" w:rsidR="00267DDB" w:rsidRPr="00074768" w:rsidRDefault="00267DDB" w:rsidP="00267DDB">
      <w:pPr>
        <w:tabs>
          <w:tab w:val="left" w:pos="567"/>
        </w:tabs>
        <w:spacing w:after="0" w:line="260" w:lineRule="exact"/>
        <w:outlineLvl w:val="0"/>
        <w:rPr>
          <w:rFonts w:ascii="Times New Roman" w:eastAsia="Times New Roman" w:hAnsi="Times New Roman"/>
          <w:b/>
          <w:snapToGrid w:val="0"/>
        </w:rPr>
      </w:pPr>
    </w:p>
    <w:p w14:paraId="06DA6CE3"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048FFB70"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22ADA94B"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7B445F29"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09039B96"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6A748E59"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1485E9C4"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7065BA39"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09A61B7D"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44794AC6"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7C3668E4"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4E62E04C"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4243ABFC"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3929BD5C"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115251F5"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1E1EEE2F"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23A4542C"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723DE051" w14:textId="77777777" w:rsidR="00267DDB" w:rsidRPr="00074768" w:rsidRDefault="00267DDB" w:rsidP="00267DDB">
      <w:pPr>
        <w:tabs>
          <w:tab w:val="left" w:pos="-1440"/>
          <w:tab w:val="left" w:pos="-720"/>
          <w:tab w:val="left" w:pos="567"/>
        </w:tabs>
        <w:spacing w:after="0" w:line="260" w:lineRule="exact"/>
        <w:rPr>
          <w:rFonts w:ascii="Times New Roman" w:eastAsia="Times New Roman" w:hAnsi="Times New Roman"/>
          <w:b/>
          <w:snapToGrid w:val="0"/>
        </w:rPr>
      </w:pPr>
    </w:p>
    <w:p w14:paraId="4AD37671" w14:textId="77777777" w:rsidR="00267DDB" w:rsidRPr="00074768" w:rsidRDefault="00267DDB" w:rsidP="00267DDB">
      <w:pPr>
        <w:keepNext/>
        <w:tabs>
          <w:tab w:val="left" w:pos="567"/>
        </w:tabs>
        <w:spacing w:after="0" w:line="240" w:lineRule="auto"/>
        <w:jc w:val="center"/>
        <w:outlineLvl w:val="1"/>
        <w:rPr>
          <w:rFonts w:ascii="Times New Roman" w:eastAsia="Times New Roman" w:hAnsi="Times New Roman"/>
          <w:b/>
          <w:snapToGrid w:val="0"/>
          <w:lang w:eastAsia="x-none"/>
        </w:rPr>
      </w:pPr>
      <w:r w:rsidRPr="00074768">
        <w:rPr>
          <w:rFonts w:ascii="Times New Roman" w:eastAsia="Times New Roman" w:hAnsi="Times New Roman"/>
          <w:b/>
          <w:bCs/>
          <w:iCs/>
          <w:snapToGrid w:val="0"/>
          <w:lang w:eastAsia="x-none"/>
        </w:rPr>
        <w:t>I PRIEDAS</w:t>
      </w:r>
    </w:p>
    <w:p w14:paraId="2D739FFF" w14:textId="77777777" w:rsidR="00267DDB" w:rsidRPr="00074768" w:rsidRDefault="00267DDB" w:rsidP="00267DDB">
      <w:pPr>
        <w:tabs>
          <w:tab w:val="left" w:pos="567"/>
        </w:tabs>
        <w:spacing w:after="0" w:line="240" w:lineRule="auto"/>
        <w:rPr>
          <w:rFonts w:ascii="Times New Roman" w:eastAsia="Times New Roman" w:hAnsi="Times New Roman"/>
          <w:snapToGrid w:val="0"/>
        </w:rPr>
      </w:pPr>
    </w:p>
    <w:p w14:paraId="47CDD666" w14:textId="77777777" w:rsidR="00267DDB" w:rsidRPr="00074768" w:rsidRDefault="00267DDB" w:rsidP="00267DDB">
      <w:pPr>
        <w:tabs>
          <w:tab w:val="left" w:pos="-1440"/>
          <w:tab w:val="left" w:pos="-720"/>
          <w:tab w:val="left" w:pos="567"/>
        </w:tabs>
        <w:spacing w:after="0" w:line="260" w:lineRule="exact"/>
        <w:jc w:val="center"/>
        <w:rPr>
          <w:rFonts w:ascii="Times New Roman" w:eastAsia="Times New Roman" w:hAnsi="Times New Roman"/>
          <w:b/>
          <w:snapToGrid w:val="0"/>
        </w:rPr>
      </w:pPr>
      <w:r w:rsidRPr="00074768">
        <w:rPr>
          <w:rFonts w:ascii="Times New Roman" w:eastAsia="Times New Roman" w:hAnsi="Times New Roman"/>
          <w:b/>
          <w:snapToGrid w:val="0"/>
        </w:rPr>
        <w:t>PREPARATO CHARAKTERISTIKŲ SANTRAUKA</w:t>
      </w:r>
    </w:p>
    <w:p w14:paraId="3EA6DBF3" w14:textId="77777777" w:rsidR="00267DDB" w:rsidRPr="00074768" w:rsidRDefault="00267DDB" w:rsidP="00267DDB">
      <w:pPr>
        <w:tabs>
          <w:tab w:val="left" w:pos="-1440"/>
          <w:tab w:val="left" w:pos="-720"/>
          <w:tab w:val="left" w:pos="567"/>
        </w:tabs>
        <w:spacing w:after="0" w:line="260" w:lineRule="exact"/>
        <w:jc w:val="center"/>
        <w:rPr>
          <w:rFonts w:ascii="Times New Roman" w:eastAsia="Times New Roman" w:hAnsi="Times New Roman"/>
          <w:snapToGrid w:val="0"/>
        </w:rPr>
      </w:pPr>
      <w:r w:rsidRPr="00074768">
        <w:rPr>
          <w:rFonts w:ascii="Times New Roman" w:eastAsia="Times New Roman" w:hAnsi="Times New Roman"/>
          <w:snapToGrid w:val="0"/>
          <w:lang w:eastAsia="zh-CN"/>
        </w:rPr>
        <w:br w:type="page"/>
      </w:r>
    </w:p>
    <w:p w14:paraId="2250CB67" w14:textId="77777777" w:rsidR="00267DDB" w:rsidRPr="00074768" w:rsidRDefault="00267DDB" w:rsidP="00267DDB">
      <w:pPr>
        <w:keepNext/>
        <w:keepLines/>
        <w:tabs>
          <w:tab w:val="left" w:pos="567"/>
        </w:tabs>
        <w:spacing w:after="0" w:line="240" w:lineRule="auto"/>
        <w:outlineLvl w:val="2"/>
        <w:rPr>
          <w:rFonts w:ascii="Times New Roman" w:eastAsia="Times New Roman" w:hAnsi="Times New Roman"/>
          <w:b/>
          <w:bCs/>
          <w:snapToGrid w:val="0"/>
          <w:lang w:eastAsia="x-none"/>
        </w:rPr>
      </w:pPr>
      <w:r w:rsidRPr="00074768">
        <w:rPr>
          <w:rFonts w:ascii="Times New Roman" w:eastAsia="Times New Roman" w:hAnsi="Times New Roman"/>
          <w:b/>
          <w:bCs/>
          <w:snapToGrid w:val="0"/>
          <w:lang w:eastAsia="x-none"/>
        </w:rPr>
        <w:lastRenderedPageBreak/>
        <w:t>1.</w:t>
      </w:r>
      <w:r w:rsidRPr="00074768">
        <w:rPr>
          <w:rFonts w:ascii="Times New Roman" w:eastAsia="Times New Roman" w:hAnsi="Times New Roman"/>
          <w:b/>
          <w:bCs/>
          <w:snapToGrid w:val="0"/>
          <w:lang w:eastAsia="x-none"/>
        </w:rPr>
        <w:tab/>
        <w:t>VAISTINIO PREPARATO PAVADINIMAS</w:t>
      </w:r>
    </w:p>
    <w:p w14:paraId="1097E4E5" w14:textId="77777777" w:rsidR="00267DDB" w:rsidRPr="00074768" w:rsidRDefault="00267DDB" w:rsidP="00267DDB">
      <w:pPr>
        <w:tabs>
          <w:tab w:val="left" w:pos="567"/>
        </w:tabs>
        <w:spacing w:after="0" w:line="260" w:lineRule="exact"/>
        <w:rPr>
          <w:rFonts w:ascii="Times New Roman" w:eastAsia="Times New Roman" w:hAnsi="Times New Roman"/>
          <w:snapToGrid w:val="0"/>
        </w:rPr>
      </w:pPr>
    </w:p>
    <w:p w14:paraId="2E34DAB1" w14:textId="77777777" w:rsidR="00267DDB" w:rsidRPr="00074768" w:rsidRDefault="00FE3805" w:rsidP="00267DDB">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noProof/>
          <w:snapToGrid w:val="0"/>
        </w:rPr>
        <w:t>Cabazitaxel Sandoz</w:t>
      </w:r>
      <w:r w:rsidR="00267DDB" w:rsidRPr="00074768">
        <w:rPr>
          <w:rFonts w:ascii="Times New Roman" w:eastAsia="Times New Roman" w:hAnsi="Times New Roman"/>
          <w:noProof/>
          <w:snapToGrid w:val="0"/>
        </w:rPr>
        <w:t xml:space="preserve"> </w:t>
      </w:r>
      <w:r w:rsidRPr="00074768">
        <w:rPr>
          <w:rFonts w:ascii="Times New Roman" w:eastAsia="Times New Roman" w:hAnsi="Times New Roman"/>
          <w:noProof/>
          <w:snapToGrid w:val="0"/>
        </w:rPr>
        <w:t>10</w:t>
      </w:r>
      <w:r w:rsidR="00267DDB" w:rsidRPr="00074768">
        <w:rPr>
          <w:rFonts w:ascii="Times New Roman" w:eastAsia="Times New Roman" w:hAnsi="Times New Roman"/>
          <w:noProof/>
          <w:snapToGrid w:val="0"/>
        </w:rPr>
        <w:t> mg/ml koncentratas infuziniam tirpalui</w:t>
      </w:r>
    </w:p>
    <w:p w14:paraId="3CB6864D" w14:textId="77777777" w:rsidR="00267DDB" w:rsidRPr="00074768" w:rsidRDefault="00267DDB" w:rsidP="00267DDB">
      <w:pPr>
        <w:tabs>
          <w:tab w:val="left" w:pos="567"/>
        </w:tabs>
        <w:spacing w:after="0" w:line="260" w:lineRule="exact"/>
        <w:rPr>
          <w:rFonts w:ascii="Times New Roman" w:eastAsia="Times New Roman" w:hAnsi="Times New Roman"/>
          <w:snapToGrid w:val="0"/>
        </w:rPr>
      </w:pPr>
    </w:p>
    <w:p w14:paraId="414B152F" w14:textId="77777777" w:rsidR="00267DDB" w:rsidRPr="00074768" w:rsidRDefault="00267DDB" w:rsidP="00267DDB">
      <w:pPr>
        <w:tabs>
          <w:tab w:val="left" w:pos="567"/>
        </w:tabs>
        <w:spacing w:after="0" w:line="260" w:lineRule="exact"/>
        <w:rPr>
          <w:rFonts w:ascii="Times New Roman" w:eastAsia="Times New Roman" w:hAnsi="Times New Roman"/>
          <w:snapToGrid w:val="0"/>
        </w:rPr>
      </w:pPr>
    </w:p>
    <w:p w14:paraId="78788469" w14:textId="77777777" w:rsidR="00267DDB" w:rsidRPr="00074768" w:rsidRDefault="00267DDB" w:rsidP="00267DDB">
      <w:pPr>
        <w:keepNext/>
        <w:keepLines/>
        <w:tabs>
          <w:tab w:val="left" w:pos="567"/>
        </w:tabs>
        <w:spacing w:after="0" w:line="240" w:lineRule="auto"/>
        <w:outlineLvl w:val="2"/>
        <w:rPr>
          <w:rFonts w:ascii="Times New Roman" w:eastAsia="Times New Roman" w:hAnsi="Times New Roman"/>
          <w:b/>
          <w:bCs/>
          <w:snapToGrid w:val="0"/>
          <w:lang w:eastAsia="x-none"/>
        </w:rPr>
      </w:pPr>
      <w:r w:rsidRPr="00074768">
        <w:rPr>
          <w:rFonts w:ascii="Times New Roman" w:eastAsia="Times New Roman" w:hAnsi="Times New Roman"/>
          <w:b/>
          <w:bCs/>
          <w:snapToGrid w:val="0"/>
          <w:lang w:eastAsia="x-none"/>
        </w:rPr>
        <w:t>2.</w:t>
      </w:r>
      <w:r w:rsidRPr="00074768">
        <w:rPr>
          <w:rFonts w:ascii="Times New Roman" w:eastAsia="Times New Roman" w:hAnsi="Times New Roman"/>
          <w:b/>
          <w:bCs/>
          <w:snapToGrid w:val="0"/>
          <w:lang w:eastAsia="x-none"/>
        </w:rPr>
        <w:tab/>
        <w:t>KOKYBINĖ IR KIEKYBINĖ SUDĖTIS</w:t>
      </w:r>
    </w:p>
    <w:p w14:paraId="427CB644" w14:textId="77777777" w:rsidR="00267DDB" w:rsidRPr="00074768" w:rsidRDefault="00267DDB" w:rsidP="00267DDB">
      <w:pPr>
        <w:tabs>
          <w:tab w:val="left" w:pos="567"/>
        </w:tabs>
        <w:spacing w:after="0" w:line="260" w:lineRule="exact"/>
        <w:rPr>
          <w:rFonts w:ascii="Times New Roman" w:eastAsia="Times New Roman" w:hAnsi="Times New Roman"/>
          <w:snapToGrid w:val="0"/>
        </w:rPr>
      </w:pPr>
    </w:p>
    <w:p w14:paraId="45692DF0" w14:textId="77777777" w:rsidR="00267DDB" w:rsidRPr="00074768" w:rsidRDefault="00BC3E54" w:rsidP="00267DDB">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Kiekviename</w:t>
      </w:r>
      <w:r w:rsidR="00267DDB" w:rsidRPr="00074768">
        <w:rPr>
          <w:rFonts w:ascii="Times New Roman" w:eastAsia="Times New Roman" w:hAnsi="Times New Roman"/>
          <w:snapToGrid w:val="0"/>
        </w:rPr>
        <w:t xml:space="preserve"> koncentrato </w:t>
      </w:r>
      <w:r w:rsidR="00867C41" w:rsidRPr="00074768">
        <w:rPr>
          <w:rFonts w:ascii="Times New Roman" w:eastAsia="Times New Roman" w:hAnsi="Times New Roman"/>
          <w:noProof/>
          <w:snapToGrid w:val="0"/>
        </w:rPr>
        <w:t>infuziniam tirpalui</w:t>
      </w:r>
      <w:r w:rsidR="00867C41" w:rsidRPr="00074768">
        <w:rPr>
          <w:rFonts w:ascii="Times New Roman" w:eastAsia="Times New Roman" w:hAnsi="Times New Roman"/>
          <w:snapToGrid w:val="0"/>
        </w:rPr>
        <w:t xml:space="preserve"> </w:t>
      </w:r>
      <w:r w:rsidR="00267DDB" w:rsidRPr="00074768">
        <w:rPr>
          <w:rFonts w:ascii="Times New Roman" w:eastAsia="Times New Roman" w:hAnsi="Times New Roman"/>
          <w:snapToGrid w:val="0"/>
        </w:rPr>
        <w:t xml:space="preserve">ml yra </w:t>
      </w:r>
      <w:proofErr w:type="spellStart"/>
      <w:r w:rsidR="00FE3805" w:rsidRPr="00074768">
        <w:rPr>
          <w:rFonts w:ascii="Times New Roman" w:hAnsi="Times New Roman"/>
          <w:snapToGrid w:val="0"/>
        </w:rPr>
        <w:t>kabazitakselio</w:t>
      </w:r>
      <w:proofErr w:type="spellEnd"/>
      <w:r w:rsidR="00FE3805" w:rsidRPr="00074768">
        <w:rPr>
          <w:rFonts w:ascii="Times New Roman" w:hAnsi="Times New Roman"/>
          <w:snapToGrid w:val="0"/>
        </w:rPr>
        <w:t xml:space="preserve"> </w:t>
      </w:r>
      <w:proofErr w:type="spellStart"/>
      <w:r w:rsidR="00FE3805" w:rsidRPr="00074768">
        <w:rPr>
          <w:rFonts w:ascii="Times New Roman" w:hAnsi="Times New Roman"/>
          <w:snapToGrid w:val="0"/>
        </w:rPr>
        <w:t>monohidrato</w:t>
      </w:r>
      <w:proofErr w:type="spellEnd"/>
      <w:r w:rsidR="00867C41" w:rsidRPr="00074768">
        <w:rPr>
          <w:rFonts w:ascii="Times New Roman" w:hAnsi="Times New Roman"/>
          <w:snapToGrid w:val="0"/>
        </w:rPr>
        <w:t xml:space="preserve"> </w:t>
      </w:r>
      <w:r w:rsidR="00FE3805" w:rsidRPr="00074768">
        <w:rPr>
          <w:rFonts w:ascii="Times New Roman" w:hAnsi="Times New Roman"/>
          <w:snapToGrid w:val="0"/>
        </w:rPr>
        <w:t xml:space="preserve">kiekis, ekvivalentiškas </w:t>
      </w:r>
      <w:r w:rsidR="00FE3805" w:rsidRPr="00074768">
        <w:rPr>
          <w:rFonts w:ascii="Times New Roman" w:eastAsia="Times New Roman" w:hAnsi="Times New Roman"/>
          <w:snapToGrid w:val="0"/>
        </w:rPr>
        <w:t xml:space="preserve">10 mg </w:t>
      </w:r>
      <w:proofErr w:type="spellStart"/>
      <w:r w:rsidR="00FE3805" w:rsidRPr="00074768">
        <w:rPr>
          <w:rFonts w:ascii="Times New Roman" w:eastAsia="Times New Roman" w:hAnsi="Times New Roman"/>
          <w:snapToGrid w:val="0"/>
        </w:rPr>
        <w:t>kabazitakselio</w:t>
      </w:r>
      <w:proofErr w:type="spellEnd"/>
      <w:r w:rsidR="00267DDB" w:rsidRPr="00074768">
        <w:rPr>
          <w:rFonts w:ascii="Times New Roman" w:eastAsia="Times New Roman" w:hAnsi="Times New Roman"/>
          <w:snapToGrid w:val="0"/>
        </w:rPr>
        <w:t>.</w:t>
      </w:r>
    </w:p>
    <w:p w14:paraId="6F1424DB" w14:textId="77777777" w:rsidR="00267DDB" w:rsidRPr="00074768" w:rsidRDefault="00267DDB" w:rsidP="00267DDB">
      <w:pPr>
        <w:tabs>
          <w:tab w:val="left" w:pos="567"/>
        </w:tabs>
        <w:spacing w:after="0" w:line="260" w:lineRule="exact"/>
        <w:rPr>
          <w:rFonts w:ascii="Times New Roman" w:eastAsia="Times New Roman" w:hAnsi="Times New Roman"/>
          <w:snapToGrid w:val="0"/>
        </w:rPr>
      </w:pPr>
    </w:p>
    <w:p w14:paraId="72D6C923" w14:textId="77777777" w:rsidR="00267DDB" w:rsidRPr="00074768" w:rsidRDefault="003D268E" w:rsidP="00267DDB">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Kiekviename</w:t>
      </w:r>
      <w:r w:rsidR="00267DDB" w:rsidRPr="00074768">
        <w:rPr>
          <w:rFonts w:ascii="Times New Roman" w:eastAsia="Times New Roman" w:hAnsi="Times New Roman"/>
          <w:snapToGrid w:val="0"/>
        </w:rPr>
        <w:t xml:space="preserve"> flakone </w:t>
      </w:r>
      <w:r w:rsidR="00FE3805" w:rsidRPr="00074768">
        <w:rPr>
          <w:rFonts w:ascii="Times New Roman" w:eastAsia="Times New Roman" w:hAnsi="Times New Roman"/>
          <w:snapToGrid w:val="0"/>
        </w:rPr>
        <w:t>esančiuose 4,5</w:t>
      </w:r>
      <w:r w:rsidR="00267DDB" w:rsidRPr="00074768">
        <w:rPr>
          <w:rFonts w:ascii="Times New Roman" w:eastAsia="Times New Roman" w:hAnsi="Times New Roman"/>
          <w:snapToGrid w:val="0"/>
        </w:rPr>
        <w:t> m</w:t>
      </w:r>
      <w:r w:rsidR="00FE3805" w:rsidRPr="00074768">
        <w:rPr>
          <w:rFonts w:ascii="Times New Roman" w:eastAsia="Times New Roman" w:hAnsi="Times New Roman"/>
          <w:snapToGrid w:val="0"/>
        </w:rPr>
        <w:t>l</w:t>
      </w:r>
      <w:r w:rsidR="00267DDB" w:rsidRPr="00074768">
        <w:rPr>
          <w:rFonts w:ascii="Times New Roman" w:eastAsia="Times New Roman" w:hAnsi="Times New Roman"/>
          <w:snapToGrid w:val="0"/>
        </w:rPr>
        <w:t xml:space="preserve"> </w:t>
      </w:r>
      <w:r w:rsidR="00FE3805" w:rsidRPr="00074768">
        <w:rPr>
          <w:rFonts w:ascii="Times New Roman" w:eastAsia="Times New Roman" w:hAnsi="Times New Roman"/>
          <w:snapToGrid w:val="0"/>
        </w:rPr>
        <w:t xml:space="preserve">koncentrato </w:t>
      </w:r>
      <w:r w:rsidR="00FE3805" w:rsidRPr="00074768">
        <w:rPr>
          <w:rFonts w:ascii="Times New Roman" w:eastAsia="Times New Roman" w:hAnsi="Times New Roman"/>
          <w:noProof/>
          <w:snapToGrid w:val="0"/>
        </w:rPr>
        <w:t>infuziniam tirpalui</w:t>
      </w:r>
      <w:r w:rsidR="00FE3805" w:rsidRPr="00074768">
        <w:rPr>
          <w:rFonts w:ascii="Times New Roman" w:eastAsia="Times New Roman" w:hAnsi="Times New Roman"/>
          <w:snapToGrid w:val="0"/>
        </w:rPr>
        <w:t xml:space="preserve"> yra </w:t>
      </w:r>
      <w:proofErr w:type="spellStart"/>
      <w:r w:rsidR="00FE3805" w:rsidRPr="00074768">
        <w:rPr>
          <w:rFonts w:ascii="Times New Roman" w:eastAsia="Times New Roman" w:hAnsi="Times New Roman"/>
          <w:snapToGrid w:val="0"/>
        </w:rPr>
        <w:t>kabazitakselio</w:t>
      </w:r>
      <w:proofErr w:type="spellEnd"/>
      <w:r w:rsidR="00FE3805" w:rsidRPr="00074768">
        <w:rPr>
          <w:rFonts w:ascii="Times New Roman" w:eastAsia="Times New Roman" w:hAnsi="Times New Roman"/>
          <w:snapToGrid w:val="0"/>
        </w:rPr>
        <w:t xml:space="preserve"> </w:t>
      </w:r>
      <w:proofErr w:type="spellStart"/>
      <w:r w:rsidR="00FE3805" w:rsidRPr="00074768">
        <w:rPr>
          <w:rFonts w:ascii="Times New Roman" w:eastAsia="Times New Roman" w:hAnsi="Times New Roman"/>
          <w:snapToGrid w:val="0"/>
        </w:rPr>
        <w:t>monohidrato</w:t>
      </w:r>
      <w:proofErr w:type="spellEnd"/>
      <w:r w:rsidR="00FE3805" w:rsidRPr="00074768">
        <w:rPr>
          <w:rFonts w:ascii="Times New Roman" w:eastAsia="Times New Roman" w:hAnsi="Times New Roman"/>
          <w:snapToGrid w:val="0"/>
        </w:rPr>
        <w:t xml:space="preserve"> kiekis, ekvivalentiškas 45 mg </w:t>
      </w:r>
      <w:proofErr w:type="spellStart"/>
      <w:r w:rsidR="00FE3805" w:rsidRPr="00074768">
        <w:rPr>
          <w:rFonts w:ascii="Times New Roman" w:eastAsia="Times New Roman" w:hAnsi="Times New Roman"/>
          <w:snapToGrid w:val="0"/>
        </w:rPr>
        <w:t>kabazitakselio</w:t>
      </w:r>
      <w:proofErr w:type="spellEnd"/>
      <w:r w:rsidR="00267DDB" w:rsidRPr="00074768">
        <w:rPr>
          <w:rFonts w:ascii="Times New Roman" w:eastAsia="Times New Roman" w:hAnsi="Times New Roman"/>
          <w:snapToGrid w:val="0"/>
        </w:rPr>
        <w:t>.</w:t>
      </w:r>
    </w:p>
    <w:p w14:paraId="34EF2CFD" w14:textId="77777777" w:rsidR="00533833" w:rsidRPr="00074768" w:rsidRDefault="00533833" w:rsidP="00533833">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 xml:space="preserve">Kiekviename flakone esančiuose 6 ml koncentrato </w:t>
      </w:r>
      <w:r w:rsidRPr="00074768">
        <w:rPr>
          <w:rFonts w:ascii="Times New Roman" w:eastAsia="Times New Roman" w:hAnsi="Times New Roman"/>
          <w:noProof/>
          <w:snapToGrid w:val="0"/>
        </w:rPr>
        <w:t>infuziniam tirpalui</w:t>
      </w:r>
      <w:r w:rsidRPr="00074768">
        <w:rPr>
          <w:rFonts w:ascii="Times New Roman" w:eastAsia="Times New Roman" w:hAnsi="Times New Roman"/>
          <w:snapToGrid w:val="0"/>
        </w:rPr>
        <w:t xml:space="preserve"> yra </w:t>
      </w:r>
      <w:proofErr w:type="spellStart"/>
      <w:r w:rsidRPr="00074768">
        <w:rPr>
          <w:rFonts w:ascii="Times New Roman" w:eastAsia="Times New Roman" w:hAnsi="Times New Roman"/>
          <w:snapToGrid w:val="0"/>
        </w:rPr>
        <w:t>kabazitakselio</w:t>
      </w:r>
      <w:proofErr w:type="spellEnd"/>
      <w:r w:rsidRPr="00074768">
        <w:rPr>
          <w:rFonts w:ascii="Times New Roman" w:eastAsia="Times New Roman" w:hAnsi="Times New Roman"/>
          <w:snapToGrid w:val="0"/>
        </w:rPr>
        <w:t xml:space="preserve"> </w:t>
      </w:r>
      <w:proofErr w:type="spellStart"/>
      <w:r w:rsidRPr="00074768">
        <w:rPr>
          <w:rFonts w:ascii="Times New Roman" w:eastAsia="Times New Roman" w:hAnsi="Times New Roman"/>
          <w:snapToGrid w:val="0"/>
        </w:rPr>
        <w:t>monohidrato</w:t>
      </w:r>
      <w:proofErr w:type="spellEnd"/>
      <w:r w:rsidRPr="00074768">
        <w:rPr>
          <w:rFonts w:ascii="Times New Roman" w:eastAsia="Times New Roman" w:hAnsi="Times New Roman"/>
          <w:snapToGrid w:val="0"/>
        </w:rPr>
        <w:t xml:space="preserve"> kiekis, ekvivalentiškas 60 mg </w:t>
      </w:r>
      <w:proofErr w:type="spellStart"/>
      <w:r w:rsidRPr="00074768">
        <w:rPr>
          <w:rFonts w:ascii="Times New Roman" w:eastAsia="Times New Roman" w:hAnsi="Times New Roman"/>
          <w:snapToGrid w:val="0"/>
        </w:rPr>
        <w:t>kabazitakselio</w:t>
      </w:r>
      <w:proofErr w:type="spellEnd"/>
      <w:r w:rsidRPr="00074768">
        <w:rPr>
          <w:rFonts w:ascii="Times New Roman" w:eastAsia="Times New Roman" w:hAnsi="Times New Roman"/>
          <w:snapToGrid w:val="0"/>
        </w:rPr>
        <w:t>.</w:t>
      </w:r>
    </w:p>
    <w:p w14:paraId="569DC7B1" w14:textId="77777777" w:rsidR="00267DDB" w:rsidRPr="00074768" w:rsidRDefault="00267DDB" w:rsidP="00267DDB">
      <w:pPr>
        <w:tabs>
          <w:tab w:val="left" w:pos="567"/>
        </w:tabs>
        <w:spacing w:after="0" w:line="260" w:lineRule="exact"/>
        <w:rPr>
          <w:rFonts w:ascii="Times New Roman" w:eastAsia="Times New Roman" w:hAnsi="Times New Roman"/>
          <w:snapToGrid w:val="0"/>
        </w:rPr>
      </w:pPr>
    </w:p>
    <w:p w14:paraId="7E02ACB6" w14:textId="77777777" w:rsidR="003D268E" w:rsidRPr="00074768" w:rsidRDefault="003D268E" w:rsidP="00267DDB">
      <w:pPr>
        <w:tabs>
          <w:tab w:val="left" w:pos="567"/>
        </w:tabs>
        <w:spacing w:after="0" w:line="260" w:lineRule="exact"/>
        <w:rPr>
          <w:rFonts w:ascii="Times New Roman" w:hAnsi="Times New Roman"/>
          <w:u w:val="single"/>
        </w:rPr>
      </w:pPr>
      <w:r w:rsidRPr="00074768">
        <w:rPr>
          <w:rFonts w:ascii="Times New Roman" w:hAnsi="Times New Roman"/>
          <w:u w:val="single"/>
        </w:rPr>
        <w:t>Pagalbinė</w:t>
      </w:r>
      <w:r w:rsidR="00533833" w:rsidRPr="00074768">
        <w:rPr>
          <w:rFonts w:ascii="Times New Roman" w:hAnsi="Times New Roman"/>
          <w:u w:val="single"/>
        </w:rPr>
        <w:t>s</w:t>
      </w:r>
      <w:r w:rsidRPr="00074768">
        <w:rPr>
          <w:rFonts w:ascii="Times New Roman" w:hAnsi="Times New Roman"/>
          <w:u w:val="single"/>
        </w:rPr>
        <w:t xml:space="preserve"> medžiag</w:t>
      </w:r>
      <w:r w:rsidR="00533833" w:rsidRPr="00074768">
        <w:rPr>
          <w:rFonts w:ascii="Times New Roman" w:hAnsi="Times New Roman"/>
          <w:u w:val="single"/>
        </w:rPr>
        <w:t>os</w:t>
      </w:r>
      <w:r w:rsidRPr="00074768">
        <w:rPr>
          <w:rFonts w:ascii="Times New Roman" w:hAnsi="Times New Roman"/>
          <w:u w:val="single"/>
        </w:rPr>
        <w:t>, kuri</w:t>
      </w:r>
      <w:r w:rsidR="00C735B6" w:rsidRPr="00074768">
        <w:rPr>
          <w:rFonts w:ascii="Times New Roman" w:hAnsi="Times New Roman"/>
          <w:u w:val="single"/>
        </w:rPr>
        <w:t>ų</w:t>
      </w:r>
      <w:r w:rsidRPr="00074768">
        <w:rPr>
          <w:rFonts w:ascii="Times New Roman" w:hAnsi="Times New Roman"/>
          <w:u w:val="single"/>
        </w:rPr>
        <w:t xml:space="preserve"> poveikis žinomas</w:t>
      </w:r>
    </w:p>
    <w:p w14:paraId="47A8B309" w14:textId="77777777" w:rsidR="00214512" w:rsidRPr="00074768" w:rsidRDefault="00214512" w:rsidP="00267DDB">
      <w:pPr>
        <w:tabs>
          <w:tab w:val="left" w:pos="567"/>
        </w:tabs>
        <w:spacing w:after="0" w:line="260" w:lineRule="exact"/>
        <w:rPr>
          <w:rFonts w:ascii="Times New Roman" w:hAnsi="Times New Roman"/>
        </w:rPr>
      </w:pPr>
      <w:r w:rsidRPr="0085406C">
        <w:rPr>
          <w:rFonts w:ascii="Times New Roman" w:eastAsia="Times New Roman" w:hAnsi="Times New Roman"/>
          <w:snapToGrid w:val="0"/>
        </w:rPr>
        <w:t xml:space="preserve">Kiekviename koncentrato </w:t>
      </w:r>
      <w:r w:rsidRPr="0085406C">
        <w:rPr>
          <w:rFonts w:ascii="Times New Roman" w:eastAsia="Times New Roman" w:hAnsi="Times New Roman"/>
          <w:noProof/>
          <w:snapToGrid w:val="0"/>
        </w:rPr>
        <w:t>infuziniam tirpalui</w:t>
      </w:r>
      <w:r w:rsidRPr="0085406C">
        <w:rPr>
          <w:rFonts w:ascii="Times New Roman" w:eastAsia="Times New Roman" w:hAnsi="Times New Roman"/>
          <w:snapToGrid w:val="0"/>
        </w:rPr>
        <w:t xml:space="preserve"> ml yra </w:t>
      </w:r>
      <w:r w:rsidR="00533833" w:rsidRPr="004200DB">
        <w:rPr>
          <w:rFonts w:ascii="Times New Roman" w:eastAsia="Times New Roman" w:hAnsi="Times New Roman"/>
          <w:snapToGrid w:val="0"/>
        </w:rPr>
        <w:t>198</w:t>
      </w:r>
      <w:r w:rsidRPr="004200DB">
        <w:rPr>
          <w:rFonts w:ascii="Times New Roman" w:eastAsia="Times New Roman" w:hAnsi="Times New Roman"/>
          <w:snapToGrid w:val="0"/>
        </w:rPr>
        <w:t xml:space="preserve"> mg </w:t>
      </w:r>
      <w:r w:rsidR="00533833" w:rsidRPr="00037DA8">
        <w:rPr>
          <w:rFonts w:ascii="Times New Roman" w:eastAsia="Times New Roman" w:hAnsi="Times New Roman"/>
          <w:snapToGrid w:val="0"/>
        </w:rPr>
        <w:t>etanolio</w:t>
      </w:r>
      <w:r w:rsidR="00074768">
        <w:rPr>
          <w:rFonts w:ascii="Times New Roman" w:eastAsia="Times New Roman" w:hAnsi="Times New Roman"/>
          <w:snapToGrid w:val="0"/>
        </w:rPr>
        <w:t>.</w:t>
      </w:r>
    </w:p>
    <w:p w14:paraId="2DE92FEB" w14:textId="271CB94B" w:rsidR="00214512" w:rsidRPr="00D9458E" w:rsidRDefault="00533833" w:rsidP="00267DDB">
      <w:pPr>
        <w:tabs>
          <w:tab w:val="left" w:pos="567"/>
        </w:tabs>
        <w:spacing w:after="0" w:line="260" w:lineRule="exact"/>
        <w:rPr>
          <w:rFonts w:ascii="Times New Roman" w:hAnsi="Times New Roman"/>
        </w:rPr>
      </w:pPr>
      <w:r w:rsidRPr="00074768">
        <w:rPr>
          <w:rFonts w:ascii="Times New Roman" w:eastAsia="Times New Roman" w:hAnsi="Times New Roman"/>
          <w:snapToGrid w:val="0"/>
        </w:rPr>
        <w:t xml:space="preserve">Kiekviename flakone esančiuose 4,5 ml koncentrato </w:t>
      </w:r>
      <w:r w:rsidRPr="00074768">
        <w:rPr>
          <w:rFonts w:ascii="Times New Roman" w:eastAsia="Times New Roman" w:hAnsi="Times New Roman"/>
          <w:noProof/>
          <w:snapToGrid w:val="0"/>
        </w:rPr>
        <w:t>infuziniam tirpalui</w:t>
      </w:r>
      <w:r w:rsidRPr="00074768">
        <w:rPr>
          <w:rFonts w:ascii="Times New Roman" w:eastAsia="Times New Roman" w:hAnsi="Times New Roman"/>
          <w:snapToGrid w:val="0"/>
        </w:rPr>
        <w:t xml:space="preserve"> yra 891 mg etanolio (19,8</w:t>
      </w:r>
      <w:r w:rsidR="0032267B">
        <w:rPr>
          <w:rFonts w:ascii="Times New Roman" w:eastAsia="Times New Roman" w:hAnsi="Times New Roman"/>
          <w:snapToGrid w:val="0"/>
        </w:rPr>
        <w:t> </w:t>
      </w:r>
      <w:r w:rsidRPr="00074768">
        <w:rPr>
          <w:rFonts w:ascii="Times New Roman" w:hAnsi="Times New Roman"/>
        </w:rPr>
        <w:t>%</w:t>
      </w:r>
      <w:r w:rsidR="0032267B">
        <w:rPr>
          <w:rFonts w:ascii="Times New Roman" w:hAnsi="Times New Roman"/>
        </w:rPr>
        <w:t> </w:t>
      </w:r>
      <w:r w:rsidRPr="00D9458E">
        <w:rPr>
          <w:rFonts w:ascii="Times New Roman" w:hAnsi="Times New Roman"/>
          <w:i/>
        </w:rPr>
        <w:t>w/v</w:t>
      </w:r>
      <w:r w:rsidRPr="00D9458E">
        <w:rPr>
          <w:rFonts w:ascii="Times New Roman" w:eastAsia="Times New Roman" w:hAnsi="Times New Roman"/>
          <w:snapToGrid w:val="0"/>
        </w:rPr>
        <w:t>)</w:t>
      </w:r>
      <w:r w:rsidR="00214512" w:rsidRPr="00D9458E">
        <w:rPr>
          <w:rFonts w:ascii="Times New Roman" w:eastAsia="Times New Roman" w:hAnsi="Times New Roman"/>
          <w:snapToGrid w:val="0"/>
        </w:rPr>
        <w:t>.</w:t>
      </w:r>
    </w:p>
    <w:p w14:paraId="65E0276E" w14:textId="046E07AA" w:rsidR="00533833" w:rsidRPr="00074768" w:rsidRDefault="00533833" w:rsidP="00533833">
      <w:pPr>
        <w:tabs>
          <w:tab w:val="left" w:pos="567"/>
        </w:tabs>
        <w:spacing w:after="0" w:line="260" w:lineRule="exact"/>
        <w:rPr>
          <w:rFonts w:ascii="Times New Roman" w:hAnsi="Times New Roman"/>
        </w:rPr>
      </w:pPr>
      <w:r w:rsidRPr="00D9458E">
        <w:rPr>
          <w:rFonts w:ascii="Times New Roman" w:eastAsia="Times New Roman" w:hAnsi="Times New Roman"/>
          <w:snapToGrid w:val="0"/>
        </w:rPr>
        <w:t xml:space="preserve">Kiekviename flakone esančiuose 6 ml koncentrato </w:t>
      </w:r>
      <w:r w:rsidRPr="00D9458E">
        <w:rPr>
          <w:rFonts w:ascii="Times New Roman" w:eastAsia="Times New Roman" w:hAnsi="Times New Roman"/>
          <w:noProof/>
          <w:snapToGrid w:val="0"/>
        </w:rPr>
        <w:t>infuziniam tirpalui</w:t>
      </w:r>
      <w:r w:rsidRPr="00D9458E">
        <w:rPr>
          <w:rFonts w:ascii="Times New Roman" w:eastAsia="Times New Roman" w:hAnsi="Times New Roman"/>
          <w:snapToGrid w:val="0"/>
        </w:rPr>
        <w:t xml:space="preserve"> yra 1</w:t>
      </w:r>
      <w:r w:rsidR="00C759EC">
        <w:rPr>
          <w:rFonts w:ascii="Times New Roman" w:eastAsia="Times New Roman" w:hAnsi="Times New Roman"/>
          <w:snapToGrid w:val="0"/>
        </w:rPr>
        <w:t> </w:t>
      </w:r>
      <w:r w:rsidRPr="00D9458E">
        <w:rPr>
          <w:rFonts w:ascii="Times New Roman" w:eastAsia="Times New Roman" w:hAnsi="Times New Roman"/>
          <w:snapToGrid w:val="0"/>
        </w:rPr>
        <w:t>188 mg etanolio (19,8</w:t>
      </w:r>
      <w:r w:rsidR="0032267B">
        <w:rPr>
          <w:rFonts w:ascii="Times New Roman" w:eastAsia="Times New Roman" w:hAnsi="Times New Roman"/>
          <w:snapToGrid w:val="0"/>
        </w:rPr>
        <w:t> </w:t>
      </w:r>
      <w:r w:rsidRPr="00D9458E">
        <w:rPr>
          <w:rFonts w:ascii="Times New Roman" w:hAnsi="Times New Roman"/>
        </w:rPr>
        <w:t>%</w:t>
      </w:r>
      <w:r w:rsidR="0032267B">
        <w:rPr>
          <w:rFonts w:ascii="Times New Roman" w:hAnsi="Times New Roman"/>
        </w:rPr>
        <w:t> </w:t>
      </w:r>
      <w:r w:rsidRPr="00D9458E">
        <w:rPr>
          <w:rFonts w:ascii="Times New Roman" w:hAnsi="Times New Roman"/>
          <w:i/>
        </w:rPr>
        <w:t>w/v</w:t>
      </w:r>
      <w:r w:rsidRPr="00D9458E">
        <w:rPr>
          <w:rFonts w:ascii="Times New Roman" w:eastAsia="Times New Roman" w:hAnsi="Times New Roman"/>
          <w:snapToGrid w:val="0"/>
        </w:rPr>
        <w:t>).</w:t>
      </w:r>
    </w:p>
    <w:p w14:paraId="635597BA" w14:textId="77777777" w:rsidR="003D268E" w:rsidRPr="0085406C" w:rsidRDefault="003D268E" w:rsidP="00267DDB">
      <w:pPr>
        <w:tabs>
          <w:tab w:val="left" w:pos="567"/>
        </w:tabs>
        <w:spacing w:after="0" w:line="260" w:lineRule="exact"/>
        <w:rPr>
          <w:rFonts w:ascii="Times New Roman" w:eastAsia="Times New Roman" w:hAnsi="Times New Roman"/>
          <w:snapToGrid w:val="0"/>
        </w:rPr>
      </w:pPr>
    </w:p>
    <w:p w14:paraId="65AAA292" w14:textId="4BB8B0F2" w:rsidR="00267DDB" w:rsidRPr="004200DB" w:rsidRDefault="00267DDB" w:rsidP="00267DDB">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noProof/>
          <w:snapToGrid w:val="0"/>
        </w:rPr>
        <w:t>Visos pagalbinės medžiagos išvardytos 6.1</w:t>
      </w:r>
      <w:r w:rsidR="00BD30C8">
        <w:rPr>
          <w:rFonts w:ascii="Times New Roman" w:eastAsia="Times New Roman" w:hAnsi="Times New Roman"/>
          <w:noProof/>
          <w:snapToGrid w:val="0"/>
        </w:rPr>
        <w:t> </w:t>
      </w:r>
      <w:r w:rsidRPr="004200DB">
        <w:rPr>
          <w:rFonts w:ascii="Times New Roman" w:eastAsia="Times New Roman" w:hAnsi="Times New Roman"/>
          <w:noProof/>
          <w:snapToGrid w:val="0"/>
        </w:rPr>
        <w:t>skyriuje.</w:t>
      </w:r>
    </w:p>
    <w:p w14:paraId="5E2B995F"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49A7C5A6"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44565FF9" w14:textId="77777777" w:rsidR="00267DDB" w:rsidRPr="00037DA8" w:rsidRDefault="00267DDB" w:rsidP="00267DDB">
      <w:pPr>
        <w:keepNext/>
        <w:keepLines/>
        <w:tabs>
          <w:tab w:val="left" w:pos="567"/>
        </w:tabs>
        <w:spacing w:after="0" w:line="240" w:lineRule="auto"/>
        <w:outlineLvl w:val="2"/>
        <w:rPr>
          <w:rFonts w:ascii="Times New Roman" w:eastAsia="Times New Roman" w:hAnsi="Times New Roman"/>
          <w:b/>
          <w:bCs/>
          <w:snapToGrid w:val="0"/>
          <w:lang w:eastAsia="x-none"/>
        </w:rPr>
      </w:pPr>
      <w:r w:rsidRPr="00037DA8">
        <w:rPr>
          <w:rFonts w:ascii="Times New Roman" w:eastAsia="Times New Roman" w:hAnsi="Times New Roman"/>
          <w:b/>
          <w:bCs/>
          <w:snapToGrid w:val="0"/>
          <w:lang w:eastAsia="x-none"/>
        </w:rPr>
        <w:t>3.</w:t>
      </w:r>
      <w:r w:rsidRPr="00037DA8">
        <w:rPr>
          <w:rFonts w:ascii="Times New Roman" w:eastAsia="Times New Roman" w:hAnsi="Times New Roman"/>
          <w:b/>
          <w:bCs/>
          <w:snapToGrid w:val="0"/>
          <w:lang w:eastAsia="x-none"/>
        </w:rPr>
        <w:tab/>
        <w:t>FARMACINĖ FORMA</w:t>
      </w:r>
    </w:p>
    <w:p w14:paraId="40ACB829"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3D21DB88" w14:textId="77777777" w:rsidR="00267DDB" w:rsidRPr="00037DA8" w:rsidRDefault="00267DDB" w:rsidP="00267DDB">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Koncentratas infuziniam tirpalui</w:t>
      </w:r>
      <w:r w:rsidR="00533833" w:rsidRPr="00037DA8">
        <w:rPr>
          <w:rFonts w:ascii="Times New Roman" w:eastAsia="Times New Roman" w:hAnsi="Times New Roman"/>
          <w:noProof/>
          <w:snapToGrid w:val="0"/>
        </w:rPr>
        <w:t xml:space="preserve"> (sterilus koncentratas)</w:t>
      </w:r>
      <w:r w:rsidRPr="00037DA8">
        <w:rPr>
          <w:rFonts w:ascii="Times New Roman" w:eastAsia="Times New Roman" w:hAnsi="Times New Roman"/>
          <w:noProof/>
          <w:snapToGrid w:val="0"/>
        </w:rPr>
        <w:t>.</w:t>
      </w:r>
    </w:p>
    <w:p w14:paraId="56EFB3B1" w14:textId="77777777" w:rsidR="00267DDB" w:rsidRPr="00037DA8" w:rsidRDefault="00267DDB" w:rsidP="00267DDB">
      <w:pPr>
        <w:tabs>
          <w:tab w:val="left" w:pos="567"/>
        </w:tabs>
        <w:spacing w:after="0" w:line="260" w:lineRule="exact"/>
        <w:rPr>
          <w:rFonts w:ascii="Times New Roman" w:eastAsia="Times New Roman" w:hAnsi="Times New Roman"/>
          <w:noProof/>
          <w:snapToGrid w:val="0"/>
        </w:rPr>
      </w:pPr>
    </w:p>
    <w:p w14:paraId="44CD6B7C" w14:textId="77777777" w:rsidR="00267DDB" w:rsidRPr="00037DA8" w:rsidRDefault="005C6952" w:rsidP="00267DDB">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 xml:space="preserve">Skaidrus, bespalvis arba </w:t>
      </w:r>
      <w:r w:rsidR="00533833" w:rsidRPr="00037DA8">
        <w:rPr>
          <w:rFonts w:ascii="Times New Roman" w:eastAsia="Times New Roman" w:hAnsi="Times New Roman"/>
          <w:noProof/>
          <w:snapToGrid w:val="0"/>
        </w:rPr>
        <w:t>šviesiai geltonas</w:t>
      </w:r>
      <w:r w:rsidRPr="00037DA8">
        <w:rPr>
          <w:rFonts w:ascii="Times New Roman" w:eastAsia="Times New Roman" w:hAnsi="Times New Roman"/>
          <w:noProof/>
          <w:snapToGrid w:val="0"/>
        </w:rPr>
        <w:t xml:space="preserve"> tirpalas.</w:t>
      </w:r>
    </w:p>
    <w:p w14:paraId="17A15A40" w14:textId="77777777" w:rsidR="005C6952" w:rsidRPr="00037DA8" w:rsidRDefault="005C6952" w:rsidP="00267DDB">
      <w:pPr>
        <w:tabs>
          <w:tab w:val="left" w:pos="567"/>
        </w:tabs>
        <w:spacing w:after="0" w:line="260" w:lineRule="exact"/>
        <w:rPr>
          <w:rFonts w:ascii="Times New Roman" w:eastAsia="Times New Roman" w:hAnsi="Times New Roman"/>
          <w:snapToGrid w:val="0"/>
        </w:rPr>
      </w:pPr>
    </w:p>
    <w:p w14:paraId="241019CD" w14:textId="04D3734B" w:rsidR="00267DDB" w:rsidRPr="00037DA8" w:rsidRDefault="00267DDB" w:rsidP="00267DD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pH</w:t>
      </w:r>
      <w:r w:rsidR="001C55A0" w:rsidRPr="00037DA8">
        <w:rPr>
          <w:rFonts w:ascii="Times New Roman" w:eastAsia="Times New Roman" w:hAnsi="Times New Roman"/>
          <w:snapToGrid w:val="0"/>
        </w:rPr>
        <w:t>: 3,1</w:t>
      </w:r>
      <w:r w:rsidR="0032267B">
        <w:rPr>
          <w:rFonts w:ascii="Times New Roman" w:eastAsia="Times New Roman" w:hAnsi="Times New Roman"/>
          <w:snapToGrid w:val="0"/>
        </w:rPr>
        <w:noBreakHyphen/>
      </w:r>
      <w:r w:rsidR="001C55A0" w:rsidRPr="00037DA8">
        <w:rPr>
          <w:rFonts w:ascii="Times New Roman" w:eastAsia="Times New Roman" w:hAnsi="Times New Roman"/>
          <w:snapToGrid w:val="0"/>
        </w:rPr>
        <w:t>3,7</w:t>
      </w:r>
    </w:p>
    <w:p w14:paraId="18BA8B11"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4775CA7D"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0CE609E9" w14:textId="77777777" w:rsidR="00267DDB" w:rsidRPr="00037DA8" w:rsidRDefault="00267DDB" w:rsidP="00267DDB">
      <w:pPr>
        <w:keepNext/>
        <w:keepLines/>
        <w:tabs>
          <w:tab w:val="left" w:pos="567"/>
        </w:tabs>
        <w:spacing w:after="0" w:line="240" w:lineRule="auto"/>
        <w:outlineLvl w:val="2"/>
        <w:rPr>
          <w:rFonts w:ascii="Times New Roman" w:eastAsia="Times New Roman" w:hAnsi="Times New Roman"/>
          <w:b/>
          <w:bCs/>
          <w:snapToGrid w:val="0"/>
          <w:lang w:eastAsia="x-none"/>
        </w:rPr>
      </w:pPr>
      <w:r w:rsidRPr="00037DA8">
        <w:rPr>
          <w:rFonts w:ascii="Times New Roman" w:eastAsia="Times New Roman" w:hAnsi="Times New Roman"/>
          <w:b/>
          <w:bCs/>
          <w:snapToGrid w:val="0"/>
          <w:lang w:eastAsia="x-none"/>
        </w:rPr>
        <w:t>4.</w:t>
      </w:r>
      <w:r w:rsidRPr="00037DA8">
        <w:rPr>
          <w:rFonts w:ascii="Times New Roman" w:eastAsia="Times New Roman" w:hAnsi="Times New Roman"/>
          <w:b/>
          <w:bCs/>
          <w:snapToGrid w:val="0"/>
          <w:lang w:eastAsia="x-none"/>
        </w:rPr>
        <w:tab/>
        <w:t>KLINIKINĖ INFORMACIJA</w:t>
      </w:r>
    </w:p>
    <w:p w14:paraId="7016E3B8"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392AECE6" w14:textId="77777777" w:rsidR="00267DDB" w:rsidRPr="00037DA8" w:rsidRDefault="00267DDB" w:rsidP="00267DDB">
      <w:pPr>
        <w:keepNext/>
        <w:tabs>
          <w:tab w:val="left" w:pos="567"/>
        </w:tabs>
        <w:spacing w:after="0" w:line="260" w:lineRule="exact"/>
        <w:jc w:val="both"/>
        <w:outlineLvl w:val="3"/>
        <w:rPr>
          <w:rFonts w:ascii="Times New Roman" w:eastAsia="Times New Roman" w:hAnsi="Times New Roman"/>
          <w:b/>
          <w:bCs/>
          <w:snapToGrid w:val="0"/>
          <w:lang w:eastAsia="x-none"/>
        </w:rPr>
      </w:pPr>
      <w:r w:rsidRPr="00037DA8">
        <w:rPr>
          <w:rFonts w:ascii="Times New Roman" w:eastAsia="Times New Roman" w:hAnsi="Times New Roman"/>
          <w:b/>
          <w:bCs/>
          <w:snapToGrid w:val="0"/>
          <w:lang w:eastAsia="x-none"/>
        </w:rPr>
        <w:t>4.1</w:t>
      </w:r>
      <w:r w:rsidRPr="00037DA8">
        <w:rPr>
          <w:rFonts w:ascii="Times New Roman" w:eastAsia="Times New Roman" w:hAnsi="Times New Roman"/>
          <w:b/>
          <w:bCs/>
          <w:snapToGrid w:val="0"/>
          <w:lang w:eastAsia="x-none"/>
        </w:rPr>
        <w:tab/>
        <w:t>Terapinės indikacijos</w:t>
      </w:r>
    </w:p>
    <w:p w14:paraId="3ECF127D"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29052492" w14:textId="66DF38A6" w:rsidR="00267DDB" w:rsidRPr="00037DA8" w:rsidRDefault="001C55A0" w:rsidP="001C55A0">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 xml:space="preserve">Cabazitaxel Sandoz derinyje </w:t>
      </w:r>
      <w:r w:rsidR="008A57C3">
        <w:rPr>
          <w:rFonts w:ascii="Times New Roman" w:eastAsia="Times New Roman" w:hAnsi="Times New Roman"/>
          <w:noProof/>
          <w:snapToGrid w:val="0"/>
        </w:rPr>
        <w:t xml:space="preserve">su </w:t>
      </w:r>
      <w:r w:rsidRPr="00037DA8">
        <w:rPr>
          <w:rFonts w:ascii="Times New Roman" w:eastAsia="Times New Roman" w:hAnsi="Times New Roman"/>
          <w:noProof/>
          <w:snapToGrid w:val="0"/>
        </w:rPr>
        <w:t>prednizonu ar prednizolonu yra skirtas suaugusi</w:t>
      </w:r>
      <w:r w:rsidR="008A57C3">
        <w:rPr>
          <w:rFonts w:ascii="Times New Roman" w:eastAsia="Times New Roman" w:hAnsi="Times New Roman"/>
          <w:noProof/>
          <w:snapToGrid w:val="0"/>
        </w:rPr>
        <w:t>ų</w:t>
      </w:r>
      <w:r w:rsidRPr="00037DA8">
        <w:rPr>
          <w:rFonts w:ascii="Times New Roman" w:eastAsia="Times New Roman" w:hAnsi="Times New Roman"/>
          <w:noProof/>
          <w:snapToGrid w:val="0"/>
        </w:rPr>
        <w:t xml:space="preserve"> pacient</w:t>
      </w:r>
      <w:r w:rsidR="008A57C3">
        <w:rPr>
          <w:rFonts w:ascii="Times New Roman" w:eastAsia="Times New Roman" w:hAnsi="Times New Roman"/>
          <w:noProof/>
          <w:snapToGrid w:val="0"/>
        </w:rPr>
        <w:t>ų</w:t>
      </w:r>
      <w:r w:rsidR="00963729" w:rsidRPr="00037DA8">
        <w:rPr>
          <w:rFonts w:ascii="Times New Roman" w:eastAsia="Times New Roman" w:hAnsi="Times New Roman"/>
          <w:noProof/>
          <w:snapToGrid w:val="0"/>
        </w:rPr>
        <w:t xml:space="preserve"> </w:t>
      </w:r>
      <w:r w:rsidR="00997EC8" w:rsidRPr="002642B8">
        <w:rPr>
          <w:rFonts w:ascii="Times New Roman" w:eastAsia="Times New Roman" w:hAnsi="Times New Roman"/>
          <w:noProof/>
          <w:snapToGrid w:val="0"/>
        </w:rPr>
        <w:t>kastracijai atsparaus</w:t>
      </w:r>
      <w:r w:rsidR="00997EC8" w:rsidRPr="00736D2F">
        <w:t xml:space="preserve"> </w:t>
      </w:r>
      <w:r w:rsidRPr="00037DA8">
        <w:rPr>
          <w:rFonts w:ascii="Times New Roman" w:eastAsia="Times New Roman" w:hAnsi="Times New Roman"/>
          <w:noProof/>
          <w:snapToGrid w:val="0"/>
        </w:rPr>
        <w:t>metastaza</w:t>
      </w:r>
      <w:r w:rsidR="00963729" w:rsidRPr="00037DA8">
        <w:rPr>
          <w:rFonts w:ascii="Times New Roman" w:eastAsia="Times New Roman" w:hAnsi="Times New Roman"/>
          <w:noProof/>
          <w:snapToGrid w:val="0"/>
        </w:rPr>
        <w:t>v</w:t>
      </w:r>
      <w:r w:rsidR="00997EC8">
        <w:rPr>
          <w:rFonts w:ascii="Times New Roman" w:eastAsia="Times New Roman" w:hAnsi="Times New Roman"/>
          <w:noProof/>
          <w:snapToGrid w:val="0"/>
        </w:rPr>
        <w:t>usio</w:t>
      </w:r>
      <w:r w:rsidRPr="00037DA8">
        <w:rPr>
          <w:rFonts w:ascii="Times New Roman" w:eastAsia="Times New Roman" w:hAnsi="Times New Roman"/>
          <w:noProof/>
          <w:snapToGrid w:val="0"/>
        </w:rPr>
        <w:t xml:space="preserve"> prostatos vėž</w:t>
      </w:r>
      <w:r w:rsidR="00997EC8">
        <w:rPr>
          <w:rFonts w:ascii="Times New Roman" w:eastAsia="Times New Roman" w:hAnsi="Times New Roman"/>
          <w:noProof/>
          <w:snapToGrid w:val="0"/>
        </w:rPr>
        <w:t>io gydymui</w:t>
      </w:r>
      <w:r w:rsidR="00963729" w:rsidRPr="00037DA8">
        <w:rPr>
          <w:rFonts w:ascii="Times New Roman" w:eastAsia="Times New Roman" w:hAnsi="Times New Roman"/>
          <w:noProof/>
          <w:snapToGrid w:val="0"/>
        </w:rPr>
        <w:t>,</w:t>
      </w:r>
      <w:r w:rsidRPr="00037DA8">
        <w:rPr>
          <w:rFonts w:ascii="Times New Roman" w:eastAsia="Times New Roman" w:hAnsi="Times New Roman"/>
          <w:noProof/>
          <w:snapToGrid w:val="0"/>
        </w:rPr>
        <w:t xml:space="preserve"> </w:t>
      </w:r>
      <w:r w:rsidR="00997EC8">
        <w:rPr>
          <w:rFonts w:ascii="Times New Roman" w:eastAsia="Times New Roman" w:hAnsi="Times New Roman"/>
          <w:noProof/>
          <w:snapToGrid w:val="0"/>
        </w:rPr>
        <w:t xml:space="preserve">kai </w:t>
      </w:r>
      <w:r w:rsidRPr="00037DA8">
        <w:rPr>
          <w:rFonts w:ascii="Times New Roman" w:eastAsia="Times New Roman" w:hAnsi="Times New Roman"/>
          <w:noProof/>
          <w:snapToGrid w:val="0"/>
        </w:rPr>
        <w:t xml:space="preserve">anksčiau </w:t>
      </w:r>
      <w:r w:rsidR="00997EC8">
        <w:rPr>
          <w:rFonts w:ascii="Times New Roman" w:eastAsia="Times New Roman" w:hAnsi="Times New Roman"/>
          <w:noProof/>
          <w:snapToGrid w:val="0"/>
        </w:rPr>
        <w:t xml:space="preserve">taikytas </w:t>
      </w:r>
      <w:r w:rsidRPr="00037DA8">
        <w:rPr>
          <w:rFonts w:ascii="Times New Roman" w:eastAsia="Times New Roman" w:hAnsi="Times New Roman"/>
          <w:noProof/>
          <w:snapToGrid w:val="0"/>
        </w:rPr>
        <w:t>gydy</w:t>
      </w:r>
      <w:r w:rsidR="00997EC8">
        <w:rPr>
          <w:rFonts w:ascii="Times New Roman" w:eastAsia="Times New Roman" w:hAnsi="Times New Roman"/>
          <w:noProof/>
          <w:snapToGrid w:val="0"/>
        </w:rPr>
        <w:t>mas</w:t>
      </w:r>
      <w:r w:rsidRPr="00037DA8">
        <w:rPr>
          <w:rFonts w:ascii="Times New Roman" w:eastAsia="Times New Roman" w:hAnsi="Times New Roman"/>
          <w:noProof/>
          <w:snapToGrid w:val="0"/>
        </w:rPr>
        <w:t xml:space="preserve"> pagal schemą, į kurią buvo įtrauktas docetakselis (žr.</w:t>
      </w:r>
      <w:r w:rsidR="00BD30C8">
        <w:rPr>
          <w:rFonts w:ascii="Times New Roman" w:eastAsia="Times New Roman" w:hAnsi="Times New Roman"/>
          <w:noProof/>
          <w:snapToGrid w:val="0"/>
        </w:rPr>
        <w:t> </w:t>
      </w:r>
      <w:r w:rsidRPr="00037DA8">
        <w:rPr>
          <w:rFonts w:ascii="Times New Roman" w:eastAsia="Times New Roman" w:hAnsi="Times New Roman"/>
          <w:noProof/>
          <w:snapToGrid w:val="0"/>
        </w:rPr>
        <w:t>5.1</w:t>
      </w:r>
      <w:r w:rsidR="00BD30C8">
        <w:rPr>
          <w:rFonts w:ascii="Times New Roman" w:eastAsia="Times New Roman" w:hAnsi="Times New Roman"/>
          <w:noProof/>
          <w:snapToGrid w:val="0"/>
        </w:rPr>
        <w:t> </w:t>
      </w:r>
      <w:r w:rsidRPr="00037DA8">
        <w:rPr>
          <w:rFonts w:ascii="Times New Roman" w:eastAsia="Times New Roman" w:hAnsi="Times New Roman"/>
          <w:noProof/>
          <w:snapToGrid w:val="0"/>
        </w:rPr>
        <w:t>skyrių).</w:t>
      </w:r>
    </w:p>
    <w:p w14:paraId="4558C2BD" w14:textId="77777777" w:rsidR="00267DDB" w:rsidRPr="00037DA8" w:rsidRDefault="00267DDB" w:rsidP="00267DDB">
      <w:pPr>
        <w:tabs>
          <w:tab w:val="left" w:pos="567"/>
        </w:tabs>
        <w:spacing w:after="0" w:line="260" w:lineRule="exact"/>
        <w:rPr>
          <w:rFonts w:ascii="Times New Roman" w:eastAsia="Times New Roman" w:hAnsi="Times New Roman"/>
          <w:noProof/>
          <w:snapToGrid w:val="0"/>
        </w:rPr>
      </w:pPr>
    </w:p>
    <w:p w14:paraId="7933B45C" w14:textId="77777777" w:rsidR="00074768" w:rsidRPr="00037DA8" w:rsidRDefault="00074768" w:rsidP="00074768">
      <w:pPr>
        <w:keepNext/>
        <w:tabs>
          <w:tab w:val="left" w:pos="567"/>
        </w:tabs>
        <w:spacing w:after="0" w:line="260" w:lineRule="exact"/>
        <w:jc w:val="both"/>
        <w:outlineLvl w:val="3"/>
        <w:rPr>
          <w:rFonts w:ascii="Times New Roman" w:eastAsia="Times New Roman" w:hAnsi="Times New Roman"/>
          <w:b/>
          <w:bCs/>
          <w:snapToGrid w:val="0"/>
          <w:lang w:eastAsia="x-none"/>
        </w:rPr>
      </w:pPr>
      <w:r w:rsidRPr="00037DA8">
        <w:rPr>
          <w:rFonts w:ascii="Times New Roman" w:eastAsia="Times New Roman" w:hAnsi="Times New Roman"/>
          <w:b/>
          <w:bCs/>
          <w:snapToGrid w:val="0"/>
          <w:lang w:eastAsia="x-none"/>
        </w:rPr>
        <w:t>4.2</w:t>
      </w:r>
      <w:r w:rsidRPr="00037DA8">
        <w:rPr>
          <w:rFonts w:ascii="Times New Roman" w:eastAsia="Times New Roman" w:hAnsi="Times New Roman"/>
          <w:b/>
          <w:bCs/>
          <w:snapToGrid w:val="0"/>
          <w:lang w:eastAsia="x-none"/>
        </w:rPr>
        <w:tab/>
        <w:t>Dozavimas ir vartojimo metodas</w:t>
      </w:r>
    </w:p>
    <w:p w14:paraId="4F9B163F" w14:textId="77777777" w:rsidR="00074768" w:rsidRPr="00037DA8" w:rsidRDefault="00074768" w:rsidP="00963729">
      <w:pPr>
        <w:tabs>
          <w:tab w:val="left" w:pos="567"/>
        </w:tabs>
        <w:spacing w:after="0" w:line="260" w:lineRule="exact"/>
        <w:rPr>
          <w:rFonts w:ascii="Times New Roman" w:eastAsia="Times New Roman" w:hAnsi="Times New Roman"/>
          <w:noProof/>
          <w:snapToGrid w:val="0"/>
        </w:rPr>
      </w:pPr>
    </w:p>
    <w:p w14:paraId="0BB14D3A" w14:textId="7081479D" w:rsidR="00963729" w:rsidRPr="00037DA8" w:rsidRDefault="00963729" w:rsidP="00963729">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Cabazitaxel Sand</w:t>
      </w:r>
      <w:r w:rsidR="00C735B6" w:rsidRPr="00037DA8">
        <w:rPr>
          <w:rFonts w:ascii="Times New Roman" w:eastAsia="Times New Roman" w:hAnsi="Times New Roman"/>
          <w:noProof/>
          <w:snapToGrid w:val="0"/>
        </w:rPr>
        <w:t>oz</w:t>
      </w:r>
      <w:r w:rsidRPr="00037DA8">
        <w:rPr>
          <w:rFonts w:ascii="Times New Roman" w:eastAsia="Times New Roman" w:hAnsi="Times New Roman"/>
          <w:noProof/>
          <w:snapToGrid w:val="0"/>
        </w:rPr>
        <w:t xml:space="preserve"> </w:t>
      </w:r>
      <w:r w:rsidR="004F5DAA" w:rsidRPr="00037DA8">
        <w:rPr>
          <w:rFonts w:ascii="Times New Roman" w:eastAsia="Times New Roman" w:hAnsi="Times New Roman"/>
          <w:noProof/>
          <w:snapToGrid w:val="0"/>
        </w:rPr>
        <w:t>turi būti vartojamas tik</w:t>
      </w:r>
      <w:r w:rsidRPr="00037DA8">
        <w:rPr>
          <w:rFonts w:ascii="Times New Roman" w:eastAsia="Times New Roman" w:hAnsi="Times New Roman"/>
          <w:noProof/>
          <w:snapToGrid w:val="0"/>
        </w:rPr>
        <w:t xml:space="preserve"> specializuotuose gydymo citotoksiniais </w:t>
      </w:r>
      <w:r w:rsidR="004F5DAA" w:rsidRPr="00037DA8">
        <w:rPr>
          <w:rFonts w:ascii="Times New Roman" w:eastAsia="Times New Roman" w:hAnsi="Times New Roman"/>
          <w:noProof/>
          <w:snapToGrid w:val="0"/>
        </w:rPr>
        <w:t xml:space="preserve">vaistiniais </w:t>
      </w:r>
      <w:r w:rsidRPr="00037DA8">
        <w:rPr>
          <w:rFonts w:ascii="Times New Roman" w:eastAsia="Times New Roman" w:hAnsi="Times New Roman"/>
          <w:noProof/>
          <w:snapToGrid w:val="0"/>
        </w:rPr>
        <w:t>preparatais skyriuose ir tik</w:t>
      </w:r>
      <w:r w:rsidR="004F5DAA" w:rsidRPr="00037DA8">
        <w:rPr>
          <w:rFonts w:ascii="Times New Roman" w:eastAsia="Times New Roman" w:hAnsi="Times New Roman"/>
          <w:noProof/>
          <w:snapToGrid w:val="0"/>
        </w:rPr>
        <w:t xml:space="preserve"> </w:t>
      </w:r>
      <w:r w:rsidRPr="00037DA8">
        <w:rPr>
          <w:rFonts w:ascii="Times New Roman" w:eastAsia="Times New Roman" w:hAnsi="Times New Roman"/>
          <w:noProof/>
          <w:snapToGrid w:val="0"/>
        </w:rPr>
        <w:t xml:space="preserve">prižiūrint gydytojui, turinčiam </w:t>
      </w:r>
      <w:r w:rsidR="00ED4E9C">
        <w:rPr>
          <w:rFonts w:ascii="Times New Roman" w:eastAsia="Times New Roman" w:hAnsi="Times New Roman"/>
          <w:noProof/>
          <w:snapToGrid w:val="0"/>
        </w:rPr>
        <w:t>prieš</w:t>
      </w:r>
      <w:r w:rsidRPr="00037DA8">
        <w:rPr>
          <w:rFonts w:ascii="Times New Roman" w:eastAsia="Times New Roman" w:hAnsi="Times New Roman"/>
          <w:noProof/>
          <w:snapToGrid w:val="0"/>
        </w:rPr>
        <w:t>vėžin</w:t>
      </w:r>
      <w:r w:rsidR="004F5DAA" w:rsidRPr="00037DA8">
        <w:rPr>
          <w:rFonts w:ascii="Times New Roman" w:eastAsia="Times New Roman" w:hAnsi="Times New Roman"/>
          <w:noProof/>
          <w:snapToGrid w:val="0"/>
        </w:rPr>
        <w:t>ės</w:t>
      </w:r>
      <w:r w:rsidRPr="00037DA8">
        <w:rPr>
          <w:rFonts w:ascii="Times New Roman" w:eastAsia="Times New Roman" w:hAnsi="Times New Roman"/>
          <w:noProof/>
          <w:snapToGrid w:val="0"/>
        </w:rPr>
        <w:t xml:space="preserve"> chemoterap</w:t>
      </w:r>
      <w:r w:rsidR="004A28EF" w:rsidRPr="00037DA8">
        <w:rPr>
          <w:rFonts w:ascii="Times New Roman" w:eastAsia="Times New Roman" w:hAnsi="Times New Roman"/>
          <w:noProof/>
          <w:snapToGrid w:val="0"/>
        </w:rPr>
        <w:t>i</w:t>
      </w:r>
      <w:r w:rsidR="004F5DAA" w:rsidRPr="00037DA8">
        <w:rPr>
          <w:rFonts w:ascii="Times New Roman" w:eastAsia="Times New Roman" w:hAnsi="Times New Roman"/>
          <w:noProof/>
          <w:snapToGrid w:val="0"/>
        </w:rPr>
        <w:t>jos taikymo patirties</w:t>
      </w:r>
      <w:r w:rsidRPr="00037DA8">
        <w:rPr>
          <w:rFonts w:ascii="Times New Roman" w:eastAsia="Times New Roman" w:hAnsi="Times New Roman"/>
          <w:noProof/>
          <w:snapToGrid w:val="0"/>
        </w:rPr>
        <w:t xml:space="preserve">. </w:t>
      </w:r>
      <w:r w:rsidR="004F5DAA" w:rsidRPr="00037DA8">
        <w:rPr>
          <w:rFonts w:ascii="Times New Roman" w:eastAsia="Times New Roman" w:hAnsi="Times New Roman"/>
          <w:noProof/>
          <w:snapToGrid w:val="0"/>
        </w:rPr>
        <w:t>Turi būti prieinama įranga</w:t>
      </w:r>
      <w:r w:rsidRPr="00037DA8">
        <w:rPr>
          <w:rFonts w:ascii="Times New Roman" w:eastAsia="Times New Roman" w:hAnsi="Times New Roman"/>
          <w:noProof/>
          <w:snapToGrid w:val="0"/>
        </w:rPr>
        <w:t xml:space="preserve"> ir priemon</w:t>
      </w:r>
      <w:r w:rsidR="004F5DAA" w:rsidRPr="00037DA8">
        <w:rPr>
          <w:rFonts w:ascii="Times New Roman" w:eastAsia="Times New Roman" w:hAnsi="Times New Roman"/>
          <w:noProof/>
          <w:snapToGrid w:val="0"/>
        </w:rPr>
        <w:t>ės</w:t>
      </w:r>
      <w:r w:rsidRPr="00037DA8">
        <w:rPr>
          <w:rFonts w:ascii="Times New Roman" w:eastAsia="Times New Roman" w:hAnsi="Times New Roman"/>
          <w:noProof/>
          <w:snapToGrid w:val="0"/>
        </w:rPr>
        <w:t xml:space="preserve"> sunkiai padidėjusio jautrumo reakcijai, pvz., hipotenzijai ir bronchų</w:t>
      </w:r>
      <w:r w:rsidR="004F5DAA" w:rsidRPr="00037DA8">
        <w:rPr>
          <w:rFonts w:ascii="Times New Roman" w:eastAsia="Times New Roman" w:hAnsi="Times New Roman"/>
          <w:noProof/>
          <w:snapToGrid w:val="0"/>
        </w:rPr>
        <w:t xml:space="preserve"> </w:t>
      </w:r>
      <w:r w:rsidRPr="00037DA8">
        <w:rPr>
          <w:rFonts w:ascii="Times New Roman" w:eastAsia="Times New Roman" w:hAnsi="Times New Roman"/>
          <w:noProof/>
          <w:snapToGrid w:val="0"/>
        </w:rPr>
        <w:t>spazmui, gydyti (žr.</w:t>
      </w:r>
      <w:r w:rsidR="00BD30C8">
        <w:rPr>
          <w:rFonts w:ascii="Times New Roman" w:eastAsia="Times New Roman" w:hAnsi="Times New Roman"/>
          <w:noProof/>
          <w:snapToGrid w:val="0"/>
        </w:rPr>
        <w:t> </w:t>
      </w:r>
      <w:r w:rsidRPr="00037DA8">
        <w:rPr>
          <w:rFonts w:ascii="Times New Roman" w:eastAsia="Times New Roman" w:hAnsi="Times New Roman"/>
          <w:noProof/>
          <w:snapToGrid w:val="0"/>
        </w:rPr>
        <w:t>4.4</w:t>
      </w:r>
      <w:r w:rsidR="00BD30C8">
        <w:rPr>
          <w:rFonts w:ascii="Times New Roman" w:eastAsia="Times New Roman" w:hAnsi="Times New Roman"/>
          <w:noProof/>
          <w:snapToGrid w:val="0"/>
        </w:rPr>
        <w:t> </w:t>
      </w:r>
      <w:r w:rsidRPr="00037DA8">
        <w:rPr>
          <w:rFonts w:ascii="Times New Roman" w:eastAsia="Times New Roman" w:hAnsi="Times New Roman"/>
          <w:noProof/>
          <w:snapToGrid w:val="0"/>
        </w:rPr>
        <w:t>skyrių).</w:t>
      </w:r>
    </w:p>
    <w:p w14:paraId="2BEC517C" w14:textId="77777777" w:rsidR="00963729" w:rsidRPr="00074768" w:rsidRDefault="00963729" w:rsidP="00267DDB">
      <w:pPr>
        <w:tabs>
          <w:tab w:val="left" w:pos="567"/>
        </w:tabs>
        <w:spacing w:after="0" w:line="260" w:lineRule="exact"/>
        <w:rPr>
          <w:rFonts w:ascii="Times New Roman" w:eastAsia="Times New Roman" w:hAnsi="Times New Roman"/>
          <w:noProof/>
          <w:snapToGrid w:val="0"/>
        </w:rPr>
      </w:pPr>
    </w:p>
    <w:p w14:paraId="23FECA5B" w14:textId="3553E914" w:rsidR="004F5DAA" w:rsidRPr="0085406C" w:rsidRDefault="00424076" w:rsidP="004F5DAA">
      <w:pPr>
        <w:tabs>
          <w:tab w:val="left" w:pos="567"/>
        </w:tabs>
        <w:spacing w:after="0" w:line="260" w:lineRule="exact"/>
        <w:rPr>
          <w:rFonts w:ascii="Times New Roman" w:eastAsia="Times New Roman" w:hAnsi="Times New Roman"/>
          <w:noProof/>
          <w:snapToGrid w:val="0"/>
          <w:u w:val="single"/>
        </w:rPr>
      </w:pPr>
      <w:r>
        <w:rPr>
          <w:rFonts w:ascii="Times New Roman" w:eastAsia="Times New Roman" w:hAnsi="Times New Roman"/>
          <w:noProof/>
          <w:snapToGrid w:val="0"/>
          <w:u w:val="single"/>
        </w:rPr>
        <w:t>Premedikacija</w:t>
      </w:r>
    </w:p>
    <w:p w14:paraId="00A5C367" w14:textId="3491F86E" w:rsidR="004F5DAA" w:rsidRPr="00074768" w:rsidRDefault="004F5DAA" w:rsidP="004F5DAA">
      <w:pPr>
        <w:tabs>
          <w:tab w:val="left" w:pos="567"/>
        </w:tabs>
        <w:spacing w:after="0" w:line="260" w:lineRule="exact"/>
        <w:rPr>
          <w:rFonts w:ascii="Times New Roman" w:eastAsia="Times New Roman" w:hAnsi="Times New Roman"/>
          <w:noProof/>
          <w:snapToGrid w:val="0"/>
        </w:rPr>
      </w:pPr>
      <w:r w:rsidRPr="004200DB">
        <w:rPr>
          <w:rFonts w:ascii="Times New Roman" w:eastAsia="Times New Roman" w:hAnsi="Times New Roman"/>
          <w:noProof/>
          <w:snapToGrid w:val="0"/>
        </w:rPr>
        <w:t>Rekomenduojamą parengtinį gydymą būtina skirti likus mažiausiai 30</w:t>
      </w:r>
      <w:r w:rsidR="0032267B">
        <w:rPr>
          <w:rFonts w:ascii="Times New Roman" w:eastAsia="Times New Roman" w:hAnsi="Times New Roman"/>
          <w:noProof/>
          <w:snapToGrid w:val="0"/>
        </w:rPr>
        <w:t> </w:t>
      </w:r>
      <w:r w:rsidRPr="004200DB">
        <w:rPr>
          <w:rFonts w:ascii="Times New Roman" w:eastAsia="Times New Roman" w:hAnsi="Times New Roman"/>
          <w:noProof/>
          <w:snapToGrid w:val="0"/>
        </w:rPr>
        <w:t>minučių iki kiekvienos Cabazitaxel Sand</w:t>
      </w:r>
      <w:r w:rsidR="00307B50" w:rsidRPr="004200DB">
        <w:rPr>
          <w:rFonts w:ascii="Times New Roman" w:eastAsia="Times New Roman" w:hAnsi="Times New Roman"/>
          <w:noProof/>
          <w:snapToGrid w:val="0"/>
        </w:rPr>
        <w:t>oz</w:t>
      </w:r>
      <w:r w:rsidRPr="00037DA8">
        <w:rPr>
          <w:rFonts w:ascii="Times New Roman" w:eastAsia="Times New Roman" w:hAnsi="Times New Roman"/>
          <w:noProof/>
          <w:snapToGrid w:val="0"/>
        </w:rPr>
        <w:t xml:space="preserve"> dozės </w:t>
      </w:r>
      <w:r w:rsidR="00074768">
        <w:rPr>
          <w:rFonts w:ascii="Times New Roman" w:eastAsia="Times New Roman" w:hAnsi="Times New Roman"/>
          <w:noProof/>
          <w:snapToGrid w:val="0"/>
        </w:rPr>
        <w:t>infuzavimo.</w:t>
      </w:r>
      <w:r w:rsidR="00200538" w:rsidRPr="00074768">
        <w:rPr>
          <w:rFonts w:ascii="Times New Roman" w:eastAsia="Times New Roman" w:hAnsi="Times New Roman"/>
          <w:noProof/>
          <w:snapToGrid w:val="0"/>
        </w:rPr>
        <w:t xml:space="preserve"> </w:t>
      </w:r>
      <w:r w:rsidR="00074768">
        <w:rPr>
          <w:rFonts w:ascii="Times New Roman" w:eastAsia="Times New Roman" w:hAnsi="Times New Roman"/>
          <w:noProof/>
          <w:snapToGrid w:val="0"/>
        </w:rPr>
        <w:t>Į</w:t>
      </w:r>
      <w:r w:rsidR="00200538" w:rsidRPr="00074768">
        <w:rPr>
          <w:rFonts w:ascii="Times New Roman" w:eastAsia="Times New Roman" w:hAnsi="Times New Roman"/>
          <w:noProof/>
          <w:snapToGrid w:val="0"/>
        </w:rPr>
        <w:t xml:space="preserve"> veną suleidžia</w:t>
      </w:r>
      <w:r w:rsidR="00074768">
        <w:rPr>
          <w:rFonts w:ascii="Times New Roman" w:eastAsia="Times New Roman" w:hAnsi="Times New Roman"/>
          <w:noProof/>
          <w:snapToGrid w:val="0"/>
        </w:rPr>
        <w:t>ma</w:t>
      </w:r>
      <w:r w:rsidRPr="00074768">
        <w:rPr>
          <w:rFonts w:ascii="Times New Roman" w:eastAsia="Times New Roman" w:hAnsi="Times New Roman"/>
          <w:noProof/>
          <w:snapToGrid w:val="0"/>
        </w:rPr>
        <w:t xml:space="preserve"> toliau išvardytų padidėjusio jautrumo reakcijų riziką</w:t>
      </w:r>
      <w:r w:rsidR="00200538" w:rsidRPr="00074768">
        <w:rPr>
          <w:rFonts w:ascii="Times New Roman" w:eastAsia="Times New Roman" w:hAnsi="Times New Roman"/>
          <w:noProof/>
          <w:snapToGrid w:val="0"/>
        </w:rPr>
        <w:t xml:space="preserve"> </w:t>
      </w:r>
      <w:r w:rsidRPr="00074768">
        <w:rPr>
          <w:rFonts w:ascii="Times New Roman" w:eastAsia="Times New Roman" w:hAnsi="Times New Roman"/>
          <w:noProof/>
          <w:snapToGrid w:val="0"/>
        </w:rPr>
        <w:t>ir sunkumą mažinančių vaistinių preparatų:</w:t>
      </w:r>
    </w:p>
    <w:p w14:paraId="7245FEB0" w14:textId="6116EF4D" w:rsidR="004F5DAA" w:rsidRPr="00037DA8" w:rsidRDefault="004F5DAA" w:rsidP="008A75C3">
      <w:pPr>
        <w:pStyle w:val="Sraopastraipa"/>
        <w:numPr>
          <w:ilvl w:val="0"/>
          <w:numId w:val="3"/>
        </w:numPr>
        <w:ind w:left="567" w:hanging="567"/>
        <w:rPr>
          <w:noProof/>
          <w:szCs w:val="22"/>
          <w:lang w:val="lt-LT"/>
        </w:rPr>
      </w:pPr>
      <w:r w:rsidRPr="0085406C">
        <w:rPr>
          <w:noProof/>
          <w:szCs w:val="22"/>
          <w:lang w:val="lt-LT"/>
        </w:rPr>
        <w:t xml:space="preserve">antihistamininių </w:t>
      </w:r>
      <w:r w:rsidR="00200538" w:rsidRPr="0085406C">
        <w:rPr>
          <w:noProof/>
          <w:szCs w:val="22"/>
          <w:lang w:val="lt-LT"/>
        </w:rPr>
        <w:t xml:space="preserve">vaistinių </w:t>
      </w:r>
      <w:r w:rsidRPr="0085406C">
        <w:rPr>
          <w:noProof/>
          <w:szCs w:val="22"/>
          <w:lang w:val="lt-LT"/>
        </w:rPr>
        <w:t>preparatų (5</w:t>
      </w:r>
      <w:r w:rsidR="0032267B">
        <w:rPr>
          <w:noProof/>
          <w:szCs w:val="22"/>
          <w:lang w:val="lt-LT"/>
        </w:rPr>
        <w:t> </w:t>
      </w:r>
      <w:r w:rsidRPr="0085406C">
        <w:rPr>
          <w:noProof/>
          <w:szCs w:val="22"/>
          <w:lang w:val="lt-LT"/>
        </w:rPr>
        <w:t>mg dekschlorfeniramino ar 25</w:t>
      </w:r>
      <w:r w:rsidR="0032267B">
        <w:rPr>
          <w:noProof/>
          <w:szCs w:val="22"/>
          <w:lang w:val="lt-LT"/>
        </w:rPr>
        <w:t> </w:t>
      </w:r>
      <w:r w:rsidRPr="0085406C">
        <w:rPr>
          <w:noProof/>
          <w:szCs w:val="22"/>
          <w:lang w:val="lt-LT"/>
        </w:rPr>
        <w:t>mg difenhidramino, ar</w:t>
      </w:r>
      <w:r w:rsidR="00200538" w:rsidRPr="004200DB">
        <w:rPr>
          <w:noProof/>
          <w:szCs w:val="22"/>
          <w:lang w:val="lt-LT"/>
        </w:rPr>
        <w:t xml:space="preserve"> </w:t>
      </w:r>
      <w:r w:rsidRPr="004200DB">
        <w:rPr>
          <w:noProof/>
          <w:szCs w:val="22"/>
          <w:lang w:val="lt-LT"/>
        </w:rPr>
        <w:t>ekvivalentiško vaist</w:t>
      </w:r>
      <w:r w:rsidR="00200538" w:rsidRPr="00037DA8">
        <w:rPr>
          <w:noProof/>
          <w:szCs w:val="22"/>
          <w:lang w:val="lt-LT"/>
        </w:rPr>
        <w:t>inio preparato</w:t>
      </w:r>
      <w:r w:rsidRPr="00037DA8">
        <w:rPr>
          <w:noProof/>
          <w:szCs w:val="22"/>
          <w:lang w:val="lt-LT"/>
        </w:rPr>
        <w:t>);</w:t>
      </w:r>
    </w:p>
    <w:p w14:paraId="02488F97" w14:textId="47E73A1C" w:rsidR="004F5DAA" w:rsidRPr="00037DA8" w:rsidRDefault="004F5DAA" w:rsidP="008A75C3">
      <w:pPr>
        <w:pStyle w:val="Sraopastraipa"/>
        <w:numPr>
          <w:ilvl w:val="0"/>
          <w:numId w:val="3"/>
        </w:numPr>
        <w:ind w:left="567" w:hanging="567"/>
        <w:rPr>
          <w:noProof/>
          <w:szCs w:val="22"/>
          <w:lang w:val="lt-LT"/>
        </w:rPr>
      </w:pPr>
      <w:r w:rsidRPr="00037DA8">
        <w:rPr>
          <w:noProof/>
          <w:szCs w:val="22"/>
          <w:lang w:val="lt-LT"/>
        </w:rPr>
        <w:lastRenderedPageBreak/>
        <w:t>kortikosteroido (8</w:t>
      </w:r>
      <w:r w:rsidR="0032267B">
        <w:rPr>
          <w:noProof/>
          <w:szCs w:val="22"/>
          <w:lang w:val="lt-LT"/>
        </w:rPr>
        <w:t> </w:t>
      </w:r>
      <w:r w:rsidRPr="00037DA8">
        <w:rPr>
          <w:noProof/>
          <w:szCs w:val="22"/>
          <w:lang w:val="lt-LT"/>
        </w:rPr>
        <w:t>mg deksametazono ar ekvivalentiško vaist</w:t>
      </w:r>
      <w:r w:rsidR="00200538" w:rsidRPr="00037DA8">
        <w:rPr>
          <w:noProof/>
          <w:szCs w:val="22"/>
          <w:lang w:val="lt-LT"/>
        </w:rPr>
        <w:t>inio preparato</w:t>
      </w:r>
      <w:r w:rsidRPr="00037DA8">
        <w:rPr>
          <w:noProof/>
          <w:szCs w:val="22"/>
          <w:lang w:val="lt-LT"/>
        </w:rPr>
        <w:t>);</w:t>
      </w:r>
    </w:p>
    <w:p w14:paraId="34B95738" w14:textId="1EF851E2" w:rsidR="004F5DAA" w:rsidRPr="00037DA8" w:rsidRDefault="004F5DAA" w:rsidP="008A75C3">
      <w:pPr>
        <w:pStyle w:val="Sraopastraipa"/>
        <w:numPr>
          <w:ilvl w:val="0"/>
          <w:numId w:val="3"/>
        </w:numPr>
        <w:ind w:left="567" w:hanging="567"/>
        <w:rPr>
          <w:noProof/>
          <w:szCs w:val="22"/>
          <w:lang w:val="lt-LT"/>
        </w:rPr>
      </w:pPr>
      <w:r w:rsidRPr="00037DA8">
        <w:rPr>
          <w:noProof/>
          <w:szCs w:val="22"/>
          <w:lang w:val="lt-LT"/>
        </w:rPr>
        <w:t>H2 antagonisto (ranitidino ar ekvivalentiško vaist</w:t>
      </w:r>
      <w:r w:rsidR="00200538" w:rsidRPr="00037DA8">
        <w:rPr>
          <w:noProof/>
          <w:szCs w:val="22"/>
          <w:lang w:val="lt-LT"/>
        </w:rPr>
        <w:t>inio preparato</w:t>
      </w:r>
      <w:r w:rsidRPr="00037DA8">
        <w:rPr>
          <w:noProof/>
          <w:szCs w:val="22"/>
          <w:lang w:val="lt-LT"/>
        </w:rPr>
        <w:t>) (žr.</w:t>
      </w:r>
      <w:r w:rsidR="00BD30C8">
        <w:rPr>
          <w:noProof/>
          <w:szCs w:val="22"/>
          <w:lang w:val="lt-LT"/>
        </w:rPr>
        <w:t> </w:t>
      </w:r>
      <w:r w:rsidRPr="00037DA8">
        <w:rPr>
          <w:noProof/>
          <w:szCs w:val="22"/>
          <w:lang w:val="lt-LT"/>
        </w:rPr>
        <w:t>4.4</w:t>
      </w:r>
      <w:r w:rsidR="00BD30C8">
        <w:rPr>
          <w:noProof/>
          <w:szCs w:val="22"/>
          <w:lang w:val="lt-LT"/>
        </w:rPr>
        <w:t> </w:t>
      </w:r>
      <w:r w:rsidRPr="00037DA8">
        <w:rPr>
          <w:noProof/>
          <w:szCs w:val="22"/>
          <w:lang w:val="lt-LT"/>
        </w:rPr>
        <w:t>skyrių).</w:t>
      </w:r>
    </w:p>
    <w:p w14:paraId="4553BE23" w14:textId="77777777" w:rsidR="00F24EA6" w:rsidRPr="00037DA8" w:rsidRDefault="00F24EA6" w:rsidP="004F5DAA">
      <w:pPr>
        <w:tabs>
          <w:tab w:val="left" w:pos="567"/>
        </w:tabs>
        <w:spacing w:after="0" w:line="260" w:lineRule="exact"/>
        <w:rPr>
          <w:rFonts w:ascii="Times New Roman" w:eastAsia="Times New Roman" w:hAnsi="Times New Roman"/>
          <w:noProof/>
          <w:snapToGrid w:val="0"/>
        </w:rPr>
      </w:pPr>
    </w:p>
    <w:p w14:paraId="38B21770" w14:textId="77777777" w:rsidR="00963729" w:rsidRPr="00037DA8" w:rsidRDefault="004F5DAA" w:rsidP="004F5DAA">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Rekomenduojama profilaktika antiemetikais, jų pagal poreikį galima vartoti per burną arba į veną.</w:t>
      </w:r>
    </w:p>
    <w:p w14:paraId="2339EB8C" w14:textId="77777777" w:rsidR="00963729" w:rsidRPr="00037DA8" w:rsidRDefault="00963729" w:rsidP="00267DDB">
      <w:pPr>
        <w:tabs>
          <w:tab w:val="left" w:pos="567"/>
        </w:tabs>
        <w:spacing w:after="0" w:line="260" w:lineRule="exact"/>
        <w:rPr>
          <w:rFonts w:ascii="Times New Roman" w:eastAsia="Times New Roman" w:hAnsi="Times New Roman"/>
          <w:noProof/>
          <w:snapToGrid w:val="0"/>
        </w:rPr>
      </w:pPr>
    </w:p>
    <w:p w14:paraId="000E14C2" w14:textId="77777777" w:rsidR="00F24EA6" w:rsidRPr="00037DA8" w:rsidRDefault="00F24EA6" w:rsidP="00F24EA6">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Gydymo metu būtina užtikrinti reikiamą paciento hidrataciją, tam, kad švengti tokių komplikacijų, kaip inkstų nepakankamumas.</w:t>
      </w:r>
    </w:p>
    <w:p w14:paraId="373F011D" w14:textId="77777777" w:rsidR="00F24EA6" w:rsidRPr="00037DA8" w:rsidRDefault="00F24EA6" w:rsidP="00F24EA6">
      <w:pPr>
        <w:tabs>
          <w:tab w:val="left" w:pos="567"/>
        </w:tabs>
        <w:spacing w:after="0" w:line="260" w:lineRule="exact"/>
        <w:rPr>
          <w:rFonts w:ascii="Times New Roman" w:eastAsia="Times New Roman" w:hAnsi="Times New Roman"/>
          <w:noProof/>
          <w:snapToGrid w:val="0"/>
        </w:rPr>
      </w:pPr>
    </w:p>
    <w:p w14:paraId="071A7694" w14:textId="77777777" w:rsidR="00F24EA6" w:rsidRPr="00037DA8" w:rsidRDefault="00F24EA6" w:rsidP="00F24EA6">
      <w:pPr>
        <w:tabs>
          <w:tab w:val="left" w:pos="567"/>
        </w:tabs>
        <w:spacing w:after="0" w:line="260" w:lineRule="exact"/>
        <w:rPr>
          <w:rFonts w:ascii="Times New Roman" w:eastAsia="Times New Roman" w:hAnsi="Times New Roman"/>
          <w:noProof/>
          <w:snapToGrid w:val="0"/>
          <w:u w:val="single"/>
        </w:rPr>
      </w:pPr>
      <w:r w:rsidRPr="00037DA8">
        <w:rPr>
          <w:rFonts w:ascii="Times New Roman" w:eastAsia="Times New Roman" w:hAnsi="Times New Roman"/>
          <w:noProof/>
          <w:snapToGrid w:val="0"/>
          <w:u w:val="single"/>
        </w:rPr>
        <w:t>Dozavimas</w:t>
      </w:r>
    </w:p>
    <w:p w14:paraId="1D43BFFE" w14:textId="67205960" w:rsidR="00F24EA6" w:rsidRPr="00037DA8" w:rsidRDefault="00F24EA6" w:rsidP="00F24EA6">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 xml:space="preserve">Rekomenduojama </w:t>
      </w:r>
      <w:r w:rsidR="003A16FD" w:rsidRPr="00037DA8">
        <w:rPr>
          <w:rFonts w:ascii="Times New Roman" w:eastAsia="Times New Roman" w:hAnsi="Times New Roman"/>
          <w:noProof/>
          <w:snapToGrid w:val="0"/>
        </w:rPr>
        <w:t>Cabazitaxel Sand</w:t>
      </w:r>
      <w:r w:rsidR="00307B50" w:rsidRPr="00037DA8">
        <w:rPr>
          <w:rFonts w:ascii="Times New Roman" w:eastAsia="Times New Roman" w:hAnsi="Times New Roman"/>
          <w:noProof/>
          <w:snapToGrid w:val="0"/>
        </w:rPr>
        <w:t>oz</w:t>
      </w:r>
      <w:r w:rsidRPr="00037DA8">
        <w:rPr>
          <w:rFonts w:ascii="Times New Roman" w:eastAsia="Times New Roman" w:hAnsi="Times New Roman"/>
          <w:noProof/>
          <w:snapToGrid w:val="0"/>
        </w:rPr>
        <w:t xml:space="preserve"> dozė yra 25</w:t>
      </w:r>
      <w:r w:rsidR="003A16FD" w:rsidRPr="00037DA8">
        <w:rPr>
          <w:rFonts w:ascii="Times New Roman" w:eastAsia="Times New Roman" w:hAnsi="Times New Roman"/>
          <w:noProof/>
          <w:snapToGrid w:val="0"/>
        </w:rPr>
        <w:t> </w:t>
      </w:r>
      <w:r w:rsidRPr="00037DA8">
        <w:rPr>
          <w:rFonts w:ascii="Times New Roman" w:eastAsia="Times New Roman" w:hAnsi="Times New Roman"/>
          <w:noProof/>
          <w:snapToGrid w:val="0"/>
        </w:rPr>
        <w:t>mg/m</w:t>
      </w:r>
      <w:r w:rsidRPr="00037DA8">
        <w:rPr>
          <w:rFonts w:ascii="Times New Roman" w:eastAsia="Times New Roman" w:hAnsi="Times New Roman"/>
          <w:noProof/>
          <w:snapToGrid w:val="0"/>
          <w:vertAlign w:val="superscript"/>
        </w:rPr>
        <w:t>2</w:t>
      </w:r>
      <w:r w:rsidRPr="00037DA8">
        <w:rPr>
          <w:rFonts w:ascii="Times New Roman" w:eastAsia="Times New Roman" w:hAnsi="Times New Roman"/>
          <w:noProof/>
          <w:snapToGrid w:val="0"/>
        </w:rPr>
        <w:t>, ji infu</w:t>
      </w:r>
      <w:r w:rsidR="003A16FD" w:rsidRPr="00037DA8">
        <w:rPr>
          <w:rFonts w:ascii="Times New Roman" w:eastAsia="Times New Roman" w:hAnsi="Times New Roman"/>
          <w:noProof/>
          <w:snapToGrid w:val="0"/>
        </w:rPr>
        <w:t>zijos būdu suleidžiama</w:t>
      </w:r>
      <w:r w:rsidRPr="00037DA8">
        <w:rPr>
          <w:rFonts w:ascii="Times New Roman" w:eastAsia="Times New Roman" w:hAnsi="Times New Roman"/>
          <w:noProof/>
          <w:snapToGrid w:val="0"/>
        </w:rPr>
        <w:t xml:space="preserve"> į veną per 1</w:t>
      </w:r>
      <w:r w:rsidR="0032267B">
        <w:rPr>
          <w:rFonts w:ascii="Times New Roman" w:eastAsia="Times New Roman" w:hAnsi="Times New Roman"/>
          <w:noProof/>
          <w:snapToGrid w:val="0"/>
        </w:rPr>
        <w:t> </w:t>
      </w:r>
      <w:r w:rsidRPr="00037DA8">
        <w:rPr>
          <w:rFonts w:ascii="Times New Roman" w:eastAsia="Times New Roman" w:hAnsi="Times New Roman"/>
          <w:noProof/>
          <w:snapToGrid w:val="0"/>
        </w:rPr>
        <w:t>valandą kas 3</w:t>
      </w:r>
      <w:r w:rsidR="0032267B">
        <w:rPr>
          <w:rFonts w:ascii="Times New Roman" w:eastAsia="Times New Roman" w:hAnsi="Times New Roman"/>
          <w:noProof/>
          <w:snapToGrid w:val="0"/>
        </w:rPr>
        <w:t> </w:t>
      </w:r>
      <w:r w:rsidRPr="00037DA8">
        <w:rPr>
          <w:rFonts w:ascii="Times New Roman" w:eastAsia="Times New Roman" w:hAnsi="Times New Roman"/>
          <w:noProof/>
          <w:snapToGrid w:val="0"/>
        </w:rPr>
        <w:t>savaites,</w:t>
      </w:r>
      <w:r w:rsidR="003A16FD" w:rsidRPr="00037DA8">
        <w:rPr>
          <w:rFonts w:ascii="Times New Roman" w:eastAsia="Times New Roman" w:hAnsi="Times New Roman"/>
          <w:noProof/>
          <w:snapToGrid w:val="0"/>
        </w:rPr>
        <w:t xml:space="preserve"> </w:t>
      </w:r>
      <w:r w:rsidRPr="00037DA8">
        <w:rPr>
          <w:rFonts w:ascii="Times New Roman" w:eastAsia="Times New Roman" w:hAnsi="Times New Roman"/>
          <w:noProof/>
          <w:snapToGrid w:val="0"/>
        </w:rPr>
        <w:t>be to, gydymo metu kartu geriama 10</w:t>
      </w:r>
      <w:r w:rsidR="003A16FD" w:rsidRPr="00037DA8">
        <w:rPr>
          <w:rFonts w:ascii="Times New Roman" w:eastAsia="Times New Roman" w:hAnsi="Times New Roman"/>
          <w:noProof/>
          <w:snapToGrid w:val="0"/>
        </w:rPr>
        <w:t> </w:t>
      </w:r>
      <w:r w:rsidRPr="00037DA8">
        <w:rPr>
          <w:rFonts w:ascii="Times New Roman" w:eastAsia="Times New Roman" w:hAnsi="Times New Roman"/>
          <w:noProof/>
          <w:snapToGrid w:val="0"/>
        </w:rPr>
        <w:t>mg prednizono ar prednizolono paros dozė.</w:t>
      </w:r>
    </w:p>
    <w:p w14:paraId="4B293DE7" w14:textId="77777777" w:rsidR="003A16FD" w:rsidRPr="00037DA8" w:rsidRDefault="003A16FD" w:rsidP="00F24EA6">
      <w:pPr>
        <w:tabs>
          <w:tab w:val="left" w:pos="567"/>
        </w:tabs>
        <w:spacing w:after="0" w:line="260" w:lineRule="exact"/>
        <w:rPr>
          <w:rFonts w:ascii="Times New Roman" w:eastAsia="Times New Roman" w:hAnsi="Times New Roman"/>
          <w:noProof/>
          <w:snapToGrid w:val="0"/>
        </w:rPr>
      </w:pPr>
    </w:p>
    <w:p w14:paraId="08389D77" w14:textId="77777777" w:rsidR="00F24EA6" w:rsidRPr="00037DA8" w:rsidRDefault="00F24EA6" w:rsidP="00F24EA6">
      <w:pPr>
        <w:tabs>
          <w:tab w:val="left" w:pos="567"/>
        </w:tabs>
        <w:spacing w:after="0" w:line="260" w:lineRule="exact"/>
        <w:rPr>
          <w:rFonts w:ascii="Times New Roman" w:eastAsia="Times New Roman" w:hAnsi="Times New Roman"/>
          <w:noProof/>
          <w:snapToGrid w:val="0"/>
          <w:u w:val="single"/>
        </w:rPr>
      </w:pPr>
      <w:r w:rsidRPr="00037DA8">
        <w:rPr>
          <w:rFonts w:ascii="Times New Roman" w:eastAsia="Times New Roman" w:hAnsi="Times New Roman"/>
          <w:noProof/>
          <w:snapToGrid w:val="0"/>
          <w:u w:val="single"/>
        </w:rPr>
        <w:t>Dozės k</w:t>
      </w:r>
      <w:r w:rsidR="003A16FD" w:rsidRPr="00037DA8">
        <w:rPr>
          <w:rFonts w:ascii="Times New Roman" w:eastAsia="Times New Roman" w:hAnsi="Times New Roman"/>
          <w:noProof/>
          <w:snapToGrid w:val="0"/>
          <w:u w:val="single"/>
        </w:rPr>
        <w:t>eitimai</w:t>
      </w:r>
    </w:p>
    <w:p w14:paraId="7EFD89D6" w14:textId="6F2186F2" w:rsidR="00F24EA6" w:rsidRPr="00037DA8" w:rsidRDefault="00F24EA6" w:rsidP="00F24EA6">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Doz</w:t>
      </w:r>
      <w:r w:rsidR="00ED4E9C">
        <w:rPr>
          <w:rFonts w:ascii="Times New Roman" w:eastAsia="Times New Roman" w:hAnsi="Times New Roman"/>
          <w:noProof/>
          <w:snapToGrid w:val="0"/>
        </w:rPr>
        <w:t>ė</w:t>
      </w:r>
      <w:r w:rsidRPr="00037DA8">
        <w:rPr>
          <w:rFonts w:ascii="Times New Roman" w:eastAsia="Times New Roman" w:hAnsi="Times New Roman"/>
          <w:noProof/>
          <w:snapToGrid w:val="0"/>
        </w:rPr>
        <w:t xml:space="preserve"> </w:t>
      </w:r>
      <w:r w:rsidR="00665C6E" w:rsidRPr="00037DA8">
        <w:rPr>
          <w:rFonts w:ascii="Times New Roman" w:eastAsia="Times New Roman" w:hAnsi="Times New Roman"/>
          <w:noProof/>
          <w:snapToGrid w:val="0"/>
        </w:rPr>
        <w:t>turi būti pakeista</w:t>
      </w:r>
      <w:r w:rsidRPr="00037DA8">
        <w:rPr>
          <w:rFonts w:ascii="Times New Roman" w:eastAsia="Times New Roman" w:hAnsi="Times New Roman"/>
          <w:noProof/>
          <w:snapToGrid w:val="0"/>
        </w:rPr>
        <w:t>, je</w:t>
      </w:r>
      <w:r w:rsidR="00665C6E" w:rsidRPr="00037DA8">
        <w:rPr>
          <w:rFonts w:ascii="Times New Roman" w:eastAsia="Times New Roman" w:hAnsi="Times New Roman"/>
          <w:noProof/>
          <w:snapToGrid w:val="0"/>
        </w:rPr>
        <w:t>igu</w:t>
      </w:r>
      <w:r w:rsidRPr="00037DA8">
        <w:rPr>
          <w:rFonts w:ascii="Times New Roman" w:eastAsia="Times New Roman" w:hAnsi="Times New Roman"/>
          <w:noProof/>
          <w:snapToGrid w:val="0"/>
        </w:rPr>
        <w:t xml:space="preserve"> pacientui </w:t>
      </w:r>
      <w:r w:rsidR="00665C6E" w:rsidRPr="00037DA8">
        <w:rPr>
          <w:rFonts w:ascii="Times New Roman" w:eastAsia="Times New Roman" w:hAnsi="Times New Roman"/>
          <w:noProof/>
          <w:snapToGrid w:val="0"/>
        </w:rPr>
        <w:t>pasireiškia</w:t>
      </w:r>
      <w:r w:rsidRPr="00037DA8">
        <w:rPr>
          <w:rFonts w:ascii="Times New Roman" w:eastAsia="Times New Roman" w:hAnsi="Times New Roman"/>
          <w:noProof/>
          <w:snapToGrid w:val="0"/>
        </w:rPr>
        <w:t xml:space="preserve"> toliau išvardytų nepageidaujamų reakcijų</w:t>
      </w:r>
      <w:r w:rsidR="003A16FD" w:rsidRPr="00037DA8">
        <w:rPr>
          <w:rFonts w:ascii="Times New Roman" w:eastAsia="Times New Roman" w:hAnsi="Times New Roman"/>
          <w:noProof/>
          <w:snapToGrid w:val="0"/>
        </w:rPr>
        <w:t xml:space="preserve"> </w:t>
      </w:r>
      <w:r w:rsidRPr="00037DA8">
        <w:rPr>
          <w:rFonts w:ascii="Times New Roman" w:eastAsia="Times New Roman" w:hAnsi="Times New Roman"/>
          <w:noProof/>
          <w:snapToGrid w:val="0"/>
        </w:rPr>
        <w:t xml:space="preserve">(laipsniai atitinka Bendruosius nepageidaujamų reiškinių terminijos kriterijus </w:t>
      </w:r>
      <w:r w:rsidR="003A16FD" w:rsidRPr="00037DA8">
        <w:rPr>
          <w:rFonts w:ascii="Times New Roman" w:eastAsia="Times New Roman" w:hAnsi="Times New Roman"/>
          <w:noProof/>
          <w:snapToGrid w:val="0"/>
        </w:rPr>
        <w:t>[</w:t>
      </w:r>
      <w:r w:rsidRPr="00037DA8">
        <w:rPr>
          <w:rFonts w:ascii="Times New Roman" w:eastAsia="Times New Roman" w:hAnsi="Times New Roman"/>
          <w:noProof/>
          <w:snapToGrid w:val="0"/>
        </w:rPr>
        <w:t>Common Terminology</w:t>
      </w:r>
      <w:r w:rsidR="003A16FD" w:rsidRPr="00037DA8">
        <w:rPr>
          <w:rFonts w:ascii="Times New Roman" w:eastAsia="Times New Roman" w:hAnsi="Times New Roman"/>
          <w:noProof/>
          <w:snapToGrid w:val="0"/>
        </w:rPr>
        <w:t xml:space="preserve"> </w:t>
      </w:r>
      <w:r w:rsidRPr="00037DA8">
        <w:rPr>
          <w:rFonts w:ascii="Times New Roman" w:eastAsia="Times New Roman" w:hAnsi="Times New Roman"/>
          <w:noProof/>
          <w:snapToGrid w:val="0"/>
        </w:rPr>
        <w:t>Criteria for Adverse Events, CTCAE 4.0</w:t>
      </w:r>
      <w:r w:rsidR="003A16FD" w:rsidRPr="00037DA8">
        <w:rPr>
          <w:rFonts w:ascii="Times New Roman" w:eastAsia="Times New Roman" w:hAnsi="Times New Roman"/>
          <w:noProof/>
          <w:snapToGrid w:val="0"/>
        </w:rPr>
        <w:t>]</w:t>
      </w:r>
      <w:r w:rsidRPr="00037DA8">
        <w:rPr>
          <w:rFonts w:ascii="Times New Roman" w:eastAsia="Times New Roman" w:hAnsi="Times New Roman"/>
          <w:noProof/>
          <w:snapToGrid w:val="0"/>
        </w:rPr>
        <w:t>).</w:t>
      </w:r>
    </w:p>
    <w:p w14:paraId="5F9DCC01" w14:textId="77777777" w:rsidR="003A16FD" w:rsidRPr="00037DA8" w:rsidRDefault="003A16FD" w:rsidP="00F24EA6">
      <w:pPr>
        <w:tabs>
          <w:tab w:val="left" w:pos="567"/>
        </w:tabs>
        <w:spacing w:after="0" w:line="260" w:lineRule="exact"/>
        <w:rPr>
          <w:rFonts w:ascii="Times New Roman" w:eastAsia="Times New Roman" w:hAnsi="Times New Roman"/>
          <w:noProof/>
          <w:snapToGrid w:val="0"/>
        </w:rPr>
      </w:pPr>
    </w:p>
    <w:p w14:paraId="43A8268B" w14:textId="376A1415" w:rsidR="00963729" w:rsidRPr="00037DA8" w:rsidRDefault="00F24EA6" w:rsidP="00665C6E">
      <w:pPr>
        <w:tabs>
          <w:tab w:val="left" w:pos="567"/>
        </w:tabs>
        <w:spacing w:after="0" w:line="260" w:lineRule="exact"/>
        <w:ind w:left="851" w:hanging="851"/>
        <w:rPr>
          <w:rFonts w:ascii="Times New Roman" w:eastAsia="Times New Roman" w:hAnsi="Times New Roman"/>
          <w:noProof/>
          <w:snapToGrid w:val="0"/>
        </w:rPr>
      </w:pPr>
      <w:r w:rsidRPr="00037DA8">
        <w:rPr>
          <w:rFonts w:ascii="Times New Roman" w:eastAsia="Times New Roman" w:hAnsi="Times New Roman"/>
          <w:noProof/>
          <w:snapToGrid w:val="0"/>
        </w:rPr>
        <w:t>1</w:t>
      </w:r>
      <w:r w:rsidR="002C2B24">
        <w:rPr>
          <w:rFonts w:ascii="Times New Roman" w:eastAsia="Times New Roman" w:hAnsi="Times New Roman"/>
          <w:noProof/>
          <w:snapToGrid w:val="0"/>
        </w:rPr>
        <w:t> </w:t>
      </w:r>
      <w:r w:rsidRPr="00037DA8">
        <w:rPr>
          <w:rFonts w:ascii="Times New Roman" w:eastAsia="Times New Roman" w:hAnsi="Times New Roman"/>
          <w:noProof/>
          <w:snapToGrid w:val="0"/>
        </w:rPr>
        <w:t>lentelė. Rekomenduojam</w:t>
      </w:r>
      <w:r w:rsidR="00665C6E" w:rsidRPr="00037DA8">
        <w:rPr>
          <w:rFonts w:ascii="Times New Roman" w:eastAsia="Times New Roman" w:hAnsi="Times New Roman"/>
          <w:noProof/>
          <w:snapToGrid w:val="0"/>
        </w:rPr>
        <w:t>i</w:t>
      </w:r>
      <w:r w:rsidRPr="00037DA8">
        <w:rPr>
          <w:rFonts w:ascii="Times New Roman" w:eastAsia="Times New Roman" w:hAnsi="Times New Roman"/>
          <w:noProof/>
          <w:snapToGrid w:val="0"/>
        </w:rPr>
        <w:t xml:space="preserve"> dozės keitima</w:t>
      </w:r>
      <w:r w:rsidR="00665C6E" w:rsidRPr="00037DA8">
        <w:rPr>
          <w:rFonts w:ascii="Times New Roman" w:eastAsia="Times New Roman" w:hAnsi="Times New Roman"/>
          <w:noProof/>
          <w:snapToGrid w:val="0"/>
        </w:rPr>
        <w:t>i</w:t>
      </w:r>
      <w:r w:rsidRPr="00037DA8">
        <w:rPr>
          <w:rFonts w:ascii="Times New Roman" w:eastAsia="Times New Roman" w:hAnsi="Times New Roman"/>
          <w:noProof/>
          <w:snapToGrid w:val="0"/>
        </w:rPr>
        <w:t xml:space="preserve"> kabazitakseliu gydomiems pacientams </w:t>
      </w:r>
      <w:r w:rsidR="00665C6E" w:rsidRPr="00037DA8">
        <w:rPr>
          <w:rFonts w:ascii="Times New Roman" w:eastAsia="Times New Roman" w:hAnsi="Times New Roman"/>
          <w:noProof/>
          <w:snapToGrid w:val="0"/>
        </w:rPr>
        <w:t xml:space="preserve">dėl pasireiškusių </w:t>
      </w:r>
      <w:r w:rsidRPr="00037DA8">
        <w:rPr>
          <w:rFonts w:ascii="Times New Roman" w:eastAsia="Times New Roman" w:hAnsi="Times New Roman"/>
          <w:noProof/>
          <w:snapToGrid w:val="0"/>
        </w:rPr>
        <w:t>nepageidaujamų reakcijų</w:t>
      </w:r>
    </w:p>
    <w:p w14:paraId="24DB76B8" w14:textId="77777777" w:rsidR="00307B50" w:rsidRPr="00037DA8" w:rsidRDefault="00307B50" w:rsidP="00665C6E">
      <w:pPr>
        <w:tabs>
          <w:tab w:val="left" w:pos="567"/>
        </w:tabs>
        <w:spacing w:after="0" w:line="260" w:lineRule="exact"/>
        <w:ind w:left="851" w:hanging="851"/>
        <w:rPr>
          <w:rFonts w:ascii="Times New Roman" w:eastAsia="Times New Roman" w:hAnsi="Times New Roman"/>
          <w:noProof/>
          <w:snapToGrid w:val="0"/>
        </w:rPr>
      </w:pPr>
    </w:p>
    <w:tbl>
      <w:tblPr>
        <w:tblW w:w="8931" w:type="dxa"/>
        <w:tblInd w:w="250" w:type="dxa"/>
        <w:tblCellMar>
          <w:right w:w="115" w:type="dxa"/>
        </w:tblCellMar>
        <w:tblLook w:val="04A0" w:firstRow="1" w:lastRow="0" w:firstColumn="1" w:lastColumn="0" w:noHBand="0" w:noVBand="1"/>
      </w:tblPr>
      <w:tblGrid>
        <w:gridCol w:w="4277"/>
        <w:gridCol w:w="4654"/>
      </w:tblGrid>
      <w:tr w:rsidR="00665C6E" w:rsidRPr="00074768" w14:paraId="13205A13" w14:textId="77777777" w:rsidTr="00F004F8">
        <w:trPr>
          <w:trHeight w:val="509"/>
        </w:trPr>
        <w:tc>
          <w:tcPr>
            <w:tcW w:w="4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62A9E" w14:textId="77777777" w:rsidR="00665C6E" w:rsidRPr="00074768" w:rsidRDefault="00307B50" w:rsidP="00307B50">
            <w:pPr>
              <w:autoSpaceDE w:val="0"/>
              <w:autoSpaceDN w:val="0"/>
              <w:adjustRightInd w:val="0"/>
              <w:spacing w:after="0" w:line="240" w:lineRule="auto"/>
              <w:jc w:val="center"/>
              <w:rPr>
                <w:rFonts w:ascii="Times New Roman" w:eastAsia="Times New Roman" w:hAnsi="Times New Roman"/>
                <w:b/>
                <w:color w:val="000000"/>
              </w:rPr>
            </w:pPr>
            <w:r w:rsidRPr="00074768">
              <w:rPr>
                <w:rFonts w:ascii="Times New Roman" w:eastAsia="Times New Roman" w:hAnsi="Times New Roman"/>
                <w:b/>
                <w:color w:val="000000"/>
              </w:rPr>
              <w:t>Nepageidaujamos reakcijos</w:t>
            </w:r>
          </w:p>
        </w:tc>
        <w:tc>
          <w:tcPr>
            <w:tcW w:w="4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DA498" w14:textId="77777777" w:rsidR="00665C6E" w:rsidRPr="00074768" w:rsidRDefault="00665C6E" w:rsidP="00307B50">
            <w:pPr>
              <w:autoSpaceDE w:val="0"/>
              <w:autoSpaceDN w:val="0"/>
              <w:adjustRightInd w:val="0"/>
              <w:spacing w:after="0" w:line="240" w:lineRule="auto"/>
              <w:jc w:val="center"/>
              <w:rPr>
                <w:rFonts w:ascii="Times New Roman" w:eastAsia="Times New Roman" w:hAnsi="Times New Roman"/>
                <w:b/>
                <w:color w:val="000000"/>
              </w:rPr>
            </w:pPr>
            <w:r w:rsidRPr="00074768">
              <w:rPr>
                <w:rFonts w:ascii="Times New Roman" w:eastAsia="Times New Roman" w:hAnsi="Times New Roman"/>
                <w:b/>
                <w:color w:val="000000"/>
              </w:rPr>
              <w:t>Do</w:t>
            </w:r>
            <w:r w:rsidR="00307B50" w:rsidRPr="00074768">
              <w:rPr>
                <w:rFonts w:ascii="Times New Roman" w:eastAsia="Times New Roman" w:hAnsi="Times New Roman"/>
                <w:b/>
                <w:color w:val="000000"/>
              </w:rPr>
              <w:t>zės keitimas</w:t>
            </w:r>
          </w:p>
        </w:tc>
      </w:tr>
      <w:tr w:rsidR="00665C6E" w:rsidRPr="00074768" w14:paraId="1A282AF4" w14:textId="77777777" w:rsidTr="00F004F8">
        <w:trPr>
          <w:trHeight w:val="770"/>
        </w:trPr>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5B2C524F" w14:textId="3D9DF373" w:rsidR="00665C6E" w:rsidRPr="00074768" w:rsidRDefault="00307B50" w:rsidP="00307B50">
            <w:pPr>
              <w:autoSpaceDE w:val="0"/>
              <w:autoSpaceDN w:val="0"/>
              <w:adjustRightInd w:val="0"/>
              <w:spacing w:after="0" w:line="240" w:lineRule="auto"/>
              <w:jc w:val="both"/>
              <w:rPr>
                <w:rFonts w:ascii="Times New Roman" w:eastAsia="Times New Roman" w:hAnsi="Times New Roman"/>
                <w:color w:val="000000"/>
              </w:rPr>
            </w:pPr>
            <w:r w:rsidRPr="00074768">
              <w:rPr>
                <w:rFonts w:ascii="Times New Roman" w:eastAsia="Times New Roman" w:hAnsi="Times New Roman"/>
                <w:color w:val="000000"/>
              </w:rPr>
              <w:t>Ilgalaikė ≥</w:t>
            </w:r>
            <w:r w:rsidR="00F069B9">
              <w:rPr>
                <w:rFonts w:ascii="Times New Roman" w:eastAsia="Times New Roman" w:hAnsi="Times New Roman"/>
                <w:color w:val="000000"/>
              </w:rPr>
              <w:t> </w:t>
            </w:r>
            <w:r w:rsidRPr="00074768">
              <w:rPr>
                <w:rFonts w:ascii="Times New Roman" w:eastAsia="Times New Roman" w:hAnsi="Times New Roman"/>
                <w:color w:val="000000"/>
              </w:rPr>
              <w:t>3</w:t>
            </w:r>
            <w:r w:rsidR="00F069B9">
              <w:rPr>
                <w:rFonts w:ascii="Times New Roman" w:eastAsia="Times New Roman" w:hAnsi="Times New Roman"/>
                <w:color w:val="000000"/>
              </w:rPr>
              <w:t> </w:t>
            </w:r>
            <w:r w:rsidRPr="00074768">
              <w:rPr>
                <w:rFonts w:ascii="Times New Roman" w:eastAsia="Times New Roman" w:hAnsi="Times New Roman"/>
                <w:color w:val="000000"/>
              </w:rPr>
              <w:t xml:space="preserve">laipsnio </w:t>
            </w:r>
            <w:proofErr w:type="spellStart"/>
            <w:r w:rsidRPr="00074768">
              <w:rPr>
                <w:rFonts w:ascii="Times New Roman" w:eastAsia="Times New Roman" w:hAnsi="Times New Roman"/>
                <w:color w:val="000000"/>
              </w:rPr>
              <w:t>neutropenija</w:t>
            </w:r>
            <w:proofErr w:type="spellEnd"/>
            <w:r w:rsidRPr="00074768">
              <w:rPr>
                <w:rFonts w:ascii="Times New Roman" w:eastAsia="Times New Roman" w:hAnsi="Times New Roman"/>
                <w:color w:val="000000"/>
              </w:rPr>
              <w:t xml:space="preserve"> (ilgiau kaip 1</w:t>
            </w:r>
            <w:r w:rsidR="00F069B9">
              <w:rPr>
                <w:rFonts w:ascii="Times New Roman" w:eastAsia="Times New Roman" w:hAnsi="Times New Roman"/>
                <w:color w:val="000000"/>
              </w:rPr>
              <w:t> </w:t>
            </w:r>
            <w:r w:rsidRPr="00074768">
              <w:rPr>
                <w:rFonts w:ascii="Times New Roman" w:eastAsia="Times New Roman" w:hAnsi="Times New Roman"/>
                <w:color w:val="000000"/>
              </w:rPr>
              <w:t>savait</w:t>
            </w:r>
            <w:r w:rsidR="00A72C09">
              <w:rPr>
                <w:rFonts w:ascii="Times New Roman" w:eastAsia="Times New Roman" w:hAnsi="Times New Roman"/>
                <w:color w:val="000000"/>
              </w:rPr>
              <w:t>ę</w:t>
            </w:r>
            <w:r w:rsidRPr="00074768">
              <w:rPr>
                <w:rFonts w:ascii="Times New Roman" w:eastAsia="Times New Roman" w:hAnsi="Times New Roman"/>
                <w:color w:val="000000"/>
              </w:rPr>
              <w:t>), nepaisant tinkamo gydymo, įskaitant G-KSF</w:t>
            </w:r>
          </w:p>
        </w:tc>
        <w:tc>
          <w:tcPr>
            <w:tcW w:w="4654" w:type="dxa"/>
            <w:tcBorders>
              <w:top w:val="single" w:sz="4" w:space="0" w:color="000000"/>
              <w:left w:val="single" w:sz="4" w:space="0" w:color="000000"/>
              <w:bottom w:val="single" w:sz="4" w:space="0" w:color="000000"/>
              <w:right w:val="single" w:sz="4" w:space="0" w:color="000000"/>
            </w:tcBorders>
            <w:shd w:val="clear" w:color="auto" w:fill="auto"/>
          </w:tcPr>
          <w:p w14:paraId="4E5E7E82" w14:textId="2C21FEEC" w:rsidR="00665C6E" w:rsidRPr="00074768" w:rsidRDefault="00307B50" w:rsidP="00307B50">
            <w:pPr>
              <w:autoSpaceDE w:val="0"/>
              <w:autoSpaceDN w:val="0"/>
              <w:adjustRightInd w:val="0"/>
              <w:spacing w:after="0" w:line="240" w:lineRule="auto"/>
              <w:jc w:val="both"/>
              <w:rPr>
                <w:rFonts w:ascii="Times New Roman" w:eastAsia="Times New Roman" w:hAnsi="Times New Roman"/>
                <w:color w:val="000000"/>
              </w:rPr>
            </w:pPr>
            <w:r w:rsidRPr="00074768">
              <w:rPr>
                <w:rFonts w:ascii="Times New Roman" w:eastAsia="Times New Roman" w:hAnsi="Times New Roman"/>
                <w:color w:val="000000"/>
              </w:rPr>
              <w:t xml:space="preserve">Gydymą atidėti, kol </w:t>
            </w:r>
            <w:proofErr w:type="spellStart"/>
            <w:r w:rsidRPr="00074768">
              <w:rPr>
                <w:rFonts w:ascii="Times New Roman" w:eastAsia="Times New Roman" w:hAnsi="Times New Roman"/>
                <w:color w:val="000000"/>
              </w:rPr>
              <w:t>neutrofilų</w:t>
            </w:r>
            <w:proofErr w:type="spellEnd"/>
            <w:r w:rsidRPr="00074768">
              <w:rPr>
                <w:rFonts w:ascii="Times New Roman" w:eastAsia="Times New Roman" w:hAnsi="Times New Roman"/>
                <w:color w:val="000000"/>
              </w:rPr>
              <w:t xml:space="preserve"> kiekis taps &gt;</w:t>
            </w:r>
            <w:r w:rsidR="00F069B9">
              <w:rPr>
                <w:rFonts w:ascii="Times New Roman" w:eastAsia="Times New Roman" w:hAnsi="Times New Roman"/>
                <w:color w:val="000000"/>
              </w:rPr>
              <w:t> </w:t>
            </w:r>
            <w:r w:rsidRPr="00074768">
              <w:rPr>
                <w:rFonts w:ascii="Times New Roman" w:eastAsia="Times New Roman" w:hAnsi="Times New Roman"/>
                <w:color w:val="000000"/>
              </w:rPr>
              <w:t>1</w:t>
            </w:r>
            <w:r w:rsidR="00924469">
              <w:rPr>
                <w:rFonts w:ascii="Times New Roman" w:eastAsia="Times New Roman" w:hAnsi="Times New Roman"/>
                <w:color w:val="000000"/>
              </w:rPr>
              <w:t> </w:t>
            </w:r>
            <w:r w:rsidRPr="00074768">
              <w:rPr>
                <w:rFonts w:ascii="Times New Roman" w:eastAsia="Times New Roman" w:hAnsi="Times New Roman"/>
                <w:color w:val="000000"/>
              </w:rPr>
              <w:t>500 ląstelių/mm</w:t>
            </w:r>
            <w:r w:rsidRPr="00074768">
              <w:rPr>
                <w:rFonts w:ascii="Times New Roman" w:eastAsia="Times New Roman" w:hAnsi="Times New Roman"/>
                <w:color w:val="000000"/>
                <w:vertAlign w:val="superscript"/>
              </w:rPr>
              <w:t>3</w:t>
            </w:r>
            <w:r w:rsidRPr="00074768">
              <w:rPr>
                <w:rFonts w:ascii="Times New Roman" w:eastAsia="Times New Roman" w:hAnsi="Times New Roman"/>
                <w:color w:val="000000"/>
              </w:rPr>
              <w:t xml:space="preserve">, tada </w:t>
            </w:r>
            <w:proofErr w:type="spellStart"/>
            <w:r w:rsidRPr="00074768">
              <w:rPr>
                <w:rFonts w:ascii="Times New Roman" w:eastAsia="Times New Roman" w:hAnsi="Times New Roman"/>
                <w:color w:val="000000"/>
              </w:rPr>
              <w:t>kabazitakselio</w:t>
            </w:r>
            <w:proofErr w:type="spellEnd"/>
            <w:r w:rsidRPr="00074768">
              <w:rPr>
                <w:rFonts w:ascii="Times New Roman" w:eastAsia="Times New Roman" w:hAnsi="Times New Roman"/>
                <w:color w:val="000000"/>
              </w:rPr>
              <w:t xml:space="preserve"> dozę sumažinti nuo 25 mg/m</w:t>
            </w:r>
            <w:r w:rsidRPr="00074768">
              <w:rPr>
                <w:rFonts w:ascii="Times New Roman" w:eastAsia="Times New Roman" w:hAnsi="Times New Roman"/>
                <w:color w:val="000000"/>
                <w:vertAlign w:val="superscript"/>
              </w:rPr>
              <w:t>2</w:t>
            </w:r>
            <w:r w:rsidRPr="00074768">
              <w:rPr>
                <w:rFonts w:ascii="Times New Roman" w:eastAsia="Times New Roman" w:hAnsi="Times New Roman"/>
                <w:color w:val="000000"/>
              </w:rPr>
              <w:t xml:space="preserve"> iki 20</w:t>
            </w:r>
            <w:r w:rsidR="00F069B9">
              <w:rPr>
                <w:rFonts w:ascii="Times New Roman" w:eastAsia="Times New Roman" w:hAnsi="Times New Roman"/>
                <w:color w:val="000000"/>
              </w:rPr>
              <w:t> </w:t>
            </w:r>
            <w:r w:rsidRPr="00074768">
              <w:rPr>
                <w:rFonts w:ascii="Times New Roman" w:eastAsia="Times New Roman" w:hAnsi="Times New Roman"/>
                <w:color w:val="000000"/>
              </w:rPr>
              <w:t>mg/m</w:t>
            </w:r>
            <w:r w:rsidRPr="00074768">
              <w:rPr>
                <w:rFonts w:ascii="Times New Roman" w:eastAsia="Times New Roman" w:hAnsi="Times New Roman"/>
                <w:color w:val="000000"/>
                <w:vertAlign w:val="superscript"/>
              </w:rPr>
              <w:t>2</w:t>
            </w:r>
            <w:r w:rsidRPr="00074768">
              <w:rPr>
                <w:rFonts w:ascii="Times New Roman" w:eastAsia="Times New Roman" w:hAnsi="Times New Roman"/>
                <w:color w:val="000000"/>
              </w:rPr>
              <w:t>.</w:t>
            </w:r>
            <w:r w:rsidR="00665C6E" w:rsidRPr="00074768">
              <w:rPr>
                <w:rFonts w:ascii="Times New Roman" w:eastAsia="Times New Roman" w:hAnsi="Times New Roman"/>
                <w:color w:val="000000"/>
              </w:rPr>
              <w:t xml:space="preserve">  </w:t>
            </w:r>
          </w:p>
        </w:tc>
      </w:tr>
      <w:tr w:rsidR="00665C6E" w:rsidRPr="00074768" w14:paraId="045075EC" w14:textId="77777777" w:rsidTr="00F004F8">
        <w:trPr>
          <w:trHeight w:val="1020"/>
        </w:trPr>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1204916F" w14:textId="77777777" w:rsidR="00665C6E" w:rsidRPr="00074768" w:rsidRDefault="00307B50" w:rsidP="00665C6E">
            <w:pPr>
              <w:autoSpaceDE w:val="0"/>
              <w:autoSpaceDN w:val="0"/>
              <w:adjustRightInd w:val="0"/>
              <w:spacing w:after="0" w:line="240" w:lineRule="auto"/>
              <w:jc w:val="both"/>
              <w:rPr>
                <w:rFonts w:ascii="Times New Roman" w:eastAsia="Times New Roman" w:hAnsi="Times New Roman"/>
                <w:color w:val="000000"/>
              </w:rPr>
            </w:pPr>
            <w:proofErr w:type="spellStart"/>
            <w:r w:rsidRPr="00074768">
              <w:rPr>
                <w:rFonts w:ascii="Times New Roman" w:eastAsia="Times New Roman" w:hAnsi="Times New Roman"/>
                <w:color w:val="000000"/>
              </w:rPr>
              <w:t>Febrili</w:t>
            </w:r>
            <w:proofErr w:type="spellEnd"/>
            <w:r w:rsidRPr="00074768">
              <w:rPr>
                <w:rFonts w:ascii="Times New Roman" w:eastAsia="Times New Roman" w:hAnsi="Times New Roman"/>
                <w:color w:val="000000"/>
              </w:rPr>
              <w:t xml:space="preserve"> </w:t>
            </w:r>
            <w:proofErr w:type="spellStart"/>
            <w:r w:rsidRPr="00074768">
              <w:rPr>
                <w:rFonts w:ascii="Times New Roman" w:eastAsia="Times New Roman" w:hAnsi="Times New Roman"/>
                <w:color w:val="000000"/>
              </w:rPr>
              <w:t>neutropenija</w:t>
            </w:r>
            <w:proofErr w:type="spellEnd"/>
            <w:r w:rsidRPr="00074768">
              <w:rPr>
                <w:rFonts w:ascii="Times New Roman" w:eastAsia="Times New Roman" w:hAnsi="Times New Roman"/>
                <w:color w:val="000000"/>
              </w:rPr>
              <w:t xml:space="preserve"> ar </w:t>
            </w:r>
            <w:proofErr w:type="spellStart"/>
            <w:r w:rsidRPr="00074768">
              <w:rPr>
                <w:rFonts w:ascii="Times New Roman" w:eastAsia="Times New Roman" w:hAnsi="Times New Roman"/>
                <w:color w:val="000000"/>
              </w:rPr>
              <w:t>neutropeninė</w:t>
            </w:r>
            <w:proofErr w:type="spellEnd"/>
            <w:r w:rsidRPr="00074768">
              <w:rPr>
                <w:rFonts w:ascii="Times New Roman" w:eastAsia="Times New Roman" w:hAnsi="Times New Roman"/>
                <w:color w:val="000000"/>
              </w:rPr>
              <w:t xml:space="preserve"> infekcija</w:t>
            </w:r>
          </w:p>
        </w:tc>
        <w:tc>
          <w:tcPr>
            <w:tcW w:w="4654" w:type="dxa"/>
            <w:tcBorders>
              <w:top w:val="single" w:sz="4" w:space="0" w:color="000000"/>
              <w:left w:val="single" w:sz="4" w:space="0" w:color="000000"/>
              <w:bottom w:val="single" w:sz="4" w:space="0" w:color="000000"/>
              <w:right w:val="single" w:sz="4" w:space="0" w:color="000000"/>
            </w:tcBorders>
            <w:shd w:val="clear" w:color="auto" w:fill="auto"/>
          </w:tcPr>
          <w:p w14:paraId="544C0B0B" w14:textId="2B32ED3B" w:rsidR="00665C6E" w:rsidRPr="00074768" w:rsidRDefault="00307B50" w:rsidP="00307B50">
            <w:pPr>
              <w:autoSpaceDE w:val="0"/>
              <w:autoSpaceDN w:val="0"/>
              <w:adjustRightInd w:val="0"/>
              <w:spacing w:after="0" w:line="240" w:lineRule="auto"/>
              <w:jc w:val="both"/>
              <w:rPr>
                <w:rFonts w:ascii="Times New Roman" w:eastAsia="Times New Roman" w:hAnsi="Times New Roman"/>
                <w:color w:val="000000"/>
              </w:rPr>
            </w:pPr>
            <w:r w:rsidRPr="00074768">
              <w:rPr>
                <w:rFonts w:ascii="Times New Roman" w:eastAsia="Times New Roman" w:hAnsi="Times New Roman"/>
                <w:color w:val="000000"/>
              </w:rPr>
              <w:t xml:space="preserve">Gydymą atidėti, kol sutrikimas sumažės ar išnyks ir </w:t>
            </w:r>
            <w:proofErr w:type="spellStart"/>
            <w:r w:rsidRPr="00074768">
              <w:rPr>
                <w:rFonts w:ascii="Times New Roman" w:eastAsia="Times New Roman" w:hAnsi="Times New Roman"/>
                <w:color w:val="000000"/>
              </w:rPr>
              <w:t>neutrofilų</w:t>
            </w:r>
            <w:proofErr w:type="spellEnd"/>
            <w:r w:rsidRPr="00074768">
              <w:rPr>
                <w:rFonts w:ascii="Times New Roman" w:eastAsia="Times New Roman" w:hAnsi="Times New Roman"/>
                <w:color w:val="000000"/>
              </w:rPr>
              <w:t xml:space="preserve"> kiekis taps &gt;</w:t>
            </w:r>
            <w:r w:rsidR="00F069B9">
              <w:rPr>
                <w:rFonts w:ascii="Times New Roman" w:eastAsia="Times New Roman" w:hAnsi="Times New Roman"/>
                <w:color w:val="000000"/>
              </w:rPr>
              <w:t> </w:t>
            </w:r>
            <w:r w:rsidRPr="00074768">
              <w:rPr>
                <w:rFonts w:ascii="Times New Roman" w:eastAsia="Times New Roman" w:hAnsi="Times New Roman"/>
                <w:color w:val="000000"/>
              </w:rPr>
              <w:t>1</w:t>
            </w:r>
            <w:r w:rsidR="00924469">
              <w:rPr>
                <w:rFonts w:ascii="Times New Roman" w:eastAsia="Times New Roman" w:hAnsi="Times New Roman"/>
                <w:color w:val="000000"/>
              </w:rPr>
              <w:t> </w:t>
            </w:r>
            <w:r w:rsidRPr="00074768">
              <w:rPr>
                <w:rFonts w:ascii="Times New Roman" w:eastAsia="Times New Roman" w:hAnsi="Times New Roman"/>
                <w:color w:val="000000"/>
              </w:rPr>
              <w:t>500</w:t>
            </w:r>
            <w:r w:rsidR="00F069B9">
              <w:rPr>
                <w:rFonts w:ascii="Times New Roman" w:eastAsia="Times New Roman" w:hAnsi="Times New Roman"/>
                <w:color w:val="000000"/>
              </w:rPr>
              <w:t> </w:t>
            </w:r>
            <w:r w:rsidRPr="00074768">
              <w:rPr>
                <w:rFonts w:ascii="Times New Roman" w:eastAsia="Times New Roman" w:hAnsi="Times New Roman"/>
                <w:color w:val="000000"/>
              </w:rPr>
              <w:t>ląstelių/mm</w:t>
            </w:r>
            <w:r w:rsidRPr="00074768">
              <w:rPr>
                <w:rFonts w:ascii="Times New Roman" w:eastAsia="Times New Roman" w:hAnsi="Times New Roman"/>
                <w:color w:val="000000"/>
                <w:vertAlign w:val="superscript"/>
              </w:rPr>
              <w:t>3</w:t>
            </w:r>
            <w:r w:rsidRPr="00074768">
              <w:rPr>
                <w:rFonts w:ascii="Times New Roman" w:eastAsia="Times New Roman" w:hAnsi="Times New Roman"/>
                <w:color w:val="000000"/>
              </w:rPr>
              <w:t xml:space="preserve">, tada </w:t>
            </w:r>
            <w:proofErr w:type="spellStart"/>
            <w:r w:rsidRPr="00074768">
              <w:rPr>
                <w:rFonts w:ascii="Times New Roman" w:eastAsia="Times New Roman" w:hAnsi="Times New Roman"/>
                <w:color w:val="000000"/>
              </w:rPr>
              <w:t>kabazitakselio</w:t>
            </w:r>
            <w:proofErr w:type="spellEnd"/>
            <w:r w:rsidRPr="00074768">
              <w:rPr>
                <w:rFonts w:ascii="Times New Roman" w:eastAsia="Times New Roman" w:hAnsi="Times New Roman"/>
                <w:color w:val="000000"/>
              </w:rPr>
              <w:t xml:space="preserve"> dozę sumažinti nuo 25 mg/m</w:t>
            </w:r>
            <w:r w:rsidRPr="00074768">
              <w:rPr>
                <w:rFonts w:ascii="Times New Roman" w:eastAsia="Times New Roman" w:hAnsi="Times New Roman"/>
                <w:color w:val="000000"/>
                <w:vertAlign w:val="superscript"/>
              </w:rPr>
              <w:t>2</w:t>
            </w:r>
            <w:r w:rsidRPr="00074768">
              <w:rPr>
                <w:rFonts w:ascii="Times New Roman" w:eastAsia="Times New Roman" w:hAnsi="Times New Roman"/>
                <w:color w:val="000000"/>
              </w:rPr>
              <w:t xml:space="preserve"> iki 20 mg/m2.</w:t>
            </w:r>
            <w:r w:rsidR="00665C6E" w:rsidRPr="00074768">
              <w:rPr>
                <w:rFonts w:ascii="Times New Roman" w:eastAsia="Times New Roman" w:hAnsi="Times New Roman"/>
                <w:color w:val="000000"/>
              </w:rPr>
              <w:t xml:space="preserve"> </w:t>
            </w:r>
          </w:p>
        </w:tc>
      </w:tr>
      <w:tr w:rsidR="00665C6E" w:rsidRPr="00074768" w14:paraId="58BF9DA6" w14:textId="77777777" w:rsidTr="00F004F8">
        <w:trPr>
          <w:trHeight w:val="768"/>
        </w:trPr>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1DC898CE" w14:textId="0C3F2961" w:rsidR="00665C6E" w:rsidRPr="00074768" w:rsidRDefault="00307B50" w:rsidP="00074768">
            <w:pPr>
              <w:autoSpaceDE w:val="0"/>
              <w:autoSpaceDN w:val="0"/>
              <w:adjustRightInd w:val="0"/>
              <w:spacing w:after="0" w:line="240" w:lineRule="auto"/>
              <w:jc w:val="both"/>
              <w:rPr>
                <w:rFonts w:ascii="Times New Roman" w:eastAsia="Times New Roman" w:hAnsi="Times New Roman"/>
                <w:color w:val="000000"/>
              </w:rPr>
            </w:pPr>
            <w:r w:rsidRPr="00074768">
              <w:rPr>
                <w:rFonts w:ascii="Times New Roman" w:eastAsia="Times New Roman" w:hAnsi="Times New Roman"/>
                <w:color w:val="000000"/>
              </w:rPr>
              <w:t>≥</w:t>
            </w:r>
            <w:r w:rsidR="00F069B9">
              <w:rPr>
                <w:rFonts w:ascii="Times New Roman" w:eastAsia="Times New Roman" w:hAnsi="Times New Roman"/>
                <w:color w:val="000000"/>
              </w:rPr>
              <w:t> </w:t>
            </w:r>
            <w:r w:rsidRPr="00074768">
              <w:rPr>
                <w:rFonts w:ascii="Times New Roman" w:eastAsia="Times New Roman" w:hAnsi="Times New Roman"/>
                <w:color w:val="000000"/>
              </w:rPr>
              <w:t>3</w:t>
            </w:r>
            <w:r w:rsidR="00F069B9">
              <w:rPr>
                <w:rFonts w:ascii="Times New Roman" w:eastAsia="Times New Roman" w:hAnsi="Times New Roman"/>
                <w:color w:val="000000"/>
              </w:rPr>
              <w:t> </w:t>
            </w:r>
            <w:r w:rsidRPr="00074768">
              <w:rPr>
                <w:rFonts w:ascii="Times New Roman" w:eastAsia="Times New Roman" w:hAnsi="Times New Roman"/>
                <w:color w:val="000000"/>
              </w:rPr>
              <w:t>laipsnio viduriavimas ar išliekantis viduriavimas, nepaisant tinkamo gydymo, įskaitant skysčių ir elektrolitų papildymą</w:t>
            </w:r>
          </w:p>
        </w:tc>
        <w:tc>
          <w:tcPr>
            <w:tcW w:w="4654" w:type="dxa"/>
            <w:tcBorders>
              <w:top w:val="single" w:sz="4" w:space="0" w:color="000000"/>
              <w:left w:val="single" w:sz="4" w:space="0" w:color="000000"/>
              <w:bottom w:val="single" w:sz="4" w:space="0" w:color="000000"/>
              <w:right w:val="single" w:sz="4" w:space="0" w:color="000000"/>
            </w:tcBorders>
            <w:shd w:val="clear" w:color="auto" w:fill="auto"/>
          </w:tcPr>
          <w:p w14:paraId="339AE7E9" w14:textId="77777777" w:rsidR="00665C6E" w:rsidRPr="00074768" w:rsidRDefault="00307B50" w:rsidP="00307B50">
            <w:pPr>
              <w:autoSpaceDE w:val="0"/>
              <w:autoSpaceDN w:val="0"/>
              <w:adjustRightInd w:val="0"/>
              <w:spacing w:after="0" w:line="240" w:lineRule="auto"/>
              <w:jc w:val="both"/>
              <w:rPr>
                <w:rFonts w:ascii="Times New Roman" w:eastAsia="Times New Roman" w:hAnsi="Times New Roman"/>
                <w:color w:val="000000"/>
              </w:rPr>
            </w:pPr>
            <w:r w:rsidRPr="00074768">
              <w:rPr>
                <w:rFonts w:ascii="Times New Roman" w:eastAsia="Times New Roman" w:hAnsi="Times New Roman"/>
                <w:color w:val="000000"/>
              </w:rPr>
              <w:t xml:space="preserve">Gydymą atidėti, kol sutrikimas sumažės ar išnyks, tada </w:t>
            </w:r>
            <w:proofErr w:type="spellStart"/>
            <w:r w:rsidRPr="00074768">
              <w:rPr>
                <w:rFonts w:ascii="Times New Roman" w:eastAsia="Times New Roman" w:hAnsi="Times New Roman"/>
                <w:color w:val="000000"/>
              </w:rPr>
              <w:t>kabazitakselio</w:t>
            </w:r>
            <w:proofErr w:type="spellEnd"/>
            <w:r w:rsidRPr="00074768">
              <w:rPr>
                <w:rFonts w:ascii="Times New Roman" w:eastAsia="Times New Roman" w:hAnsi="Times New Roman"/>
                <w:color w:val="000000"/>
              </w:rPr>
              <w:t xml:space="preserve"> dozę sumažinti nuo 25 mg/m</w:t>
            </w:r>
            <w:r w:rsidRPr="00074768">
              <w:rPr>
                <w:rFonts w:ascii="Times New Roman" w:eastAsia="Times New Roman" w:hAnsi="Times New Roman"/>
                <w:color w:val="000000"/>
                <w:vertAlign w:val="superscript"/>
              </w:rPr>
              <w:t xml:space="preserve">2 </w:t>
            </w:r>
            <w:r w:rsidRPr="00074768">
              <w:rPr>
                <w:rFonts w:ascii="Times New Roman" w:eastAsia="Times New Roman" w:hAnsi="Times New Roman"/>
                <w:color w:val="000000"/>
              </w:rPr>
              <w:t>iki 20 mg/m</w:t>
            </w:r>
            <w:r w:rsidRPr="00074768">
              <w:rPr>
                <w:rFonts w:ascii="Times New Roman" w:eastAsia="Times New Roman" w:hAnsi="Times New Roman"/>
                <w:color w:val="000000"/>
                <w:vertAlign w:val="superscript"/>
              </w:rPr>
              <w:t>2</w:t>
            </w:r>
            <w:r w:rsidRPr="00074768">
              <w:rPr>
                <w:rFonts w:ascii="Times New Roman" w:eastAsia="Times New Roman" w:hAnsi="Times New Roman"/>
                <w:color w:val="000000"/>
              </w:rPr>
              <w:t>.</w:t>
            </w:r>
            <w:r w:rsidR="00665C6E" w:rsidRPr="00074768">
              <w:rPr>
                <w:rFonts w:ascii="Times New Roman" w:eastAsia="Times New Roman" w:hAnsi="Times New Roman"/>
                <w:color w:val="000000"/>
              </w:rPr>
              <w:t xml:space="preserve"> </w:t>
            </w:r>
          </w:p>
        </w:tc>
      </w:tr>
      <w:tr w:rsidR="00665C6E" w:rsidRPr="00074768" w14:paraId="3545F8C4" w14:textId="77777777" w:rsidTr="00F004F8">
        <w:trPr>
          <w:trHeight w:val="516"/>
        </w:trPr>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4A0FD87F" w14:textId="554CD597" w:rsidR="00665C6E" w:rsidRPr="00074768" w:rsidRDefault="00A72C09" w:rsidP="00665C6E">
            <w:pPr>
              <w:autoSpaceDE w:val="0"/>
              <w:autoSpaceDN w:val="0"/>
              <w:adjustRightInd w:val="0"/>
              <w:spacing w:after="0" w:line="240" w:lineRule="auto"/>
              <w:jc w:val="both"/>
              <w:rPr>
                <w:rFonts w:ascii="Times New Roman" w:eastAsia="Times New Roman" w:hAnsi="Times New Roman"/>
                <w:color w:val="000000"/>
              </w:rPr>
            </w:pPr>
            <w:r w:rsidRPr="00A02181">
              <w:rPr>
                <w:lang w:val="en-GB"/>
              </w:rPr>
              <w:t>≥</w:t>
            </w:r>
            <w:r w:rsidR="00F069B9">
              <w:rPr>
                <w:lang w:val="en-GB"/>
              </w:rPr>
              <w:t> </w:t>
            </w:r>
            <w:r w:rsidR="00307B50" w:rsidRPr="00074768">
              <w:rPr>
                <w:rFonts w:ascii="Times New Roman" w:eastAsia="Times New Roman" w:hAnsi="Times New Roman"/>
                <w:color w:val="000000"/>
              </w:rPr>
              <w:t>2</w:t>
            </w:r>
            <w:r w:rsidR="00F069B9">
              <w:rPr>
                <w:rFonts w:ascii="Times New Roman" w:eastAsia="Times New Roman" w:hAnsi="Times New Roman"/>
                <w:color w:val="000000"/>
              </w:rPr>
              <w:t> </w:t>
            </w:r>
            <w:r w:rsidR="00307B50" w:rsidRPr="00074768">
              <w:rPr>
                <w:rFonts w:ascii="Times New Roman" w:eastAsia="Times New Roman" w:hAnsi="Times New Roman"/>
                <w:color w:val="000000"/>
              </w:rPr>
              <w:t>laipsnio periferinė neuropatija</w:t>
            </w:r>
            <w:r w:rsidR="00665C6E" w:rsidRPr="00074768">
              <w:rPr>
                <w:rFonts w:ascii="Times New Roman" w:eastAsia="Times New Roman" w:hAnsi="Times New Roman"/>
                <w:color w:val="000000"/>
              </w:rPr>
              <w:t xml:space="preserve"> </w:t>
            </w:r>
          </w:p>
        </w:tc>
        <w:tc>
          <w:tcPr>
            <w:tcW w:w="4654" w:type="dxa"/>
            <w:tcBorders>
              <w:top w:val="single" w:sz="4" w:space="0" w:color="000000"/>
              <w:left w:val="single" w:sz="4" w:space="0" w:color="000000"/>
              <w:bottom w:val="single" w:sz="4" w:space="0" w:color="000000"/>
              <w:right w:val="single" w:sz="4" w:space="0" w:color="000000"/>
            </w:tcBorders>
            <w:shd w:val="clear" w:color="auto" w:fill="auto"/>
          </w:tcPr>
          <w:p w14:paraId="5CF16F41" w14:textId="77777777" w:rsidR="00665C6E" w:rsidRPr="00074768" w:rsidRDefault="00307B50" w:rsidP="00307B50">
            <w:pPr>
              <w:autoSpaceDE w:val="0"/>
              <w:autoSpaceDN w:val="0"/>
              <w:adjustRightInd w:val="0"/>
              <w:spacing w:after="0" w:line="240" w:lineRule="auto"/>
              <w:jc w:val="both"/>
              <w:rPr>
                <w:rFonts w:ascii="Times New Roman" w:eastAsia="Times New Roman" w:hAnsi="Times New Roman"/>
                <w:color w:val="000000"/>
              </w:rPr>
            </w:pPr>
            <w:r w:rsidRPr="00074768">
              <w:rPr>
                <w:rFonts w:ascii="Times New Roman" w:eastAsia="Times New Roman" w:hAnsi="Times New Roman"/>
                <w:color w:val="000000"/>
              </w:rPr>
              <w:t xml:space="preserve">Gydymą atidėti, kol sutrikimas sumažės, tada </w:t>
            </w:r>
            <w:proofErr w:type="spellStart"/>
            <w:r w:rsidRPr="00074768">
              <w:rPr>
                <w:rFonts w:ascii="Times New Roman" w:eastAsia="Times New Roman" w:hAnsi="Times New Roman"/>
                <w:color w:val="000000"/>
              </w:rPr>
              <w:t>kabazitakselio</w:t>
            </w:r>
            <w:proofErr w:type="spellEnd"/>
            <w:r w:rsidRPr="00074768">
              <w:rPr>
                <w:rFonts w:ascii="Times New Roman" w:eastAsia="Times New Roman" w:hAnsi="Times New Roman"/>
                <w:color w:val="000000"/>
              </w:rPr>
              <w:t xml:space="preserve"> dozę sumažinti nuo 25 mg/m</w:t>
            </w:r>
            <w:r w:rsidRPr="00074768">
              <w:rPr>
                <w:rFonts w:ascii="Times New Roman" w:eastAsia="Times New Roman" w:hAnsi="Times New Roman"/>
                <w:color w:val="000000"/>
                <w:vertAlign w:val="superscript"/>
              </w:rPr>
              <w:t>2</w:t>
            </w:r>
            <w:r w:rsidRPr="00074768">
              <w:rPr>
                <w:rFonts w:ascii="Times New Roman" w:eastAsia="Times New Roman" w:hAnsi="Times New Roman"/>
                <w:color w:val="000000"/>
              </w:rPr>
              <w:t xml:space="preserve"> iki 20 mg/m</w:t>
            </w:r>
            <w:r w:rsidRPr="00074768">
              <w:rPr>
                <w:rFonts w:ascii="Times New Roman" w:eastAsia="Times New Roman" w:hAnsi="Times New Roman"/>
                <w:color w:val="000000"/>
                <w:vertAlign w:val="superscript"/>
              </w:rPr>
              <w:t>2</w:t>
            </w:r>
            <w:r w:rsidRPr="00074768">
              <w:rPr>
                <w:rFonts w:ascii="Times New Roman" w:eastAsia="Times New Roman" w:hAnsi="Times New Roman"/>
                <w:color w:val="000000"/>
              </w:rPr>
              <w:t>.</w:t>
            </w:r>
            <w:r w:rsidR="00665C6E" w:rsidRPr="00074768">
              <w:rPr>
                <w:rFonts w:ascii="Times New Roman" w:eastAsia="Times New Roman" w:hAnsi="Times New Roman"/>
                <w:color w:val="000000"/>
              </w:rPr>
              <w:t xml:space="preserve"> </w:t>
            </w:r>
          </w:p>
        </w:tc>
      </w:tr>
    </w:tbl>
    <w:p w14:paraId="58653D1C" w14:textId="77777777" w:rsidR="00963729" w:rsidRPr="00074768" w:rsidRDefault="00963729" w:rsidP="00267DDB">
      <w:pPr>
        <w:tabs>
          <w:tab w:val="left" w:pos="567"/>
        </w:tabs>
        <w:spacing w:after="0" w:line="260" w:lineRule="exact"/>
        <w:rPr>
          <w:rFonts w:ascii="Times New Roman" w:eastAsia="Times New Roman" w:hAnsi="Times New Roman"/>
          <w:noProof/>
          <w:snapToGrid w:val="0"/>
        </w:rPr>
      </w:pPr>
    </w:p>
    <w:p w14:paraId="3EE64712" w14:textId="77777777" w:rsidR="00307B50" w:rsidRPr="00037DA8" w:rsidRDefault="00307B50" w:rsidP="00307B50">
      <w:pPr>
        <w:tabs>
          <w:tab w:val="left" w:pos="567"/>
        </w:tabs>
        <w:spacing w:after="0" w:line="260" w:lineRule="exact"/>
        <w:rPr>
          <w:rFonts w:ascii="Times New Roman" w:eastAsia="Times New Roman" w:hAnsi="Times New Roman"/>
          <w:noProof/>
          <w:snapToGrid w:val="0"/>
        </w:rPr>
      </w:pPr>
      <w:r w:rsidRPr="0085406C">
        <w:rPr>
          <w:rFonts w:ascii="Times New Roman" w:eastAsia="Times New Roman" w:hAnsi="Times New Roman"/>
          <w:noProof/>
          <w:snapToGrid w:val="0"/>
        </w:rPr>
        <w:t>Jeigu bet kuri iš tokių reakcijų išlieka ir vartojant 20 mg/m</w:t>
      </w:r>
      <w:r w:rsidRPr="0085406C">
        <w:rPr>
          <w:rFonts w:ascii="Times New Roman" w:eastAsia="Times New Roman" w:hAnsi="Times New Roman"/>
          <w:noProof/>
          <w:snapToGrid w:val="0"/>
          <w:vertAlign w:val="superscript"/>
        </w:rPr>
        <w:t>2</w:t>
      </w:r>
      <w:r w:rsidRPr="0085406C">
        <w:rPr>
          <w:rFonts w:ascii="Times New Roman" w:eastAsia="Times New Roman" w:hAnsi="Times New Roman"/>
          <w:noProof/>
          <w:snapToGrid w:val="0"/>
        </w:rPr>
        <w:t xml:space="preserve"> dozę, gali</w:t>
      </w:r>
      <w:r w:rsidR="00CA2DDC" w:rsidRPr="004200DB">
        <w:rPr>
          <w:rFonts w:ascii="Times New Roman" w:eastAsia="Times New Roman" w:hAnsi="Times New Roman"/>
          <w:noProof/>
          <w:snapToGrid w:val="0"/>
        </w:rPr>
        <w:t xml:space="preserve"> būti</w:t>
      </w:r>
      <w:r w:rsidRPr="004200DB">
        <w:rPr>
          <w:rFonts w:ascii="Times New Roman" w:eastAsia="Times New Roman" w:hAnsi="Times New Roman"/>
          <w:noProof/>
          <w:snapToGrid w:val="0"/>
        </w:rPr>
        <w:t xml:space="preserve"> apsvarstyt</w:t>
      </w:r>
      <w:r w:rsidR="00CA2DDC" w:rsidRPr="004200DB">
        <w:rPr>
          <w:rFonts w:ascii="Times New Roman" w:eastAsia="Times New Roman" w:hAnsi="Times New Roman"/>
          <w:noProof/>
          <w:snapToGrid w:val="0"/>
        </w:rPr>
        <w:t>as</w:t>
      </w:r>
      <w:r w:rsidRPr="00037DA8">
        <w:rPr>
          <w:rFonts w:ascii="Times New Roman" w:eastAsia="Times New Roman" w:hAnsi="Times New Roman"/>
          <w:noProof/>
          <w:snapToGrid w:val="0"/>
        </w:rPr>
        <w:t xml:space="preserve"> dozės sumažinim</w:t>
      </w:r>
      <w:r w:rsidR="00CA2DDC" w:rsidRPr="00037DA8">
        <w:rPr>
          <w:rFonts w:ascii="Times New Roman" w:eastAsia="Times New Roman" w:hAnsi="Times New Roman"/>
          <w:noProof/>
          <w:snapToGrid w:val="0"/>
        </w:rPr>
        <w:t>as</w:t>
      </w:r>
      <w:r w:rsidRPr="00037DA8">
        <w:rPr>
          <w:rFonts w:ascii="Times New Roman" w:eastAsia="Times New Roman" w:hAnsi="Times New Roman"/>
          <w:noProof/>
          <w:snapToGrid w:val="0"/>
        </w:rPr>
        <w:t xml:space="preserve"> iki 15 mg/m</w:t>
      </w:r>
      <w:r w:rsidRPr="00037DA8">
        <w:rPr>
          <w:rFonts w:ascii="Times New Roman" w:eastAsia="Times New Roman" w:hAnsi="Times New Roman"/>
          <w:noProof/>
          <w:snapToGrid w:val="0"/>
          <w:vertAlign w:val="superscript"/>
        </w:rPr>
        <w:t>2</w:t>
      </w:r>
      <w:r w:rsidRPr="00037DA8">
        <w:rPr>
          <w:rFonts w:ascii="Times New Roman" w:eastAsia="Times New Roman" w:hAnsi="Times New Roman"/>
          <w:noProof/>
          <w:snapToGrid w:val="0"/>
        </w:rPr>
        <w:t xml:space="preserve"> arba Cabazitaxel Sandoz vartojimo nutraukim</w:t>
      </w:r>
      <w:r w:rsidR="00CA2DDC" w:rsidRPr="00037DA8">
        <w:rPr>
          <w:rFonts w:ascii="Times New Roman" w:eastAsia="Times New Roman" w:hAnsi="Times New Roman"/>
          <w:noProof/>
          <w:snapToGrid w:val="0"/>
        </w:rPr>
        <w:t>as</w:t>
      </w:r>
      <w:r w:rsidRPr="00037DA8">
        <w:rPr>
          <w:rFonts w:ascii="Times New Roman" w:eastAsia="Times New Roman" w:hAnsi="Times New Roman"/>
          <w:noProof/>
          <w:snapToGrid w:val="0"/>
        </w:rPr>
        <w:t>. Duomenų apie mažesnę kaip 20</w:t>
      </w:r>
      <w:r w:rsidR="00CA2DDC" w:rsidRPr="00037DA8">
        <w:rPr>
          <w:rFonts w:ascii="Times New Roman" w:eastAsia="Times New Roman" w:hAnsi="Times New Roman"/>
          <w:noProof/>
          <w:snapToGrid w:val="0"/>
        </w:rPr>
        <w:t> </w:t>
      </w:r>
      <w:r w:rsidRPr="00037DA8">
        <w:rPr>
          <w:rFonts w:ascii="Times New Roman" w:eastAsia="Times New Roman" w:hAnsi="Times New Roman"/>
          <w:noProof/>
          <w:snapToGrid w:val="0"/>
        </w:rPr>
        <w:t>mg/m</w:t>
      </w:r>
      <w:r w:rsidRPr="00037DA8">
        <w:rPr>
          <w:rFonts w:ascii="Times New Roman" w:eastAsia="Times New Roman" w:hAnsi="Times New Roman"/>
          <w:noProof/>
          <w:snapToGrid w:val="0"/>
          <w:vertAlign w:val="superscript"/>
        </w:rPr>
        <w:t>2</w:t>
      </w:r>
      <w:r w:rsidR="00CA2DDC" w:rsidRPr="00037DA8">
        <w:rPr>
          <w:rFonts w:ascii="Times New Roman" w:eastAsia="Times New Roman" w:hAnsi="Times New Roman"/>
          <w:noProof/>
          <w:snapToGrid w:val="0"/>
          <w:vertAlign w:val="superscript"/>
        </w:rPr>
        <w:t xml:space="preserve"> </w:t>
      </w:r>
      <w:r w:rsidRPr="00037DA8">
        <w:rPr>
          <w:rFonts w:ascii="Times New Roman" w:eastAsia="Times New Roman" w:hAnsi="Times New Roman"/>
          <w:noProof/>
          <w:snapToGrid w:val="0"/>
        </w:rPr>
        <w:t>dozę vartojančius pacientus yra nedaug.</w:t>
      </w:r>
    </w:p>
    <w:p w14:paraId="23414699" w14:textId="77777777" w:rsidR="00CA2DDC" w:rsidRPr="00037DA8" w:rsidRDefault="00CA2DDC" w:rsidP="00307B50">
      <w:pPr>
        <w:tabs>
          <w:tab w:val="left" w:pos="567"/>
        </w:tabs>
        <w:spacing w:after="0" w:line="260" w:lineRule="exact"/>
        <w:rPr>
          <w:rFonts w:ascii="Times New Roman" w:eastAsia="Times New Roman" w:hAnsi="Times New Roman"/>
          <w:noProof/>
          <w:snapToGrid w:val="0"/>
        </w:rPr>
      </w:pPr>
    </w:p>
    <w:p w14:paraId="1A3E12E2" w14:textId="77777777" w:rsidR="00665C6E" w:rsidRPr="00037DA8" w:rsidRDefault="00CA2DDC" w:rsidP="00307B50">
      <w:pPr>
        <w:tabs>
          <w:tab w:val="left" w:pos="567"/>
        </w:tabs>
        <w:spacing w:after="0" w:line="260" w:lineRule="exact"/>
        <w:rPr>
          <w:rFonts w:ascii="Times New Roman" w:eastAsia="Times New Roman" w:hAnsi="Times New Roman"/>
          <w:i/>
          <w:noProof/>
          <w:snapToGrid w:val="0"/>
          <w:u w:val="single"/>
        </w:rPr>
      </w:pPr>
      <w:r w:rsidRPr="00037DA8">
        <w:rPr>
          <w:rFonts w:ascii="Times New Roman" w:eastAsia="Times New Roman" w:hAnsi="Times New Roman"/>
          <w:i/>
          <w:noProof/>
          <w:snapToGrid w:val="0"/>
          <w:u w:val="single"/>
        </w:rPr>
        <w:t>Ypatingos populiacijos</w:t>
      </w:r>
    </w:p>
    <w:p w14:paraId="5A671D86" w14:textId="77777777" w:rsidR="00665C6E" w:rsidRPr="00037DA8" w:rsidRDefault="00665C6E" w:rsidP="00267DDB">
      <w:pPr>
        <w:tabs>
          <w:tab w:val="left" w:pos="567"/>
        </w:tabs>
        <w:spacing w:after="0" w:line="260" w:lineRule="exact"/>
        <w:rPr>
          <w:rFonts w:ascii="Times New Roman" w:eastAsia="Times New Roman" w:hAnsi="Times New Roman"/>
          <w:noProof/>
          <w:snapToGrid w:val="0"/>
        </w:rPr>
      </w:pPr>
    </w:p>
    <w:p w14:paraId="40E48B13" w14:textId="77777777" w:rsidR="00CA2DDC" w:rsidRPr="00037DA8" w:rsidRDefault="00CA2DDC" w:rsidP="00CA2DDC">
      <w:pPr>
        <w:tabs>
          <w:tab w:val="left" w:pos="567"/>
        </w:tabs>
        <w:spacing w:after="0" w:line="260" w:lineRule="exact"/>
        <w:rPr>
          <w:rFonts w:ascii="Times New Roman" w:eastAsia="Times New Roman" w:hAnsi="Times New Roman"/>
          <w:i/>
          <w:noProof/>
          <w:snapToGrid w:val="0"/>
        </w:rPr>
      </w:pPr>
      <w:r w:rsidRPr="00037DA8">
        <w:rPr>
          <w:rFonts w:ascii="Times New Roman" w:eastAsia="Times New Roman" w:hAnsi="Times New Roman"/>
          <w:i/>
          <w:noProof/>
          <w:snapToGrid w:val="0"/>
        </w:rPr>
        <w:t>Pacientams, kurių kepenų funkcija sutrikusi</w:t>
      </w:r>
    </w:p>
    <w:p w14:paraId="1AB8393D" w14:textId="7609F75A" w:rsidR="00CA2DDC" w:rsidRPr="00037DA8" w:rsidRDefault="00CA2DDC" w:rsidP="00CA2DDC">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Kabazitakselis ekstensyviai metabolizuojamas kepenyse. Pacientams, kuriems yra lengvas kepenų funkcijos sutrikimas (bendras bilirubino kiekis nuo &gt;</w:t>
      </w:r>
      <w:r w:rsidR="00F069B9">
        <w:rPr>
          <w:rFonts w:ascii="Times New Roman" w:eastAsia="Times New Roman" w:hAnsi="Times New Roman"/>
          <w:noProof/>
          <w:snapToGrid w:val="0"/>
        </w:rPr>
        <w:t> </w:t>
      </w:r>
      <w:r w:rsidRPr="00037DA8">
        <w:rPr>
          <w:rFonts w:ascii="Times New Roman" w:eastAsia="Times New Roman" w:hAnsi="Times New Roman"/>
          <w:noProof/>
          <w:snapToGrid w:val="0"/>
        </w:rPr>
        <w:t>1 iki ≤</w:t>
      </w:r>
      <w:r w:rsidR="00F069B9">
        <w:rPr>
          <w:rFonts w:ascii="Times New Roman" w:eastAsia="Times New Roman" w:hAnsi="Times New Roman"/>
          <w:noProof/>
          <w:snapToGrid w:val="0"/>
        </w:rPr>
        <w:t> </w:t>
      </w:r>
      <w:r w:rsidRPr="00037DA8">
        <w:rPr>
          <w:rFonts w:ascii="Times New Roman" w:eastAsia="Times New Roman" w:hAnsi="Times New Roman"/>
          <w:noProof/>
          <w:snapToGrid w:val="0"/>
        </w:rPr>
        <w:t xml:space="preserve">1,5 x viršutinė normos riba [VNR] arba </w:t>
      </w:r>
      <w:r w:rsidR="00BE5989" w:rsidRPr="00BE5989">
        <w:rPr>
          <w:rFonts w:ascii="Times New Roman" w:eastAsia="Times New Roman" w:hAnsi="Times New Roman"/>
          <w:noProof/>
          <w:snapToGrid w:val="0"/>
        </w:rPr>
        <w:t>aspartato aminotransferazės</w:t>
      </w:r>
      <w:r w:rsidR="00BE5989" w:rsidRPr="00A1477B">
        <w:rPr>
          <w:rFonts w:ascii="Times New Roman" w:eastAsia="Times New Roman" w:hAnsi="Times New Roman"/>
          <w:noProof/>
          <w:snapToGrid w:val="0"/>
        </w:rPr>
        <w:t xml:space="preserve"> (</w:t>
      </w:r>
      <w:r w:rsidRPr="00037DA8">
        <w:rPr>
          <w:rFonts w:ascii="Times New Roman" w:eastAsia="Times New Roman" w:hAnsi="Times New Roman"/>
          <w:noProof/>
          <w:snapToGrid w:val="0"/>
        </w:rPr>
        <w:t>AST</w:t>
      </w:r>
      <w:r w:rsidR="00BE5989">
        <w:rPr>
          <w:rFonts w:ascii="Times New Roman" w:eastAsia="Times New Roman" w:hAnsi="Times New Roman"/>
          <w:noProof/>
          <w:snapToGrid w:val="0"/>
        </w:rPr>
        <w:t>)</w:t>
      </w:r>
      <w:r w:rsidRPr="00037DA8">
        <w:rPr>
          <w:rFonts w:ascii="Times New Roman" w:eastAsia="Times New Roman" w:hAnsi="Times New Roman"/>
          <w:noProof/>
          <w:snapToGrid w:val="0"/>
        </w:rPr>
        <w:t xml:space="preserve"> &gt; 1,5 x VNR), kabazitakselio dozę reikia sumažinti iki 20 mg/m</w:t>
      </w:r>
      <w:r w:rsidRPr="00037DA8">
        <w:rPr>
          <w:rFonts w:ascii="Times New Roman" w:eastAsia="Times New Roman" w:hAnsi="Times New Roman"/>
          <w:noProof/>
          <w:snapToGrid w:val="0"/>
          <w:vertAlign w:val="superscript"/>
        </w:rPr>
        <w:t>2</w:t>
      </w:r>
      <w:r w:rsidRPr="00037DA8">
        <w:rPr>
          <w:rFonts w:ascii="Times New Roman" w:eastAsia="Times New Roman" w:hAnsi="Times New Roman"/>
          <w:noProof/>
          <w:snapToGrid w:val="0"/>
        </w:rPr>
        <w:t>. Pacientams, kuriems yra lengvas kepenų funkcijos sutrikimas, kabazitakselio reikia vartoti atsargiai ir atidžiai stebėti saugumo parametrus.</w:t>
      </w:r>
    </w:p>
    <w:p w14:paraId="28788AC4" w14:textId="77777777" w:rsidR="00CA2DDC" w:rsidRPr="00037DA8" w:rsidRDefault="00CA2DDC" w:rsidP="00CA2DDC">
      <w:pPr>
        <w:tabs>
          <w:tab w:val="left" w:pos="567"/>
        </w:tabs>
        <w:spacing w:after="0" w:line="260" w:lineRule="exact"/>
        <w:rPr>
          <w:rFonts w:ascii="Times New Roman" w:eastAsia="Times New Roman" w:hAnsi="Times New Roman"/>
          <w:noProof/>
          <w:snapToGrid w:val="0"/>
        </w:rPr>
      </w:pPr>
    </w:p>
    <w:p w14:paraId="33703E1F" w14:textId="03D62148" w:rsidR="00CA2DDC" w:rsidRPr="00037DA8" w:rsidRDefault="00CA2DDC" w:rsidP="00CA2DDC">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Pacientams, kuriems yra vidutinio sunkumo kepenų funkcijos sutrikimas (bendras bilirubino kiekis nuo &gt;</w:t>
      </w:r>
      <w:r w:rsidR="000025EE">
        <w:rPr>
          <w:rFonts w:ascii="Times New Roman" w:eastAsia="Times New Roman" w:hAnsi="Times New Roman"/>
          <w:noProof/>
          <w:snapToGrid w:val="0"/>
        </w:rPr>
        <w:t> </w:t>
      </w:r>
      <w:r w:rsidRPr="00037DA8">
        <w:rPr>
          <w:rFonts w:ascii="Times New Roman" w:eastAsia="Times New Roman" w:hAnsi="Times New Roman"/>
          <w:noProof/>
          <w:snapToGrid w:val="0"/>
        </w:rPr>
        <w:t>1,5 iki ≤</w:t>
      </w:r>
      <w:r w:rsidR="000025EE">
        <w:rPr>
          <w:rFonts w:ascii="Times New Roman" w:eastAsia="Times New Roman" w:hAnsi="Times New Roman"/>
          <w:noProof/>
          <w:snapToGrid w:val="0"/>
        </w:rPr>
        <w:t> </w:t>
      </w:r>
      <w:r w:rsidRPr="00037DA8">
        <w:rPr>
          <w:rFonts w:ascii="Times New Roman" w:eastAsia="Times New Roman" w:hAnsi="Times New Roman"/>
          <w:noProof/>
          <w:snapToGrid w:val="0"/>
        </w:rPr>
        <w:t>3,0 x VNR), maksimali toleruojama dozė (MTD) buvo 15 mg/m</w:t>
      </w:r>
      <w:r w:rsidRPr="00037DA8">
        <w:rPr>
          <w:rFonts w:ascii="Times New Roman" w:eastAsia="Times New Roman" w:hAnsi="Times New Roman"/>
          <w:noProof/>
          <w:snapToGrid w:val="0"/>
          <w:vertAlign w:val="superscript"/>
        </w:rPr>
        <w:t>2</w:t>
      </w:r>
      <w:r w:rsidRPr="00037DA8">
        <w:rPr>
          <w:rFonts w:ascii="Times New Roman" w:eastAsia="Times New Roman" w:hAnsi="Times New Roman"/>
          <w:noProof/>
          <w:snapToGrid w:val="0"/>
        </w:rPr>
        <w:t>. Jeigu numatyta taikyti gydymą pacientams, kuriems yra vidutinio sunkumo kepenų funkcijos sutrikimas, kabazitakselio dozė turi būti ne didesnė kaip 15 mg/m</w:t>
      </w:r>
      <w:r w:rsidRPr="00037DA8">
        <w:rPr>
          <w:rFonts w:ascii="Times New Roman" w:eastAsia="Times New Roman" w:hAnsi="Times New Roman"/>
          <w:noProof/>
          <w:snapToGrid w:val="0"/>
          <w:vertAlign w:val="superscript"/>
        </w:rPr>
        <w:t>2</w:t>
      </w:r>
      <w:r w:rsidRPr="00037DA8">
        <w:rPr>
          <w:rFonts w:ascii="Times New Roman" w:eastAsia="Times New Roman" w:hAnsi="Times New Roman"/>
          <w:noProof/>
          <w:snapToGrid w:val="0"/>
        </w:rPr>
        <w:t>. Vis dėlto duomenų apie tokios dozės veiksmingumą yra nedaug.</w:t>
      </w:r>
    </w:p>
    <w:p w14:paraId="740BF896" w14:textId="7B914051" w:rsidR="00665C6E" w:rsidRPr="00037DA8" w:rsidRDefault="00CA2DDC" w:rsidP="00CA2DDC">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lastRenderedPageBreak/>
        <w:t>Pacientams, kuriems yra sunkus kepenų funkcijos sutrikimas (bendras bilirubino kiekis &gt;</w:t>
      </w:r>
      <w:r w:rsidR="000025EE">
        <w:rPr>
          <w:rFonts w:ascii="Times New Roman" w:eastAsia="Times New Roman" w:hAnsi="Times New Roman"/>
          <w:noProof/>
          <w:snapToGrid w:val="0"/>
        </w:rPr>
        <w:t> </w:t>
      </w:r>
      <w:r w:rsidRPr="00037DA8">
        <w:rPr>
          <w:rFonts w:ascii="Times New Roman" w:eastAsia="Times New Roman" w:hAnsi="Times New Roman"/>
          <w:noProof/>
          <w:snapToGrid w:val="0"/>
        </w:rPr>
        <w:t>3 x VNR), kabazitakselio turi būti neskiriama (žr. 4.3, 4.4 ir 5.2</w:t>
      </w:r>
      <w:r w:rsidR="00E42158">
        <w:rPr>
          <w:rFonts w:ascii="Times New Roman" w:eastAsia="Times New Roman" w:hAnsi="Times New Roman"/>
          <w:noProof/>
          <w:snapToGrid w:val="0"/>
        </w:rPr>
        <w:t> </w:t>
      </w:r>
      <w:r w:rsidRPr="00037DA8">
        <w:rPr>
          <w:rFonts w:ascii="Times New Roman" w:eastAsia="Times New Roman" w:hAnsi="Times New Roman"/>
          <w:noProof/>
          <w:snapToGrid w:val="0"/>
        </w:rPr>
        <w:t>skyrius).</w:t>
      </w:r>
    </w:p>
    <w:p w14:paraId="0A4C7DB8" w14:textId="77777777" w:rsidR="00665C6E" w:rsidRPr="00037DA8" w:rsidRDefault="00665C6E" w:rsidP="00267DDB">
      <w:pPr>
        <w:tabs>
          <w:tab w:val="left" w:pos="567"/>
        </w:tabs>
        <w:spacing w:after="0" w:line="260" w:lineRule="exact"/>
        <w:rPr>
          <w:rFonts w:ascii="Times New Roman" w:eastAsia="Times New Roman" w:hAnsi="Times New Roman"/>
          <w:noProof/>
          <w:snapToGrid w:val="0"/>
        </w:rPr>
      </w:pPr>
    </w:p>
    <w:p w14:paraId="337FACA0" w14:textId="77777777" w:rsidR="00376894" w:rsidRPr="00037DA8" w:rsidRDefault="00376894" w:rsidP="00376894">
      <w:pPr>
        <w:tabs>
          <w:tab w:val="left" w:pos="567"/>
        </w:tabs>
        <w:spacing w:after="0" w:line="260" w:lineRule="exact"/>
        <w:rPr>
          <w:rFonts w:ascii="Times New Roman" w:eastAsia="Times New Roman" w:hAnsi="Times New Roman"/>
          <w:i/>
          <w:noProof/>
          <w:snapToGrid w:val="0"/>
        </w:rPr>
      </w:pPr>
      <w:r w:rsidRPr="00037DA8">
        <w:rPr>
          <w:rFonts w:ascii="Times New Roman" w:eastAsia="Times New Roman" w:hAnsi="Times New Roman"/>
          <w:i/>
          <w:noProof/>
          <w:snapToGrid w:val="0"/>
        </w:rPr>
        <w:t>Pacientams, kurių inkstų funkcija sutrikusi</w:t>
      </w:r>
    </w:p>
    <w:p w14:paraId="440E331E" w14:textId="0E5D69B3" w:rsidR="00376894" w:rsidRPr="00037DA8" w:rsidRDefault="00376894" w:rsidP="00376894">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Pro inkstus kabazitakselio išskiriama labai mažai. Pacientams, kuriems yra inkstų funkcijos sutrikimas, tačiau gydymas hemodializėmis nereikalingas, dozės koreguoti nereikia. Pacientai, kuriems yra galutinės stadijos inkstų liga (kreatinino klirensas [CLCR] &lt;</w:t>
      </w:r>
      <w:r w:rsidR="000025EE">
        <w:rPr>
          <w:rFonts w:ascii="Times New Roman" w:eastAsia="Times New Roman" w:hAnsi="Times New Roman"/>
          <w:noProof/>
          <w:snapToGrid w:val="0"/>
        </w:rPr>
        <w:t> </w:t>
      </w:r>
      <w:r w:rsidRPr="00037DA8">
        <w:rPr>
          <w:rFonts w:ascii="Times New Roman" w:eastAsia="Times New Roman" w:hAnsi="Times New Roman"/>
          <w:noProof/>
          <w:snapToGrid w:val="0"/>
        </w:rPr>
        <w:t>15 ml/min./1,73</w:t>
      </w:r>
      <w:r w:rsidR="000025EE">
        <w:rPr>
          <w:rFonts w:ascii="Times New Roman" w:eastAsia="Times New Roman" w:hAnsi="Times New Roman"/>
          <w:noProof/>
          <w:snapToGrid w:val="0"/>
        </w:rPr>
        <w:t> </w:t>
      </w:r>
      <w:r w:rsidRPr="00037DA8">
        <w:rPr>
          <w:rFonts w:ascii="Times New Roman" w:eastAsia="Times New Roman" w:hAnsi="Times New Roman"/>
          <w:noProof/>
          <w:snapToGrid w:val="0"/>
        </w:rPr>
        <w:t>m</w:t>
      </w:r>
      <w:r w:rsidRPr="00037DA8">
        <w:rPr>
          <w:rFonts w:ascii="Times New Roman" w:eastAsia="Times New Roman" w:hAnsi="Times New Roman"/>
          <w:noProof/>
          <w:snapToGrid w:val="0"/>
          <w:vertAlign w:val="superscript"/>
        </w:rPr>
        <w:t>2</w:t>
      </w:r>
      <w:r w:rsidRPr="00037DA8">
        <w:rPr>
          <w:rFonts w:ascii="Times New Roman" w:eastAsia="Times New Roman" w:hAnsi="Times New Roman"/>
          <w:noProof/>
          <w:snapToGrid w:val="0"/>
        </w:rPr>
        <w:t>), atsižvelgiant į jų būklę ir nedidelį kiekį duomenų, turi būti gydomi atsargiai ir gydymo metu atidžiai stebimi</w:t>
      </w:r>
      <w:r w:rsidR="007E1856">
        <w:rPr>
          <w:rFonts w:ascii="Times New Roman" w:eastAsia="Times New Roman" w:hAnsi="Times New Roman"/>
          <w:noProof/>
          <w:snapToGrid w:val="0"/>
        </w:rPr>
        <w:t xml:space="preserve"> (žr. </w:t>
      </w:r>
      <w:r w:rsidR="007E1856" w:rsidRPr="00376617">
        <w:rPr>
          <w:rFonts w:ascii="Times New Roman" w:eastAsia="Times New Roman" w:hAnsi="Times New Roman"/>
          <w:noProof/>
          <w:snapToGrid w:val="0"/>
        </w:rPr>
        <w:t>4.4 ir 5.2</w:t>
      </w:r>
      <w:r w:rsidR="00E42158">
        <w:rPr>
          <w:rFonts w:ascii="Times New Roman" w:eastAsia="Times New Roman" w:hAnsi="Times New Roman"/>
          <w:noProof/>
          <w:snapToGrid w:val="0"/>
        </w:rPr>
        <w:t> </w:t>
      </w:r>
      <w:r w:rsidR="007E1856" w:rsidRPr="00376617">
        <w:rPr>
          <w:rFonts w:ascii="Times New Roman" w:eastAsia="Times New Roman" w:hAnsi="Times New Roman"/>
          <w:noProof/>
          <w:snapToGrid w:val="0"/>
        </w:rPr>
        <w:t>skyrius)</w:t>
      </w:r>
      <w:r w:rsidRPr="00037DA8">
        <w:rPr>
          <w:rFonts w:ascii="Times New Roman" w:eastAsia="Times New Roman" w:hAnsi="Times New Roman"/>
          <w:noProof/>
          <w:snapToGrid w:val="0"/>
        </w:rPr>
        <w:t>.</w:t>
      </w:r>
    </w:p>
    <w:p w14:paraId="6FCBDA31" w14:textId="77777777" w:rsidR="00376894" w:rsidRPr="00037DA8" w:rsidRDefault="00376894" w:rsidP="00376894">
      <w:pPr>
        <w:tabs>
          <w:tab w:val="left" w:pos="567"/>
        </w:tabs>
        <w:spacing w:after="0" w:line="260" w:lineRule="exact"/>
        <w:rPr>
          <w:rFonts w:ascii="Times New Roman" w:eastAsia="Times New Roman" w:hAnsi="Times New Roman"/>
          <w:noProof/>
          <w:snapToGrid w:val="0"/>
        </w:rPr>
      </w:pPr>
    </w:p>
    <w:p w14:paraId="7A7E70E6" w14:textId="77777777" w:rsidR="00376894" w:rsidRPr="00037DA8" w:rsidRDefault="00376894" w:rsidP="00376894">
      <w:pPr>
        <w:tabs>
          <w:tab w:val="left" w:pos="567"/>
        </w:tabs>
        <w:spacing w:after="0" w:line="260" w:lineRule="exact"/>
        <w:rPr>
          <w:rFonts w:ascii="Times New Roman" w:eastAsia="Times New Roman" w:hAnsi="Times New Roman"/>
          <w:i/>
          <w:noProof/>
          <w:snapToGrid w:val="0"/>
        </w:rPr>
      </w:pPr>
      <w:r w:rsidRPr="00037DA8">
        <w:rPr>
          <w:rFonts w:ascii="Times New Roman" w:eastAsia="Times New Roman" w:hAnsi="Times New Roman"/>
          <w:i/>
          <w:noProof/>
          <w:snapToGrid w:val="0"/>
        </w:rPr>
        <w:t>Senyviems pacientams</w:t>
      </w:r>
    </w:p>
    <w:p w14:paraId="5FBE255C" w14:textId="30ACBEB0" w:rsidR="00376894" w:rsidRPr="00037DA8" w:rsidRDefault="00376894" w:rsidP="00376894">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Specifini</w:t>
      </w:r>
      <w:r w:rsidR="00D25D9E" w:rsidRPr="00037DA8">
        <w:rPr>
          <w:rFonts w:ascii="Times New Roman" w:eastAsia="Times New Roman" w:hAnsi="Times New Roman"/>
          <w:noProof/>
          <w:snapToGrid w:val="0"/>
        </w:rPr>
        <w:t>s</w:t>
      </w:r>
      <w:r w:rsidRPr="00037DA8">
        <w:rPr>
          <w:rFonts w:ascii="Times New Roman" w:eastAsia="Times New Roman" w:hAnsi="Times New Roman"/>
          <w:noProof/>
          <w:snapToGrid w:val="0"/>
        </w:rPr>
        <w:t xml:space="preserve"> dozės keitim</w:t>
      </w:r>
      <w:r w:rsidR="00D25D9E" w:rsidRPr="00037DA8">
        <w:rPr>
          <w:rFonts w:ascii="Times New Roman" w:eastAsia="Times New Roman" w:hAnsi="Times New Roman"/>
          <w:noProof/>
          <w:snapToGrid w:val="0"/>
        </w:rPr>
        <w:t>as</w:t>
      </w:r>
      <w:r w:rsidRPr="00037DA8">
        <w:rPr>
          <w:rFonts w:ascii="Times New Roman" w:eastAsia="Times New Roman" w:hAnsi="Times New Roman"/>
          <w:noProof/>
          <w:snapToGrid w:val="0"/>
        </w:rPr>
        <w:t xml:space="preserve"> kabazitakseli</w:t>
      </w:r>
      <w:r w:rsidR="00D25D9E" w:rsidRPr="00037DA8">
        <w:rPr>
          <w:rFonts w:ascii="Times New Roman" w:eastAsia="Times New Roman" w:hAnsi="Times New Roman"/>
          <w:noProof/>
          <w:snapToGrid w:val="0"/>
        </w:rPr>
        <w:t>o vartojant</w:t>
      </w:r>
      <w:r w:rsidRPr="00037DA8">
        <w:rPr>
          <w:rFonts w:ascii="Times New Roman" w:eastAsia="Times New Roman" w:hAnsi="Times New Roman"/>
          <w:noProof/>
          <w:snapToGrid w:val="0"/>
        </w:rPr>
        <w:t xml:space="preserve"> senyviems pacientams </w:t>
      </w:r>
      <w:r w:rsidR="00D25D9E" w:rsidRPr="00037DA8">
        <w:rPr>
          <w:rFonts w:ascii="Times New Roman" w:eastAsia="Times New Roman" w:hAnsi="Times New Roman"/>
          <w:noProof/>
          <w:snapToGrid w:val="0"/>
        </w:rPr>
        <w:t xml:space="preserve">yra </w:t>
      </w:r>
      <w:r w:rsidRPr="00037DA8">
        <w:rPr>
          <w:rFonts w:ascii="Times New Roman" w:eastAsia="Times New Roman" w:hAnsi="Times New Roman"/>
          <w:noProof/>
          <w:snapToGrid w:val="0"/>
        </w:rPr>
        <w:t>nerekomenduojama</w:t>
      </w:r>
      <w:r w:rsidR="00D25D9E" w:rsidRPr="00037DA8">
        <w:rPr>
          <w:rFonts w:ascii="Times New Roman" w:eastAsia="Times New Roman" w:hAnsi="Times New Roman"/>
          <w:noProof/>
          <w:snapToGrid w:val="0"/>
        </w:rPr>
        <w:t xml:space="preserve">s </w:t>
      </w:r>
      <w:r w:rsidRPr="00037DA8">
        <w:rPr>
          <w:rFonts w:ascii="Times New Roman" w:eastAsia="Times New Roman" w:hAnsi="Times New Roman"/>
          <w:noProof/>
          <w:snapToGrid w:val="0"/>
        </w:rPr>
        <w:t>(taip pat žr. 4.4, 4.8 ir 5.2</w:t>
      </w:r>
      <w:r w:rsidR="00E42158">
        <w:rPr>
          <w:rFonts w:ascii="Times New Roman" w:eastAsia="Times New Roman" w:hAnsi="Times New Roman"/>
          <w:noProof/>
          <w:snapToGrid w:val="0"/>
        </w:rPr>
        <w:t> </w:t>
      </w:r>
      <w:r w:rsidRPr="00037DA8">
        <w:rPr>
          <w:rFonts w:ascii="Times New Roman" w:eastAsia="Times New Roman" w:hAnsi="Times New Roman"/>
          <w:noProof/>
          <w:snapToGrid w:val="0"/>
        </w:rPr>
        <w:t>skyrius).</w:t>
      </w:r>
    </w:p>
    <w:p w14:paraId="1CAC135D" w14:textId="77777777" w:rsidR="00020996" w:rsidRPr="00037DA8" w:rsidRDefault="00020996" w:rsidP="00376894">
      <w:pPr>
        <w:tabs>
          <w:tab w:val="left" w:pos="567"/>
        </w:tabs>
        <w:spacing w:after="0" w:line="260" w:lineRule="exact"/>
        <w:rPr>
          <w:rFonts w:ascii="Times New Roman" w:eastAsia="Times New Roman" w:hAnsi="Times New Roman"/>
          <w:noProof/>
          <w:snapToGrid w:val="0"/>
        </w:rPr>
      </w:pPr>
    </w:p>
    <w:p w14:paraId="106FA191" w14:textId="77777777" w:rsidR="00376894" w:rsidRPr="00037DA8" w:rsidRDefault="00376894" w:rsidP="00376894">
      <w:pPr>
        <w:tabs>
          <w:tab w:val="left" w:pos="567"/>
        </w:tabs>
        <w:spacing w:after="0" w:line="260" w:lineRule="exact"/>
        <w:rPr>
          <w:rFonts w:ascii="Times New Roman" w:eastAsia="Times New Roman" w:hAnsi="Times New Roman"/>
          <w:i/>
          <w:noProof/>
          <w:snapToGrid w:val="0"/>
        </w:rPr>
      </w:pPr>
      <w:r w:rsidRPr="00037DA8">
        <w:rPr>
          <w:rFonts w:ascii="Times New Roman" w:eastAsia="Times New Roman" w:hAnsi="Times New Roman"/>
          <w:i/>
          <w:noProof/>
          <w:snapToGrid w:val="0"/>
        </w:rPr>
        <w:t>Kartu vartojami vaistiniai preparatai</w:t>
      </w:r>
    </w:p>
    <w:p w14:paraId="2595F5CB" w14:textId="6E1C246D" w:rsidR="00020996" w:rsidRPr="004200DB" w:rsidRDefault="00376894" w:rsidP="00020996">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Tuo pat metu vartoti vaistinių preparatų, kurie yra stiprūs induktoriai ar</w:t>
      </w:r>
      <w:r w:rsidR="00020996" w:rsidRPr="00037DA8">
        <w:rPr>
          <w:rFonts w:ascii="Times New Roman" w:eastAsia="Times New Roman" w:hAnsi="Times New Roman"/>
          <w:noProof/>
          <w:snapToGrid w:val="0"/>
        </w:rPr>
        <w:t>ba</w:t>
      </w:r>
      <w:r w:rsidRPr="00037DA8">
        <w:rPr>
          <w:rFonts w:ascii="Times New Roman" w:eastAsia="Times New Roman" w:hAnsi="Times New Roman"/>
          <w:noProof/>
          <w:snapToGrid w:val="0"/>
        </w:rPr>
        <w:t xml:space="preserve"> stiprūs </w:t>
      </w:r>
      <w:r w:rsidR="00020996" w:rsidRPr="00037DA8">
        <w:rPr>
          <w:rFonts w:ascii="Times New Roman" w:eastAsia="Times New Roman" w:hAnsi="Times New Roman"/>
          <w:noProof/>
          <w:snapToGrid w:val="0"/>
        </w:rPr>
        <w:t xml:space="preserve">CYP3A </w:t>
      </w:r>
      <w:r w:rsidRPr="00037DA8">
        <w:rPr>
          <w:rFonts w:ascii="Times New Roman" w:eastAsia="Times New Roman" w:hAnsi="Times New Roman"/>
          <w:noProof/>
          <w:snapToGrid w:val="0"/>
        </w:rPr>
        <w:t>inhibitoriai</w:t>
      </w:r>
      <w:r w:rsidR="00020996" w:rsidRPr="00037DA8">
        <w:rPr>
          <w:rFonts w:ascii="Times New Roman" w:hAnsi="Times New Roman"/>
        </w:rPr>
        <w:t xml:space="preserve"> </w:t>
      </w:r>
      <w:r w:rsidR="00020996" w:rsidRPr="00074768">
        <w:rPr>
          <w:rFonts w:ascii="Times New Roman" w:eastAsia="Times New Roman" w:hAnsi="Times New Roman"/>
          <w:noProof/>
          <w:snapToGrid w:val="0"/>
        </w:rPr>
        <w:t>turi būti vengiama. Vis dėlto, jeigu pacientui būtina kartu skirti stipraus CYP3A inhibitoriaus, turi būti apsvarsty</w:t>
      </w:r>
      <w:r w:rsidR="00020996" w:rsidRPr="0085406C">
        <w:rPr>
          <w:rFonts w:ascii="Times New Roman" w:eastAsia="Times New Roman" w:hAnsi="Times New Roman"/>
          <w:noProof/>
          <w:snapToGrid w:val="0"/>
        </w:rPr>
        <w:t>tas kabazitakselio dozės sumažinimas 25</w:t>
      </w:r>
      <w:r w:rsidR="000025EE">
        <w:rPr>
          <w:rFonts w:ascii="Times New Roman" w:eastAsia="Times New Roman" w:hAnsi="Times New Roman"/>
          <w:noProof/>
          <w:snapToGrid w:val="0"/>
        </w:rPr>
        <w:t> </w:t>
      </w:r>
      <w:r w:rsidR="00020996" w:rsidRPr="0085406C">
        <w:rPr>
          <w:rFonts w:ascii="Times New Roman" w:eastAsia="Times New Roman" w:hAnsi="Times New Roman"/>
          <w:noProof/>
          <w:snapToGrid w:val="0"/>
        </w:rPr>
        <w:t>% (žr. 4.4 ir 4.5</w:t>
      </w:r>
      <w:r w:rsidR="00E42158">
        <w:rPr>
          <w:rFonts w:ascii="Times New Roman" w:eastAsia="Times New Roman" w:hAnsi="Times New Roman"/>
          <w:noProof/>
          <w:snapToGrid w:val="0"/>
        </w:rPr>
        <w:t> </w:t>
      </w:r>
      <w:r w:rsidR="00020996" w:rsidRPr="0085406C">
        <w:rPr>
          <w:rFonts w:ascii="Times New Roman" w:eastAsia="Times New Roman" w:hAnsi="Times New Roman"/>
          <w:noProof/>
          <w:snapToGrid w:val="0"/>
        </w:rPr>
        <w:t>skyrius).</w:t>
      </w:r>
    </w:p>
    <w:p w14:paraId="0503367B" w14:textId="77777777" w:rsidR="00020996" w:rsidRPr="004200DB" w:rsidRDefault="00020996" w:rsidP="00020996">
      <w:pPr>
        <w:tabs>
          <w:tab w:val="left" w:pos="567"/>
        </w:tabs>
        <w:spacing w:after="0" w:line="260" w:lineRule="exact"/>
        <w:rPr>
          <w:rFonts w:ascii="Times New Roman" w:eastAsia="Times New Roman" w:hAnsi="Times New Roman"/>
          <w:noProof/>
          <w:snapToGrid w:val="0"/>
        </w:rPr>
      </w:pPr>
    </w:p>
    <w:p w14:paraId="674DB5F8" w14:textId="77777777" w:rsidR="00020996" w:rsidRPr="00037DA8" w:rsidRDefault="00020996" w:rsidP="00020996">
      <w:pPr>
        <w:tabs>
          <w:tab w:val="left" w:pos="567"/>
        </w:tabs>
        <w:spacing w:after="0" w:line="260" w:lineRule="exact"/>
        <w:rPr>
          <w:rFonts w:ascii="Times New Roman" w:eastAsia="Times New Roman" w:hAnsi="Times New Roman"/>
          <w:i/>
          <w:noProof/>
          <w:snapToGrid w:val="0"/>
        </w:rPr>
      </w:pPr>
      <w:r w:rsidRPr="00037DA8">
        <w:rPr>
          <w:rFonts w:ascii="Times New Roman" w:eastAsia="Times New Roman" w:hAnsi="Times New Roman"/>
          <w:i/>
          <w:noProof/>
          <w:snapToGrid w:val="0"/>
        </w:rPr>
        <w:t>Vaikų populiacija</w:t>
      </w:r>
    </w:p>
    <w:p w14:paraId="2B4AC828" w14:textId="77777777" w:rsidR="00020996" w:rsidRPr="00037DA8" w:rsidRDefault="00020996" w:rsidP="00020996">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Cabazitaxel Sandoz nėra skirtas vaikų populiacijai.</w:t>
      </w:r>
    </w:p>
    <w:p w14:paraId="6EED70EF" w14:textId="632C911A" w:rsidR="00963729" w:rsidRPr="00037DA8" w:rsidRDefault="00020996" w:rsidP="00020996">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Cabazitaxel Sandoz saugumas ir veiksmingumas vaikams ir jaunesniems kaip 18</w:t>
      </w:r>
      <w:r w:rsidR="000025EE">
        <w:rPr>
          <w:rFonts w:ascii="Times New Roman" w:eastAsia="Times New Roman" w:hAnsi="Times New Roman"/>
          <w:noProof/>
          <w:snapToGrid w:val="0"/>
        </w:rPr>
        <w:t> </w:t>
      </w:r>
      <w:r w:rsidRPr="00037DA8">
        <w:rPr>
          <w:rFonts w:ascii="Times New Roman" w:eastAsia="Times New Roman" w:hAnsi="Times New Roman"/>
          <w:noProof/>
          <w:snapToGrid w:val="0"/>
        </w:rPr>
        <w:t>metų paaugliams neištirti (žr.</w:t>
      </w:r>
      <w:r w:rsidR="00E42158">
        <w:rPr>
          <w:rFonts w:ascii="Times New Roman" w:eastAsia="Times New Roman" w:hAnsi="Times New Roman"/>
          <w:noProof/>
          <w:snapToGrid w:val="0"/>
        </w:rPr>
        <w:t> </w:t>
      </w:r>
      <w:r w:rsidRPr="00037DA8">
        <w:rPr>
          <w:rFonts w:ascii="Times New Roman" w:eastAsia="Times New Roman" w:hAnsi="Times New Roman"/>
          <w:noProof/>
          <w:snapToGrid w:val="0"/>
        </w:rPr>
        <w:t>5.1</w:t>
      </w:r>
      <w:r w:rsidR="00E42158">
        <w:rPr>
          <w:rFonts w:ascii="Times New Roman" w:eastAsia="Times New Roman" w:hAnsi="Times New Roman"/>
          <w:noProof/>
          <w:snapToGrid w:val="0"/>
        </w:rPr>
        <w:t> </w:t>
      </w:r>
      <w:r w:rsidRPr="00037DA8">
        <w:rPr>
          <w:rFonts w:ascii="Times New Roman" w:eastAsia="Times New Roman" w:hAnsi="Times New Roman"/>
          <w:noProof/>
          <w:snapToGrid w:val="0"/>
        </w:rPr>
        <w:t>skyrių).</w:t>
      </w:r>
    </w:p>
    <w:p w14:paraId="261268D4" w14:textId="77777777" w:rsidR="00376894" w:rsidRPr="00037DA8" w:rsidRDefault="00376894" w:rsidP="00267DDB">
      <w:pPr>
        <w:tabs>
          <w:tab w:val="left" w:pos="567"/>
        </w:tabs>
        <w:spacing w:after="0" w:line="260" w:lineRule="exact"/>
        <w:rPr>
          <w:rFonts w:ascii="Times New Roman" w:eastAsia="Times New Roman" w:hAnsi="Times New Roman"/>
          <w:noProof/>
          <w:snapToGrid w:val="0"/>
        </w:rPr>
      </w:pPr>
    </w:p>
    <w:p w14:paraId="2B4C44FD" w14:textId="77777777" w:rsidR="00ED2C1E" w:rsidRPr="00037DA8" w:rsidRDefault="00ED2C1E" w:rsidP="00ED2C1E">
      <w:pPr>
        <w:tabs>
          <w:tab w:val="left" w:pos="567"/>
        </w:tabs>
        <w:spacing w:after="0" w:line="260" w:lineRule="exact"/>
        <w:rPr>
          <w:rFonts w:ascii="Times New Roman" w:eastAsia="Times New Roman" w:hAnsi="Times New Roman"/>
          <w:noProof/>
          <w:snapToGrid w:val="0"/>
          <w:u w:val="single"/>
        </w:rPr>
      </w:pPr>
      <w:r w:rsidRPr="00037DA8">
        <w:rPr>
          <w:rFonts w:ascii="Times New Roman" w:eastAsia="Times New Roman" w:hAnsi="Times New Roman"/>
          <w:noProof/>
          <w:snapToGrid w:val="0"/>
          <w:u w:val="single"/>
        </w:rPr>
        <w:t>Vartojimo metodas</w:t>
      </w:r>
    </w:p>
    <w:p w14:paraId="25186F24" w14:textId="12034891" w:rsidR="00042ADB" w:rsidRDefault="00042ADB" w:rsidP="00ED2C1E">
      <w:pPr>
        <w:tabs>
          <w:tab w:val="left" w:pos="567"/>
        </w:tabs>
        <w:spacing w:after="0" w:line="260" w:lineRule="exact"/>
        <w:rPr>
          <w:rFonts w:ascii="Times New Roman" w:eastAsia="Times New Roman" w:hAnsi="Times New Roman"/>
          <w:noProof/>
          <w:snapToGrid w:val="0"/>
        </w:rPr>
      </w:pPr>
      <w:r w:rsidRPr="00042ADB">
        <w:rPr>
          <w:rFonts w:ascii="Times New Roman" w:eastAsia="Times New Roman" w:hAnsi="Times New Roman"/>
          <w:noProof/>
          <w:snapToGrid w:val="0"/>
        </w:rPr>
        <w:t>Cabazitaxel Sandoz skirtas leisti į veną.</w:t>
      </w:r>
    </w:p>
    <w:p w14:paraId="27FF6BB0" w14:textId="3FC77859" w:rsidR="00ED2C1E" w:rsidRPr="00037DA8" w:rsidRDefault="00ED2C1E" w:rsidP="00ED2C1E">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Nurodymai, kaip paruošti ir vartoti vaistinį preparatą, pateikti 6.6</w:t>
      </w:r>
      <w:r w:rsidR="00E42158">
        <w:rPr>
          <w:rFonts w:ascii="Times New Roman" w:eastAsia="Times New Roman" w:hAnsi="Times New Roman"/>
          <w:noProof/>
          <w:snapToGrid w:val="0"/>
        </w:rPr>
        <w:t> </w:t>
      </w:r>
      <w:r w:rsidRPr="00037DA8">
        <w:rPr>
          <w:rFonts w:ascii="Times New Roman" w:eastAsia="Times New Roman" w:hAnsi="Times New Roman"/>
          <w:noProof/>
          <w:snapToGrid w:val="0"/>
        </w:rPr>
        <w:t>skyriuje.</w:t>
      </w:r>
    </w:p>
    <w:p w14:paraId="0CD3073F" w14:textId="77777777" w:rsidR="00ED2C1E" w:rsidRPr="00037DA8" w:rsidRDefault="00ED2C1E" w:rsidP="00ED2C1E">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Negalima naudoti PVC infuzinių talpyklių ir poliuretano infuzinių rinkinių.</w:t>
      </w:r>
    </w:p>
    <w:p w14:paraId="16C9BA3B" w14:textId="6260C95E" w:rsidR="00376894" w:rsidRPr="00037DA8" w:rsidRDefault="0091109B" w:rsidP="00ED2C1E">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Cabazitaxel Sandoz</w:t>
      </w:r>
      <w:r w:rsidR="00ED2C1E" w:rsidRPr="00037DA8">
        <w:rPr>
          <w:rFonts w:ascii="Times New Roman" w:eastAsia="Times New Roman" w:hAnsi="Times New Roman"/>
          <w:noProof/>
          <w:snapToGrid w:val="0"/>
        </w:rPr>
        <w:t xml:space="preserve"> negalima maišyti su </w:t>
      </w:r>
      <w:r w:rsidRPr="00037DA8">
        <w:rPr>
          <w:rFonts w:ascii="Times New Roman" w:eastAsia="Times New Roman" w:hAnsi="Times New Roman"/>
          <w:noProof/>
          <w:snapToGrid w:val="0"/>
        </w:rPr>
        <w:t>kitais</w:t>
      </w:r>
      <w:r w:rsidR="007E1856">
        <w:rPr>
          <w:rFonts w:ascii="Times New Roman" w:eastAsia="Times New Roman" w:hAnsi="Times New Roman"/>
          <w:noProof/>
          <w:snapToGrid w:val="0"/>
        </w:rPr>
        <w:t xml:space="preserve"> </w:t>
      </w:r>
      <w:r w:rsidR="0072342C">
        <w:rPr>
          <w:rFonts w:ascii="Times New Roman" w:eastAsia="Times New Roman" w:hAnsi="Times New Roman"/>
          <w:noProof/>
          <w:snapToGrid w:val="0"/>
        </w:rPr>
        <w:t>vaistiniais preparatais</w:t>
      </w:r>
      <w:r w:rsidR="00ED2C1E" w:rsidRPr="00037DA8">
        <w:rPr>
          <w:rFonts w:ascii="Times New Roman" w:eastAsia="Times New Roman" w:hAnsi="Times New Roman"/>
          <w:noProof/>
          <w:snapToGrid w:val="0"/>
        </w:rPr>
        <w:t>, išskyrus nurodytus 6.6</w:t>
      </w:r>
      <w:r w:rsidR="00E42158">
        <w:rPr>
          <w:rFonts w:ascii="Times New Roman" w:eastAsia="Times New Roman" w:hAnsi="Times New Roman"/>
          <w:noProof/>
          <w:snapToGrid w:val="0"/>
        </w:rPr>
        <w:t> </w:t>
      </w:r>
      <w:r w:rsidR="00ED2C1E" w:rsidRPr="00037DA8">
        <w:rPr>
          <w:rFonts w:ascii="Times New Roman" w:eastAsia="Times New Roman" w:hAnsi="Times New Roman"/>
          <w:noProof/>
          <w:snapToGrid w:val="0"/>
        </w:rPr>
        <w:t>skyriuje</w:t>
      </w:r>
      <w:r w:rsidRPr="00037DA8">
        <w:rPr>
          <w:rFonts w:ascii="Times New Roman" w:eastAsia="Times New Roman" w:hAnsi="Times New Roman"/>
          <w:noProof/>
          <w:snapToGrid w:val="0"/>
        </w:rPr>
        <w:t>.</w:t>
      </w:r>
    </w:p>
    <w:p w14:paraId="53FA21B4"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3DEBE00A" w14:textId="77777777" w:rsidR="00267DDB" w:rsidRPr="00074768" w:rsidRDefault="00267DDB" w:rsidP="00F004F8">
      <w:pPr>
        <w:spacing w:after="0" w:line="240" w:lineRule="auto"/>
        <w:ind w:left="567" w:hanging="567"/>
        <w:rPr>
          <w:rFonts w:ascii="Times New Roman" w:hAnsi="Times New Roman"/>
          <w:b/>
          <w:snapToGrid w:val="0"/>
        </w:rPr>
      </w:pPr>
      <w:r w:rsidRPr="00074768">
        <w:rPr>
          <w:rFonts w:ascii="Times New Roman" w:hAnsi="Times New Roman"/>
          <w:b/>
          <w:snapToGrid w:val="0"/>
        </w:rPr>
        <w:t>4.3</w:t>
      </w:r>
      <w:r w:rsidRPr="00074768">
        <w:rPr>
          <w:rFonts w:ascii="Times New Roman" w:hAnsi="Times New Roman"/>
          <w:b/>
          <w:snapToGrid w:val="0"/>
        </w:rPr>
        <w:tab/>
        <w:t>Kontraindikacijos</w:t>
      </w:r>
    </w:p>
    <w:p w14:paraId="1CFEBDD2" w14:textId="77777777" w:rsidR="00267DDB" w:rsidRPr="0085406C" w:rsidRDefault="00267DDB" w:rsidP="00267DDB">
      <w:pPr>
        <w:tabs>
          <w:tab w:val="left" w:pos="567"/>
        </w:tabs>
        <w:spacing w:after="0" w:line="260" w:lineRule="exact"/>
        <w:rPr>
          <w:rFonts w:ascii="Times New Roman" w:eastAsia="Times New Roman" w:hAnsi="Times New Roman"/>
          <w:snapToGrid w:val="0"/>
        </w:rPr>
      </w:pPr>
    </w:p>
    <w:p w14:paraId="73C4E120" w14:textId="20D4D1AC" w:rsidR="00267DDB" w:rsidRPr="00037DA8" w:rsidRDefault="00267DDB" w:rsidP="008A75C3">
      <w:pPr>
        <w:pStyle w:val="Sraopastraipa"/>
        <w:numPr>
          <w:ilvl w:val="0"/>
          <w:numId w:val="4"/>
        </w:numPr>
        <w:ind w:left="567" w:hanging="567"/>
        <w:rPr>
          <w:szCs w:val="22"/>
          <w:lang w:val="lt-LT"/>
        </w:rPr>
      </w:pPr>
      <w:r w:rsidRPr="004200DB">
        <w:rPr>
          <w:szCs w:val="22"/>
          <w:lang w:val="lt-LT"/>
        </w:rPr>
        <w:t xml:space="preserve">Padidėjęs jautrumas </w:t>
      </w:r>
      <w:proofErr w:type="spellStart"/>
      <w:r w:rsidR="00F004F8" w:rsidRPr="004200DB">
        <w:rPr>
          <w:szCs w:val="22"/>
          <w:lang w:val="lt-LT"/>
        </w:rPr>
        <w:t>kabazitakseliui</w:t>
      </w:r>
      <w:proofErr w:type="spellEnd"/>
      <w:r w:rsidR="00F004F8" w:rsidRPr="004200DB">
        <w:rPr>
          <w:szCs w:val="22"/>
          <w:lang w:val="lt-LT"/>
        </w:rPr>
        <w:t xml:space="preserve">, kitiems </w:t>
      </w:r>
      <w:proofErr w:type="spellStart"/>
      <w:r w:rsidR="00F004F8" w:rsidRPr="004200DB">
        <w:rPr>
          <w:szCs w:val="22"/>
          <w:lang w:val="lt-LT"/>
        </w:rPr>
        <w:t>taksanams</w:t>
      </w:r>
      <w:proofErr w:type="spellEnd"/>
      <w:r w:rsidR="00F004F8" w:rsidRPr="004200DB">
        <w:rPr>
          <w:szCs w:val="22"/>
          <w:lang w:val="lt-LT"/>
        </w:rPr>
        <w:t xml:space="preserve">, </w:t>
      </w:r>
      <w:proofErr w:type="spellStart"/>
      <w:r w:rsidR="00F004F8" w:rsidRPr="004200DB">
        <w:rPr>
          <w:szCs w:val="22"/>
          <w:lang w:val="lt-LT"/>
        </w:rPr>
        <w:t>polisorbatui</w:t>
      </w:r>
      <w:proofErr w:type="spellEnd"/>
      <w:r w:rsidR="00E42158">
        <w:rPr>
          <w:szCs w:val="22"/>
          <w:lang w:val="lt-LT"/>
        </w:rPr>
        <w:t> </w:t>
      </w:r>
      <w:r w:rsidR="00F004F8" w:rsidRPr="004200DB">
        <w:rPr>
          <w:szCs w:val="22"/>
          <w:lang w:val="lt-LT"/>
        </w:rPr>
        <w:t>80 arba</w:t>
      </w:r>
      <w:r w:rsidRPr="00037DA8">
        <w:rPr>
          <w:szCs w:val="22"/>
          <w:lang w:val="lt-LT"/>
        </w:rPr>
        <w:t xml:space="preserve"> bet kuriai 6.1</w:t>
      </w:r>
      <w:r w:rsidR="00E42158">
        <w:rPr>
          <w:szCs w:val="22"/>
          <w:lang w:val="lt-LT"/>
        </w:rPr>
        <w:t> </w:t>
      </w:r>
      <w:r w:rsidRPr="00037DA8">
        <w:rPr>
          <w:szCs w:val="22"/>
          <w:lang w:val="lt-LT"/>
        </w:rPr>
        <w:t>skyriuje nurodytai pagalbinei medžiagai.</w:t>
      </w:r>
    </w:p>
    <w:p w14:paraId="62FD7F89" w14:textId="247BF4D2" w:rsidR="00F004F8" w:rsidRPr="00037DA8" w:rsidRDefault="00F004F8" w:rsidP="008A75C3">
      <w:pPr>
        <w:pStyle w:val="Sraopastraipa"/>
        <w:numPr>
          <w:ilvl w:val="0"/>
          <w:numId w:val="4"/>
        </w:numPr>
        <w:ind w:left="567" w:hanging="567"/>
        <w:rPr>
          <w:szCs w:val="22"/>
          <w:lang w:val="lt-LT"/>
        </w:rPr>
      </w:pPr>
      <w:proofErr w:type="spellStart"/>
      <w:r w:rsidRPr="00037DA8">
        <w:rPr>
          <w:szCs w:val="22"/>
          <w:lang w:val="lt-LT"/>
        </w:rPr>
        <w:t>Neutrofilų</w:t>
      </w:r>
      <w:proofErr w:type="spellEnd"/>
      <w:r w:rsidRPr="00037DA8">
        <w:rPr>
          <w:szCs w:val="22"/>
          <w:lang w:val="lt-LT"/>
        </w:rPr>
        <w:t xml:space="preserve"> kiekis mažesnis kaip 1</w:t>
      </w:r>
      <w:r w:rsidR="004E132C">
        <w:rPr>
          <w:szCs w:val="22"/>
          <w:lang w:val="lt-LT"/>
        </w:rPr>
        <w:t> </w:t>
      </w:r>
      <w:r w:rsidRPr="00037DA8">
        <w:rPr>
          <w:szCs w:val="22"/>
          <w:lang w:val="lt-LT"/>
        </w:rPr>
        <w:t>500/mm</w:t>
      </w:r>
      <w:r w:rsidRPr="00037DA8">
        <w:rPr>
          <w:szCs w:val="22"/>
          <w:vertAlign w:val="superscript"/>
          <w:lang w:val="lt-LT"/>
        </w:rPr>
        <w:t>3</w:t>
      </w:r>
      <w:r w:rsidRPr="00037DA8">
        <w:rPr>
          <w:szCs w:val="22"/>
          <w:lang w:val="lt-LT"/>
        </w:rPr>
        <w:t>.</w:t>
      </w:r>
    </w:p>
    <w:p w14:paraId="32128ECD" w14:textId="241A9E06" w:rsidR="00F004F8" w:rsidRPr="00037DA8" w:rsidRDefault="00F004F8" w:rsidP="008A75C3">
      <w:pPr>
        <w:pStyle w:val="Sraopastraipa"/>
        <w:numPr>
          <w:ilvl w:val="0"/>
          <w:numId w:val="4"/>
        </w:numPr>
        <w:ind w:left="567" w:hanging="567"/>
        <w:rPr>
          <w:szCs w:val="22"/>
          <w:lang w:val="lt-LT"/>
        </w:rPr>
      </w:pPr>
      <w:r w:rsidRPr="00037DA8">
        <w:rPr>
          <w:szCs w:val="22"/>
          <w:lang w:val="lt-LT"/>
        </w:rPr>
        <w:t xml:space="preserve">Sunkus kepenų funkcijos sutrikimas (bendras </w:t>
      </w:r>
      <w:proofErr w:type="spellStart"/>
      <w:r w:rsidRPr="00037DA8">
        <w:rPr>
          <w:szCs w:val="22"/>
          <w:lang w:val="lt-LT"/>
        </w:rPr>
        <w:t>bilirubino</w:t>
      </w:r>
      <w:proofErr w:type="spellEnd"/>
      <w:r w:rsidRPr="00037DA8">
        <w:rPr>
          <w:szCs w:val="22"/>
          <w:lang w:val="lt-LT"/>
        </w:rPr>
        <w:t xml:space="preserve"> kiekis &gt;</w:t>
      </w:r>
      <w:r w:rsidR="00EC0335">
        <w:rPr>
          <w:szCs w:val="22"/>
          <w:lang w:val="lt-LT"/>
        </w:rPr>
        <w:t> </w:t>
      </w:r>
      <w:r w:rsidRPr="00037DA8">
        <w:rPr>
          <w:szCs w:val="22"/>
          <w:lang w:val="lt-LT"/>
        </w:rPr>
        <w:t>3 x VNR).</w:t>
      </w:r>
    </w:p>
    <w:p w14:paraId="0CFD14C2" w14:textId="076EE487" w:rsidR="00267DDB" w:rsidRPr="00037DA8" w:rsidRDefault="006C1B39" w:rsidP="008A75C3">
      <w:pPr>
        <w:pStyle w:val="Sraopastraipa"/>
        <w:numPr>
          <w:ilvl w:val="0"/>
          <w:numId w:val="4"/>
        </w:numPr>
        <w:ind w:left="567" w:hanging="567"/>
        <w:rPr>
          <w:szCs w:val="22"/>
          <w:lang w:val="lt-LT"/>
        </w:rPr>
      </w:pPr>
      <w:r w:rsidRPr="00037DA8">
        <w:rPr>
          <w:szCs w:val="22"/>
          <w:lang w:val="lt-LT"/>
        </w:rPr>
        <w:t>S</w:t>
      </w:r>
      <w:r w:rsidR="00F004F8" w:rsidRPr="00037DA8">
        <w:rPr>
          <w:szCs w:val="22"/>
          <w:lang w:val="lt-LT"/>
        </w:rPr>
        <w:t>kiepijimas geltonosios karštligės vakcina</w:t>
      </w:r>
      <w:r w:rsidRPr="00037DA8">
        <w:rPr>
          <w:szCs w:val="22"/>
          <w:lang w:val="lt-LT"/>
        </w:rPr>
        <w:t xml:space="preserve"> gydymo </w:t>
      </w:r>
      <w:proofErr w:type="spellStart"/>
      <w:r w:rsidRPr="00037DA8">
        <w:rPr>
          <w:szCs w:val="22"/>
          <w:lang w:val="lt-LT"/>
        </w:rPr>
        <w:t>kabazitakseliu</w:t>
      </w:r>
      <w:proofErr w:type="spellEnd"/>
      <w:r w:rsidRPr="00037DA8">
        <w:rPr>
          <w:szCs w:val="22"/>
          <w:lang w:val="lt-LT"/>
        </w:rPr>
        <w:t xml:space="preserve"> metu</w:t>
      </w:r>
      <w:r w:rsidR="00F004F8" w:rsidRPr="00037DA8">
        <w:rPr>
          <w:szCs w:val="22"/>
          <w:lang w:val="lt-LT"/>
        </w:rPr>
        <w:t xml:space="preserve"> (žr.</w:t>
      </w:r>
      <w:r w:rsidR="00E42158">
        <w:rPr>
          <w:szCs w:val="22"/>
          <w:lang w:val="lt-LT"/>
        </w:rPr>
        <w:t> </w:t>
      </w:r>
      <w:r w:rsidR="00F004F8" w:rsidRPr="00037DA8">
        <w:rPr>
          <w:szCs w:val="22"/>
          <w:lang w:val="lt-LT"/>
        </w:rPr>
        <w:t>4.5</w:t>
      </w:r>
      <w:r w:rsidR="00E42158">
        <w:rPr>
          <w:szCs w:val="22"/>
          <w:lang w:val="lt-LT"/>
        </w:rPr>
        <w:t> </w:t>
      </w:r>
      <w:r w:rsidR="00F004F8" w:rsidRPr="00037DA8">
        <w:rPr>
          <w:szCs w:val="22"/>
          <w:lang w:val="lt-LT"/>
        </w:rPr>
        <w:t>skyrių).</w:t>
      </w:r>
    </w:p>
    <w:p w14:paraId="6412187D" w14:textId="77777777" w:rsidR="00267DDB" w:rsidRPr="00074768" w:rsidRDefault="00267DDB" w:rsidP="006C1B39">
      <w:pPr>
        <w:spacing w:after="0" w:line="240" w:lineRule="auto"/>
        <w:ind w:left="567" w:hanging="567"/>
        <w:rPr>
          <w:rFonts w:ascii="Times New Roman" w:hAnsi="Times New Roman"/>
          <w:snapToGrid w:val="0"/>
        </w:rPr>
      </w:pPr>
    </w:p>
    <w:p w14:paraId="25424E3A" w14:textId="77777777" w:rsidR="00267DDB" w:rsidRPr="0085406C" w:rsidRDefault="00267DDB" w:rsidP="006C1B39">
      <w:pPr>
        <w:spacing w:after="0" w:line="240" w:lineRule="auto"/>
        <w:ind w:left="567" w:hanging="567"/>
        <w:rPr>
          <w:rFonts w:ascii="Times New Roman" w:hAnsi="Times New Roman"/>
          <w:b/>
          <w:bCs/>
          <w:snapToGrid w:val="0"/>
          <w:lang w:eastAsia="x-none"/>
        </w:rPr>
      </w:pPr>
      <w:r w:rsidRPr="0085406C">
        <w:rPr>
          <w:rFonts w:ascii="Times New Roman" w:hAnsi="Times New Roman"/>
          <w:b/>
          <w:bCs/>
          <w:snapToGrid w:val="0"/>
          <w:lang w:eastAsia="x-none"/>
        </w:rPr>
        <w:t>4.4</w:t>
      </w:r>
      <w:r w:rsidRPr="0085406C">
        <w:rPr>
          <w:rFonts w:ascii="Times New Roman" w:hAnsi="Times New Roman"/>
          <w:b/>
          <w:bCs/>
          <w:snapToGrid w:val="0"/>
          <w:lang w:eastAsia="x-none"/>
        </w:rPr>
        <w:tab/>
        <w:t>Specialūs įspėjimai ir atsargumo priemonės</w:t>
      </w:r>
    </w:p>
    <w:p w14:paraId="7BBFC03D" w14:textId="77777777" w:rsidR="00267DDB" w:rsidRPr="00074768" w:rsidRDefault="00267DDB" w:rsidP="006C1B39">
      <w:pPr>
        <w:spacing w:after="0" w:line="240" w:lineRule="auto"/>
        <w:ind w:left="567" w:hanging="567"/>
        <w:rPr>
          <w:rFonts w:ascii="Times New Roman" w:hAnsi="Times New Roman"/>
          <w:snapToGrid w:val="0"/>
        </w:rPr>
      </w:pPr>
    </w:p>
    <w:p w14:paraId="063ED4B5" w14:textId="77777777" w:rsidR="006C1B39" w:rsidRPr="00074768" w:rsidRDefault="006C1B39" w:rsidP="006C1B39">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Padidėjusio jautrumo reakcijos</w:t>
      </w:r>
    </w:p>
    <w:p w14:paraId="3372D0A3" w14:textId="2A125704" w:rsidR="006C1B39" w:rsidRPr="00074768" w:rsidRDefault="006C1B39" w:rsidP="006C1B39">
      <w:pPr>
        <w:spacing w:after="0" w:line="240" w:lineRule="auto"/>
        <w:rPr>
          <w:rFonts w:ascii="Times New Roman" w:hAnsi="Times New Roman"/>
          <w:snapToGrid w:val="0"/>
        </w:rPr>
      </w:pPr>
      <w:r w:rsidRPr="00074768">
        <w:rPr>
          <w:rFonts w:ascii="Times New Roman" w:hAnsi="Times New Roman"/>
          <w:snapToGrid w:val="0"/>
        </w:rPr>
        <w:t xml:space="preserve">Prieš </w:t>
      </w:r>
      <w:proofErr w:type="spellStart"/>
      <w:r w:rsidRPr="00074768">
        <w:rPr>
          <w:rFonts w:ascii="Times New Roman" w:hAnsi="Times New Roman"/>
          <w:snapToGrid w:val="0"/>
        </w:rPr>
        <w:t>kabazitakselio</w:t>
      </w:r>
      <w:proofErr w:type="spellEnd"/>
      <w:r w:rsidRPr="00074768">
        <w:rPr>
          <w:rFonts w:ascii="Times New Roman" w:hAnsi="Times New Roman"/>
          <w:snapToGrid w:val="0"/>
        </w:rPr>
        <w:t xml:space="preserve"> infuziją visiems pacientams turi būti taikoma </w:t>
      </w:r>
      <w:proofErr w:type="spellStart"/>
      <w:r w:rsidR="00424076">
        <w:rPr>
          <w:rFonts w:ascii="Times New Roman" w:hAnsi="Times New Roman"/>
          <w:snapToGrid w:val="0"/>
        </w:rPr>
        <w:t>premedikacija</w:t>
      </w:r>
      <w:proofErr w:type="spellEnd"/>
      <w:r w:rsidRPr="00074768">
        <w:rPr>
          <w:rFonts w:ascii="Times New Roman" w:hAnsi="Times New Roman"/>
          <w:snapToGrid w:val="0"/>
        </w:rPr>
        <w:t xml:space="preserve"> (žr.</w:t>
      </w:r>
      <w:r w:rsidR="00770E73">
        <w:rPr>
          <w:rFonts w:ascii="Times New Roman" w:hAnsi="Times New Roman"/>
          <w:snapToGrid w:val="0"/>
        </w:rPr>
        <w:t> </w:t>
      </w:r>
      <w:r w:rsidRPr="00074768">
        <w:rPr>
          <w:rFonts w:ascii="Times New Roman" w:hAnsi="Times New Roman"/>
          <w:snapToGrid w:val="0"/>
        </w:rPr>
        <w:t>4.2</w:t>
      </w:r>
      <w:r w:rsidR="00770E73">
        <w:rPr>
          <w:rFonts w:ascii="Times New Roman" w:hAnsi="Times New Roman"/>
          <w:snapToGrid w:val="0"/>
        </w:rPr>
        <w:t> </w:t>
      </w:r>
      <w:r w:rsidRPr="00074768">
        <w:rPr>
          <w:rFonts w:ascii="Times New Roman" w:hAnsi="Times New Roman"/>
          <w:snapToGrid w:val="0"/>
        </w:rPr>
        <w:t>skyrių).</w:t>
      </w:r>
    </w:p>
    <w:p w14:paraId="56BACF7C" w14:textId="66E824DC" w:rsidR="006C1B39" w:rsidRPr="00074768" w:rsidRDefault="006C1B39" w:rsidP="006C1B39">
      <w:pPr>
        <w:spacing w:after="0" w:line="240" w:lineRule="auto"/>
        <w:rPr>
          <w:rFonts w:ascii="Times New Roman" w:hAnsi="Times New Roman"/>
          <w:snapToGrid w:val="0"/>
        </w:rPr>
      </w:pPr>
      <w:r w:rsidRPr="00074768">
        <w:rPr>
          <w:rFonts w:ascii="Times New Roman" w:hAnsi="Times New Roman"/>
          <w:snapToGrid w:val="0"/>
        </w:rPr>
        <w:t xml:space="preserve">Pacientus būtina atidžiai stebėti, ar neatsiranda padidėjusio jautrumo reakcijų, ypač pirmosios ir antrosios infuzijų metu. Padidėjusio jautrumo reakcijos gali pasireikšti per kelias minutes nuo </w:t>
      </w:r>
      <w:proofErr w:type="spellStart"/>
      <w:r w:rsidRPr="00074768">
        <w:rPr>
          <w:rFonts w:ascii="Times New Roman" w:hAnsi="Times New Roman"/>
          <w:snapToGrid w:val="0"/>
        </w:rPr>
        <w:t>kabazitakselio</w:t>
      </w:r>
      <w:proofErr w:type="spellEnd"/>
      <w:r w:rsidRPr="00074768">
        <w:rPr>
          <w:rFonts w:ascii="Times New Roman" w:hAnsi="Times New Roman"/>
          <w:snapToGrid w:val="0"/>
        </w:rPr>
        <w:t xml:space="preserve"> infuzijos pradžios, todėl būtina turėti įrangos ir priemonių </w:t>
      </w:r>
      <w:proofErr w:type="spellStart"/>
      <w:r w:rsidRPr="00074768">
        <w:rPr>
          <w:rFonts w:ascii="Times New Roman" w:hAnsi="Times New Roman"/>
          <w:snapToGrid w:val="0"/>
        </w:rPr>
        <w:t>hipotenzijai</w:t>
      </w:r>
      <w:proofErr w:type="spellEnd"/>
      <w:r w:rsidRPr="00074768">
        <w:rPr>
          <w:rFonts w:ascii="Times New Roman" w:hAnsi="Times New Roman"/>
          <w:snapToGrid w:val="0"/>
        </w:rPr>
        <w:t xml:space="preserve"> ir bronchų spazmui gydyti. Gali atsirasti sunkių reakcijų, įskaitant </w:t>
      </w:r>
      <w:proofErr w:type="spellStart"/>
      <w:r w:rsidRPr="00074768">
        <w:rPr>
          <w:rFonts w:ascii="Times New Roman" w:hAnsi="Times New Roman"/>
          <w:snapToGrid w:val="0"/>
        </w:rPr>
        <w:t>generalizuotą</w:t>
      </w:r>
      <w:proofErr w:type="spellEnd"/>
      <w:r w:rsidRPr="00074768">
        <w:rPr>
          <w:rFonts w:ascii="Times New Roman" w:hAnsi="Times New Roman"/>
          <w:snapToGrid w:val="0"/>
        </w:rPr>
        <w:t xml:space="preserve"> išbėrimą ir </w:t>
      </w:r>
      <w:proofErr w:type="spellStart"/>
      <w:r w:rsidRPr="00074768">
        <w:rPr>
          <w:rFonts w:ascii="Times New Roman" w:hAnsi="Times New Roman"/>
          <w:snapToGrid w:val="0"/>
        </w:rPr>
        <w:t>eritemą</w:t>
      </w:r>
      <w:proofErr w:type="spellEnd"/>
      <w:r w:rsidRPr="00074768">
        <w:rPr>
          <w:rFonts w:ascii="Times New Roman" w:hAnsi="Times New Roman"/>
          <w:snapToGrid w:val="0"/>
        </w:rPr>
        <w:t xml:space="preserve">, </w:t>
      </w:r>
      <w:proofErr w:type="spellStart"/>
      <w:r w:rsidRPr="00074768">
        <w:rPr>
          <w:rFonts w:ascii="Times New Roman" w:hAnsi="Times New Roman"/>
          <w:snapToGrid w:val="0"/>
        </w:rPr>
        <w:t>hipotenziją</w:t>
      </w:r>
      <w:proofErr w:type="spellEnd"/>
      <w:r w:rsidRPr="00074768">
        <w:rPr>
          <w:rFonts w:ascii="Times New Roman" w:hAnsi="Times New Roman"/>
          <w:snapToGrid w:val="0"/>
        </w:rPr>
        <w:t xml:space="preserve"> ir bronchų spazmą. Jeigu pasireiškia sunkių padidėjusio jautrumo reakcijų, būtina nedelsiant nutraukti </w:t>
      </w:r>
      <w:proofErr w:type="spellStart"/>
      <w:r w:rsidRPr="00074768">
        <w:rPr>
          <w:rFonts w:ascii="Times New Roman" w:hAnsi="Times New Roman"/>
          <w:snapToGrid w:val="0"/>
        </w:rPr>
        <w:t>kabazitakselio</w:t>
      </w:r>
      <w:proofErr w:type="spellEnd"/>
      <w:r w:rsidRPr="00074768">
        <w:rPr>
          <w:rFonts w:ascii="Times New Roman" w:hAnsi="Times New Roman"/>
          <w:snapToGrid w:val="0"/>
        </w:rPr>
        <w:t xml:space="preserve"> vartojimą ir pradėti reikiamą gydymą. Pacientų, kuriems pasireiškė padidėjusio jautrumo reakcija, gydymą </w:t>
      </w:r>
      <w:proofErr w:type="spellStart"/>
      <w:r w:rsidRPr="00074768">
        <w:rPr>
          <w:rFonts w:ascii="Times New Roman" w:hAnsi="Times New Roman"/>
          <w:snapToGrid w:val="0"/>
        </w:rPr>
        <w:t>Cabazitaxel</w:t>
      </w:r>
      <w:proofErr w:type="spellEnd"/>
      <w:r w:rsidRPr="00074768">
        <w:rPr>
          <w:rFonts w:ascii="Times New Roman" w:hAnsi="Times New Roman"/>
          <w:snapToGrid w:val="0"/>
        </w:rPr>
        <w:t xml:space="preserve"> </w:t>
      </w:r>
      <w:proofErr w:type="spellStart"/>
      <w:r w:rsidRPr="00074768">
        <w:rPr>
          <w:rFonts w:ascii="Times New Roman" w:hAnsi="Times New Roman"/>
          <w:snapToGrid w:val="0"/>
        </w:rPr>
        <w:t>Sandoz</w:t>
      </w:r>
      <w:proofErr w:type="spellEnd"/>
      <w:r w:rsidRPr="00074768">
        <w:rPr>
          <w:rFonts w:ascii="Times New Roman" w:hAnsi="Times New Roman"/>
          <w:snapToGrid w:val="0"/>
        </w:rPr>
        <w:t xml:space="preserve"> būtina nutraukti (žr.</w:t>
      </w:r>
      <w:r w:rsidR="00770E73">
        <w:rPr>
          <w:rFonts w:ascii="Times New Roman" w:hAnsi="Times New Roman"/>
          <w:snapToGrid w:val="0"/>
        </w:rPr>
        <w:t> </w:t>
      </w:r>
      <w:r w:rsidRPr="00074768">
        <w:rPr>
          <w:rFonts w:ascii="Times New Roman" w:hAnsi="Times New Roman"/>
          <w:snapToGrid w:val="0"/>
        </w:rPr>
        <w:t>4.3</w:t>
      </w:r>
      <w:r w:rsidR="00770E73">
        <w:rPr>
          <w:rFonts w:ascii="Times New Roman" w:hAnsi="Times New Roman"/>
          <w:snapToGrid w:val="0"/>
        </w:rPr>
        <w:t> </w:t>
      </w:r>
      <w:r w:rsidRPr="00074768">
        <w:rPr>
          <w:rFonts w:ascii="Times New Roman" w:hAnsi="Times New Roman"/>
          <w:snapToGrid w:val="0"/>
        </w:rPr>
        <w:t>skyrių).</w:t>
      </w:r>
    </w:p>
    <w:p w14:paraId="57B6B2D2" w14:textId="77777777" w:rsidR="006C1B39" w:rsidRPr="00074768" w:rsidRDefault="006C1B39" w:rsidP="006C1B39">
      <w:pPr>
        <w:spacing w:after="0" w:line="240" w:lineRule="auto"/>
        <w:ind w:left="567" w:hanging="567"/>
        <w:rPr>
          <w:rFonts w:ascii="Times New Roman" w:hAnsi="Times New Roman"/>
          <w:snapToGrid w:val="0"/>
        </w:rPr>
      </w:pPr>
    </w:p>
    <w:p w14:paraId="16F6F5E9" w14:textId="77777777" w:rsidR="006C1B39" w:rsidRPr="00074768" w:rsidRDefault="006C1B39" w:rsidP="006C1B39">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Kaulų čiulpų slopinimas</w:t>
      </w:r>
    </w:p>
    <w:p w14:paraId="1B44BA66" w14:textId="72DAF9C4" w:rsidR="006C1B39" w:rsidRPr="00074768" w:rsidRDefault="006C1B39" w:rsidP="006C1B39">
      <w:pPr>
        <w:spacing w:after="0" w:line="240" w:lineRule="auto"/>
        <w:rPr>
          <w:rFonts w:ascii="Times New Roman" w:hAnsi="Times New Roman"/>
          <w:snapToGrid w:val="0"/>
        </w:rPr>
      </w:pPr>
      <w:r w:rsidRPr="00074768">
        <w:rPr>
          <w:rFonts w:ascii="Times New Roman" w:hAnsi="Times New Roman"/>
          <w:snapToGrid w:val="0"/>
        </w:rPr>
        <w:t xml:space="preserve">Gali atsirasti kaulų čiulpų slopinimas, pasireiškiantis </w:t>
      </w:r>
      <w:proofErr w:type="spellStart"/>
      <w:r w:rsidRPr="00074768">
        <w:rPr>
          <w:rFonts w:ascii="Times New Roman" w:hAnsi="Times New Roman"/>
          <w:snapToGrid w:val="0"/>
        </w:rPr>
        <w:t>neutropenija</w:t>
      </w:r>
      <w:proofErr w:type="spellEnd"/>
      <w:r w:rsidRPr="00074768">
        <w:rPr>
          <w:rFonts w:ascii="Times New Roman" w:hAnsi="Times New Roman"/>
          <w:snapToGrid w:val="0"/>
        </w:rPr>
        <w:t xml:space="preserve">, anemija, </w:t>
      </w:r>
      <w:proofErr w:type="spellStart"/>
      <w:r w:rsidRPr="00074768">
        <w:rPr>
          <w:rFonts w:ascii="Times New Roman" w:hAnsi="Times New Roman"/>
          <w:snapToGrid w:val="0"/>
        </w:rPr>
        <w:t>trombocitopenija</w:t>
      </w:r>
      <w:proofErr w:type="spellEnd"/>
      <w:r w:rsidRPr="00074768">
        <w:rPr>
          <w:rFonts w:ascii="Times New Roman" w:hAnsi="Times New Roman"/>
          <w:snapToGrid w:val="0"/>
        </w:rPr>
        <w:t xml:space="preserve"> arba </w:t>
      </w:r>
      <w:proofErr w:type="spellStart"/>
      <w:r w:rsidRPr="00074768">
        <w:rPr>
          <w:rFonts w:ascii="Times New Roman" w:hAnsi="Times New Roman"/>
          <w:snapToGrid w:val="0"/>
        </w:rPr>
        <w:t>pancitopenija</w:t>
      </w:r>
      <w:proofErr w:type="spellEnd"/>
      <w:r w:rsidRPr="00074768">
        <w:rPr>
          <w:rFonts w:ascii="Times New Roman" w:hAnsi="Times New Roman"/>
          <w:snapToGrid w:val="0"/>
        </w:rPr>
        <w:t xml:space="preserve"> (žr. toliau 4.4</w:t>
      </w:r>
      <w:r w:rsidR="00770E73">
        <w:rPr>
          <w:rFonts w:ascii="Times New Roman" w:hAnsi="Times New Roman"/>
          <w:snapToGrid w:val="0"/>
        </w:rPr>
        <w:t> </w:t>
      </w:r>
      <w:r w:rsidRPr="00074768">
        <w:rPr>
          <w:rFonts w:ascii="Times New Roman" w:hAnsi="Times New Roman"/>
          <w:snapToGrid w:val="0"/>
        </w:rPr>
        <w:t>skyriaus poskyrius „</w:t>
      </w:r>
      <w:proofErr w:type="spellStart"/>
      <w:r w:rsidRPr="00074768">
        <w:rPr>
          <w:rFonts w:ascii="Times New Roman" w:hAnsi="Times New Roman"/>
          <w:snapToGrid w:val="0"/>
        </w:rPr>
        <w:t>Neutropenijos</w:t>
      </w:r>
      <w:proofErr w:type="spellEnd"/>
      <w:r w:rsidRPr="00074768">
        <w:rPr>
          <w:rFonts w:ascii="Times New Roman" w:hAnsi="Times New Roman"/>
          <w:snapToGrid w:val="0"/>
        </w:rPr>
        <w:t xml:space="preserve"> rizika“ ir „Anemija“).</w:t>
      </w:r>
    </w:p>
    <w:p w14:paraId="36AF8ADC" w14:textId="77777777" w:rsidR="00BC1739" w:rsidRPr="00074768" w:rsidRDefault="00BC1739" w:rsidP="006C1B39">
      <w:pPr>
        <w:spacing w:after="0" w:line="240" w:lineRule="auto"/>
        <w:ind w:left="567" w:hanging="567"/>
        <w:rPr>
          <w:rFonts w:ascii="Times New Roman" w:hAnsi="Times New Roman"/>
          <w:snapToGrid w:val="0"/>
        </w:rPr>
      </w:pPr>
    </w:p>
    <w:p w14:paraId="076EEF6B" w14:textId="77777777" w:rsidR="006C1B39" w:rsidRPr="00074768" w:rsidRDefault="006C1B39" w:rsidP="006C1B39">
      <w:pPr>
        <w:spacing w:after="0" w:line="240" w:lineRule="auto"/>
        <w:ind w:left="567" w:hanging="567"/>
        <w:rPr>
          <w:rFonts w:ascii="Times New Roman" w:hAnsi="Times New Roman"/>
          <w:snapToGrid w:val="0"/>
          <w:u w:val="single"/>
        </w:rPr>
      </w:pPr>
      <w:proofErr w:type="spellStart"/>
      <w:r w:rsidRPr="00074768">
        <w:rPr>
          <w:rFonts w:ascii="Times New Roman" w:hAnsi="Times New Roman"/>
          <w:snapToGrid w:val="0"/>
          <w:u w:val="single"/>
        </w:rPr>
        <w:t>Neutropenijos</w:t>
      </w:r>
      <w:proofErr w:type="spellEnd"/>
      <w:r w:rsidRPr="00074768">
        <w:rPr>
          <w:rFonts w:ascii="Times New Roman" w:hAnsi="Times New Roman"/>
          <w:snapToGrid w:val="0"/>
          <w:u w:val="single"/>
        </w:rPr>
        <w:t xml:space="preserve"> rizika</w:t>
      </w:r>
    </w:p>
    <w:p w14:paraId="45E39903" w14:textId="55ACB8FB" w:rsidR="002276FD" w:rsidRPr="00074768" w:rsidRDefault="006C1B39" w:rsidP="002276FD">
      <w:pPr>
        <w:spacing w:after="0" w:line="240" w:lineRule="auto"/>
        <w:rPr>
          <w:rFonts w:ascii="Times New Roman" w:hAnsi="Times New Roman"/>
          <w:snapToGrid w:val="0"/>
        </w:rPr>
      </w:pPr>
      <w:proofErr w:type="spellStart"/>
      <w:r w:rsidRPr="00074768">
        <w:rPr>
          <w:rFonts w:ascii="Times New Roman" w:hAnsi="Times New Roman"/>
          <w:snapToGrid w:val="0"/>
        </w:rPr>
        <w:lastRenderedPageBreak/>
        <w:t>Kabazitakseliu</w:t>
      </w:r>
      <w:proofErr w:type="spellEnd"/>
      <w:r w:rsidRPr="00074768">
        <w:rPr>
          <w:rFonts w:ascii="Times New Roman" w:hAnsi="Times New Roman"/>
          <w:snapToGrid w:val="0"/>
        </w:rPr>
        <w:t xml:space="preserve"> gydomiems pacientams profilaktikai galima skirti G-KSF, kaip nurodyta Amerikos</w:t>
      </w:r>
      <w:r w:rsidR="00BC1739" w:rsidRPr="00074768">
        <w:rPr>
          <w:rFonts w:ascii="Times New Roman" w:hAnsi="Times New Roman"/>
          <w:snapToGrid w:val="0"/>
        </w:rPr>
        <w:t xml:space="preserve"> </w:t>
      </w:r>
      <w:r w:rsidRPr="00074768">
        <w:rPr>
          <w:rFonts w:ascii="Times New Roman" w:hAnsi="Times New Roman"/>
          <w:snapToGrid w:val="0"/>
        </w:rPr>
        <w:t>klinikinės onkologijos draugijos (</w:t>
      </w:r>
      <w:r w:rsidRPr="00A1477B">
        <w:rPr>
          <w:rFonts w:ascii="Times New Roman" w:hAnsi="Times New Roman"/>
          <w:i/>
          <w:iCs/>
          <w:snapToGrid w:val="0"/>
        </w:rPr>
        <w:t xml:space="preserve">American </w:t>
      </w:r>
      <w:proofErr w:type="spellStart"/>
      <w:r w:rsidRPr="00A1477B">
        <w:rPr>
          <w:rFonts w:ascii="Times New Roman" w:hAnsi="Times New Roman"/>
          <w:i/>
          <w:iCs/>
          <w:snapToGrid w:val="0"/>
        </w:rPr>
        <w:t>Society</w:t>
      </w:r>
      <w:proofErr w:type="spellEnd"/>
      <w:r w:rsidRPr="00A1477B">
        <w:rPr>
          <w:rFonts w:ascii="Times New Roman" w:hAnsi="Times New Roman"/>
          <w:i/>
          <w:iCs/>
          <w:snapToGrid w:val="0"/>
        </w:rPr>
        <w:t xml:space="preserve"> </w:t>
      </w:r>
      <w:proofErr w:type="spellStart"/>
      <w:r w:rsidRPr="00A1477B">
        <w:rPr>
          <w:rFonts w:ascii="Times New Roman" w:hAnsi="Times New Roman"/>
          <w:i/>
          <w:iCs/>
          <w:snapToGrid w:val="0"/>
        </w:rPr>
        <w:t>of</w:t>
      </w:r>
      <w:proofErr w:type="spellEnd"/>
      <w:r w:rsidRPr="00A1477B">
        <w:rPr>
          <w:rFonts w:ascii="Times New Roman" w:hAnsi="Times New Roman"/>
          <w:i/>
          <w:iCs/>
          <w:snapToGrid w:val="0"/>
        </w:rPr>
        <w:t xml:space="preserve"> </w:t>
      </w:r>
      <w:proofErr w:type="spellStart"/>
      <w:r w:rsidRPr="00A1477B">
        <w:rPr>
          <w:rFonts w:ascii="Times New Roman" w:hAnsi="Times New Roman"/>
          <w:i/>
          <w:iCs/>
          <w:snapToGrid w:val="0"/>
        </w:rPr>
        <w:t>Clinical</w:t>
      </w:r>
      <w:proofErr w:type="spellEnd"/>
      <w:r w:rsidRPr="00A1477B">
        <w:rPr>
          <w:rFonts w:ascii="Times New Roman" w:hAnsi="Times New Roman"/>
          <w:i/>
          <w:iCs/>
          <w:snapToGrid w:val="0"/>
        </w:rPr>
        <w:t xml:space="preserve"> </w:t>
      </w:r>
      <w:proofErr w:type="spellStart"/>
      <w:r w:rsidRPr="00A1477B">
        <w:rPr>
          <w:rFonts w:ascii="Times New Roman" w:hAnsi="Times New Roman"/>
          <w:i/>
          <w:iCs/>
          <w:snapToGrid w:val="0"/>
        </w:rPr>
        <w:t>Oncology</w:t>
      </w:r>
      <w:proofErr w:type="spellEnd"/>
      <w:r w:rsidRPr="00074768">
        <w:rPr>
          <w:rFonts w:ascii="Times New Roman" w:hAnsi="Times New Roman"/>
          <w:snapToGrid w:val="0"/>
        </w:rPr>
        <w:t>, ASCO) gairėse ir (arba)</w:t>
      </w:r>
      <w:r w:rsidR="00BC1739" w:rsidRPr="00074768">
        <w:rPr>
          <w:rFonts w:ascii="Times New Roman" w:hAnsi="Times New Roman"/>
          <w:snapToGrid w:val="0"/>
        </w:rPr>
        <w:t xml:space="preserve"> dabartinėse</w:t>
      </w:r>
      <w:r w:rsidRPr="00074768">
        <w:rPr>
          <w:rFonts w:ascii="Times New Roman" w:hAnsi="Times New Roman"/>
          <w:snapToGrid w:val="0"/>
        </w:rPr>
        <w:t xml:space="preserve"> rekomendacijose, </w:t>
      </w:r>
      <w:proofErr w:type="spellStart"/>
      <w:r w:rsidRPr="00074768">
        <w:rPr>
          <w:rFonts w:ascii="Times New Roman" w:hAnsi="Times New Roman"/>
          <w:snapToGrid w:val="0"/>
        </w:rPr>
        <w:t>neutropenijos</w:t>
      </w:r>
      <w:proofErr w:type="spellEnd"/>
      <w:r w:rsidRPr="00074768">
        <w:rPr>
          <w:rFonts w:ascii="Times New Roman" w:hAnsi="Times New Roman"/>
          <w:snapToGrid w:val="0"/>
        </w:rPr>
        <w:t xml:space="preserve"> komplikacijų (</w:t>
      </w:r>
      <w:proofErr w:type="spellStart"/>
      <w:r w:rsidR="00BC1739" w:rsidRPr="00074768">
        <w:rPr>
          <w:rFonts w:ascii="Times New Roman" w:hAnsi="Times New Roman"/>
          <w:snapToGrid w:val="0"/>
        </w:rPr>
        <w:t>neutropeninio</w:t>
      </w:r>
      <w:proofErr w:type="spellEnd"/>
      <w:r w:rsidR="00BC1739" w:rsidRPr="00074768">
        <w:rPr>
          <w:rFonts w:ascii="Times New Roman" w:hAnsi="Times New Roman"/>
          <w:snapToGrid w:val="0"/>
        </w:rPr>
        <w:t xml:space="preserve"> karščiavimo</w:t>
      </w:r>
      <w:r w:rsidRPr="00074768">
        <w:rPr>
          <w:rFonts w:ascii="Times New Roman" w:hAnsi="Times New Roman"/>
          <w:snapToGrid w:val="0"/>
        </w:rPr>
        <w:t>,</w:t>
      </w:r>
      <w:r w:rsidR="00BC1739" w:rsidRPr="00074768">
        <w:rPr>
          <w:rFonts w:ascii="Times New Roman" w:hAnsi="Times New Roman"/>
          <w:snapToGrid w:val="0"/>
        </w:rPr>
        <w:t xml:space="preserve"> </w:t>
      </w:r>
      <w:r w:rsidRPr="00074768">
        <w:rPr>
          <w:rFonts w:ascii="Times New Roman" w:hAnsi="Times New Roman"/>
          <w:snapToGrid w:val="0"/>
        </w:rPr>
        <w:t xml:space="preserve">ilgalaikės </w:t>
      </w:r>
      <w:proofErr w:type="spellStart"/>
      <w:r w:rsidRPr="00074768">
        <w:rPr>
          <w:rFonts w:ascii="Times New Roman" w:hAnsi="Times New Roman"/>
          <w:snapToGrid w:val="0"/>
        </w:rPr>
        <w:t>neutropenijos</w:t>
      </w:r>
      <w:proofErr w:type="spellEnd"/>
      <w:r w:rsidRPr="00074768">
        <w:rPr>
          <w:rFonts w:ascii="Times New Roman" w:hAnsi="Times New Roman"/>
          <w:snapToGrid w:val="0"/>
        </w:rPr>
        <w:t xml:space="preserve"> ar </w:t>
      </w:r>
      <w:proofErr w:type="spellStart"/>
      <w:r w:rsidRPr="00074768">
        <w:rPr>
          <w:rFonts w:ascii="Times New Roman" w:hAnsi="Times New Roman"/>
          <w:snapToGrid w:val="0"/>
        </w:rPr>
        <w:t>neutropeninės</w:t>
      </w:r>
      <w:proofErr w:type="spellEnd"/>
      <w:r w:rsidRPr="00074768">
        <w:rPr>
          <w:rFonts w:ascii="Times New Roman" w:hAnsi="Times New Roman"/>
          <w:snapToGrid w:val="0"/>
        </w:rPr>
        <w:t xml:space="preserve"> infekcijos) rizikai sumažinti ar joms gydyti. </w:t>
      </w:r>
      <w:r w:rsidR="00BC1739" w:rsidRPr="00074768">
        <w:rPr>
          <w:rFonts w:ascii="Times New Roman" w:hAnsi="Times New Roman"/>
          <w:snapToGrid w:val="0"/>
        </w:rPr>
        <w:t>Turi būti apsvarstyta p</w:t>
      </w:r>
      <w:r w:rsidRPr="00074768">
        <w:rPr>
          <w:rFonts w:ascii="Times New Roman" w:hAnsi="Times New Roman"/>
          <w:snapToGrid w:val="0"/>
        </w:rPr>
        <w:t>irmin</w:t>
      </w:r>
      <w:r w:rsidR="00BC1739" w:rsidRPr="00074768">
        <w:rPr>
          <w:rFonts w:ascii="Times New Roman" w:hAnsi="Times New Roman"/>
          <w:snapToGrid w:val="0"/>
        </w:rPr>
        <w:t xml:space="preserve">ė </w:t>
      </w:r>
      <w:r w:rsidRPr="00074768">
        <w:rPr>
          <w:rFonts w:ascii="Times New Roman" w:hAnsi="Times New Roman"/>
          <w:snapToGrid w:val="0"/>
        </w:rPr>
        <w:t>profilaktik</w:t>
      </w:r>
      <w:r w:rsidR="00BC1739" w:rsidRPr="00074768">
        <w:rPr>
          <w:rFonts w:ascii="Times New Roman" w:hAnsi="Times New Roman"/>
          <w:snapToGrid w:val="0"/>
        </w:rPr>
        <w:t>a</w:t>
      </w:r>
      <w:r w:rsidRPr="00074768">
        <w:rPr>
          <w:rFonts w:ascii="Times New Roman" w:hAnsi="Times New Roman"/>
          <w:snapToGrid w:val="0"/>
        </w:rPr>
        <w:t xml:space="preserve"> G-KSF, jei</w:t>
      </w:r>
      <w:r w:rsidR="00BC1739" w:rsidRPr="00074768">
        <w:rPr>
          <w:rFonts w:ascii="Times New Roman" w:hAnsi="Times New Roman"/>
          <w:snapToGrid w:val="0"/>
        </w:rPr>
        <w:t>gu</w:t>
      </w:r>
      <w:r w:rsidRPr="00074768">
        <w:rPr>
          <w:rFonts w:ascii="Times New Roman" w:hAnsi="Times New Roman"/>
          <w:snapToGrid w:val="0"/>
        </w:rPr>
        <w:t xml:space="preserve"> pacient</w:t>
      </w:r>
      <w:r w:rsidR="00BC1739" w:rsidRPr="00074768">
        <w:rPr>
          <w:rFonts w:ascii="Times New Roman" w:hAnsi="Times New Roman"/>
          <w:snapToGrid w:val="0"/>
        </w:rPr>
        <w:t>ui yra</w:t>
      </w:r>
      <w:r w:rsidRPr="00074768">
        <w:rPr>
          <w:rFonts w:ascii="Times New Roman" w:hAnsi="Times New Roman"/>
          <w:snapToGrid w:val="0"/>
        </w:rPr>
        <w:t xml:space="preserve"> klinikinių didelės rizikos veiksnių (vyresnis</w:t>
      </w:r>
      <w:r w:rsidR="00BC1739" w:rsidRPr="00074768">
        <w:rPr>
          <w:rFonts w:ascii="Times New Roman" w:hAnsi="Times New Roman"/>
          <w:snapToGrid w:val="0"/>
        </w:rPr>
        <w:t xml:space="preserve"> </w:t>
      </w:r>
      <w:r w:rsidR="002276FD" w:rsidRPr="00074768">
        <w:rPr>
          <w:rFonts w:ascii="Times New Roman" w:hAnsi="Times New Roman"/>
          <w:snapToGrid w:val="0"/>
        </w:rPr>
        <w:t>kaip 65</w:t>
      </w:r>
      <w:r w:rsidR="000C155E">
        <w:rPr>
          <w:rFonts w:ascii="Times New Roman" w:hAnsi="Times New Roman"/>
          <w:snapToGrid w:val="0"/>
        </w:rPr>
        <w:t> </w:t>
      </w:r>
      <w:r w:rsidR="002276FD" w:rsidRPr="00074768">
        <w:rPr>
          <w:rFonts w:ascii="Times New Roman" w:hAnsi="Times New Roman"/>
          <w:snapToGrid w:val="0"/>
        </w:rPr>
        <w:t xml:space="preserve">metų, bloga funkcinė būklė, buvę </w:t>
      </w:r>
      <w:proofErr w:type="spellStart"/>
      <w:r w:rsidR="002276FD" w:rsidRPr="00074768">
        <w:rPr>
          <w:rFonts w:ascii="Times New Roman" w:hAnsi="Times New Roman"/>
          <w:snapToGrid w:val="0"/>
        </w:rPr>
        <w:t>neutropeninio</w:t>
      </w:r>
      <w:proofErr w:type="spellEnd"/>
      <w:r w:rsidR="002276FD" w:rsidRPr="00074768">
        <w:rPr>
          <w:rFonts w:ascii="Times New Roman" w:hAnsi="Times New Roman"/>
          <w:snapToGrid w:val="0"/>
        </w:rPr>
        <w:t xml:space="preserve"> karščiavimo epizodai, </w:t>
      </w:r>
      <w:r w:rsidR="002276FD" w:rsidRPr="005542EC">
        <w:rPr>
          <w:rFonts w:ascii="Times New Roman" w:hAnsi="Times New Roman"/>
          <w:snapToGrid w:val="0"/>
        </w:rPr>
        <w:t>ekstensyvus ankstesnis gydyma</w:t>
      </w:r>
      <w:r w:rsidR="002276FD" w:rsidRPr="00074768">
        <w:rPr>
          <w:rFonts w:ascii="Times New Roman" w:hAnsi="Times New Roman"/>
          <w:snapToGrid w:val="0"/>
        </w:rPr>
        <w:t xml:space="preserve">s spinduliais, bloga mitybinė būklė ar kitos sunkios ligos), didinančių polinkį į ilgalaikės </w:t>
      </w:r>
      <w:proofErr w:type="spellStart"/>
      <w:r w:rsidR="002276FD" w:rsidRPr="00074768">
        <w:rPr>
          <w:rFonts w:ascii="Times New Roman" w:hAnsi="Times New Roman"/>
          <w:snapToGrid w:val="0"/>
        </w:rPr>
        <w:t>neutropenijos</w:t>
      </w:r>
      <w:proofErr w:type="spellEnd"/>
      <w:r w:rsidR="002276FD" w:rsidRPr="00074768">
        <w:rPr>
          <w:rFonts w:ascii="Times New Roman" w:hAnsi="Times New Roman"/>
          <w:snapToGrid w:val="0"/>
        </w:rPr>
        <w:t xml:space="preserve"> komplikacijų riziką. Nustatyta, kad G-KSF vartojimas mažina </w:t>
      </w:r>
      <w:proofErr w:type="spellStart"/>
      <w:r w:rsidR="002276FD" w:rsidRPr="00074768">
        <w:rPr>
          <w:rFonts w:ascii="Times New Roman" w:hAnsi="Times New Roman"/>
          <w:snapToGrid w:val="0"/>
        </w:rPr>
        <w:t>neutropenijos</w:t>
      </w:r>
      <w:proofErr w:type="spellEnd"/>
      <w:r w:rsidR="002276FD" w:rsidRPr="00074768">
        <w:rPr>
          <w:rFonts w:ascii="Times New Roman" w:hAnsi="Times New Roman"/>
          <w:snapToGrid w:val="0"/>
        </w:rPr>
        <w:t xml:space="preserve"> dažnį ir sunkumą.</w:t>
      </w:r>
    </w:p>
    <w:p w14:paraId="4771EA52" w14:textId="0C47966C" w:rsidR="002276FD" w:rsidRPr="00074768" w:rsidRDefault="002276FD" w:rsidP="002276FD">
      <w:pPr>
        <w:spacing w:after="0" w:line="240" w:lineRule="auto"/>
        <w:rPr>
          <w:rFonts w:ascii="Times New Roman" w:hAnsi="Times New Roman"/>
          <w:snapToGrid w:val="0"/>
        </w:rPr>
      </w:pPr>
      <w:proofErr w:type="spellStart"/>
      <w:r w:rsidRPr="00074768">
        <w:rPr>
          <w:rFonts w:ascii="Times New Roman" w:hAnsi="Times New Roman"/>
          <w:snapToGrid w:val="0"/>
        </w:rPr>
        <w:t>Neutropenija</w:t>
      </w:r>
      <w:proofErr w:type="spellEnd"/>
      <w:r w:rsidRPr="00074768">
        <w:rPr>
          <w:rFonts w:ascii="Times New Roman" w:hAnsi="Times New Roman"/>
          <w:snapToGrid w:val="0"/>
        </w:rPr>
        <w:t xml:space="preserve"> yra dažniausia nepageidaujama </w:t>
      </w:r>
      <w:proofErr w:type="spellStart"/>
      <w:r w:rsidRPr="00074768">
        <w:rPr>
          <w:rFonts w:ascii="Times New Roman" w:hAnsi="Times New Roman"/>
          <w:snapToGrid w:val="0"/>
        </w:rPr>
        <w:t>kabazitakselio</w:t>
      </w:r>
      <w:proofErr w:type="spellEnd"/>
      <w:r w:rsidRPr="00074768">
        <w:rPr>
          <w:rFonts w:ascii="Times New Roman" w:hAnsi="Times New Roman"/>
          <w:snapToGrid w:val="0"/>
        </w:rPr>
        <w:t xml:space="preserve"> reakcija (žr.</w:t>
      </w:r>
      <w:r w:rsidR="00437A8E">
        <w:rPr>
          <w:rFonts w:ascii="Times New Roman" w:hAnsi="Times New Roman"/>
          <w:snapToGrid w:val="0"/>
        </w:rPr>
        <w:t> </w:t>
      </w:r>
      <w:r w:rsidRPr="00074768">
        <w:rPr>
          <w:rFonts w:ascii="Times New Roman" w:hAnsi="Times New Roman"/>
          <w:snapToGrid w:val="0"/>
        </w:rPr>
        <w:t>4.8</w:t>
      </w:r>
      <w:r w:rsidR="00437A8E">
        <w:rPr>
          <w:rFonts w:ascii="Times New Roman" w:hAnsi="Times New Roman"/>
          <w:snapToGrid w:val="0"/>
        </w:rPr>
        <w:t> </w:t>
      </w:r>
      <w:r w:rsidRPr="00074768">
        <w:rPr>
          <w:rFonts w:ascii="Times New Roman" w:hAnsi="Times New Roman"/>
          <w:snapToGrid w:val="0"/>
        </w:rPr>
        <w:t>skyrių). Būtina stebėti bendro kraujo tyrimo rodmenis kas savaitę 1</w:t>
      </w:r>
      <w:r w:rsidR="00EC0335">
        <w:rPr>
          <w:rFonts w:ascii="Times New Roman" w:hAnsi="Times New Roman"/>
          <w:snapToGrid w:val="0"/>
        </w:rPr>
        <w:t> </w:t>
      </w:r>
      <w:r w:rsidRPr="00074768">
        <w:rPr>
          <w:rFonts w:ascii="Times New Roman" w:hAnsi="Times New Roman"/>
          <w:snapToGrid w:val="0"/>
        </w:rPr>
        <w:t>ciklo metu bei prieš kiekvieną gydymo ciklą po to, kad prireikus būtų galima koreguoti dozę.</w:t>
      </w:r>
    </w:p>
    <w:p w14:paraId="78372AA5" w14:textId="263BF6C2" w:rsidR="002276FD" w:rsidRPr="00074768" w:rsidRDefault="002276FD" w:rsidP="002276FD">
      <w:pPr>
        <w:spacing w:after="0" w:line="240" w:lineRule="auto"/>
        <w:rPr>
          <w:rFonts w:ascii="Times New Roman" w:hAnsi="Times New Roman"/>
          <w:snapToGrid w:val="0"/>
        </w:rPr>
      </w:pPr>
      <w:r w:rsidRPr="00074768">
        <w:rPr>
          <w:rFonts w:ascii="Times New Roman" w:hAnsi="Times New Roman"/>
          <w:snapToGrid w:val="0"/>
        </w:rPr>
        <w:t xml:space="preserve">Jei nepaisant </w:t>
      </w:r>
      <w:r w:rsidR="00DA593C" w:rsidRPr="00074768">
        <w:rPr>
          <w:rFonts w:ascii="Times New Roman" w:hAnsi="Times New Roman"/>
          <w:snapToGrid w:val="0"/>
        </w:rPr>
        <w:t>reikiamo</w:t>
      </w:r>
      <w:r w:rsidRPr="00074768">
        <w:rPr>
          <w:rFonts w:ascii="Times New Roman" w:hAnsi="Times New Roman"/>
          <w:snapToGrid w:val="0"/>
        </w:rPr>
        <w:t xml:space="preserve"> gydymo pasireiškia </w:t>
      </w:r>
      <w:proofErr w:type="spellStart"/>
      <w:r w:rsidR="00424076">
        <w:rPr>
          <w:rFonts w:ascii="Times New Roman" w:hAnsi="Times New Roman"/>
          <w:snapToGrid w:val="0"/>
        </w:rPr>
        <w:t>febrili</w:t>
      </w:r>
      <w:proofErr w:type="spellEnd"/>
      <w:r w:rsidR="00424076">
        <w:rPr>
          <w:rFonts w:ascii="Times New Roman" w:hAnsi="Times New Roman"/>
          <w:snapToGrid w:val="0"/>
        </w:rPr>
        <w:t xml:space="preserve"> </w:t>
      </w:r>
      <w:proofErr w:type="spellStart"/>
      <w:r w:rsidR="00424076">
        <w:rPr>
          <w:rFonts w:ascii="Times New Roman" w:hAnsi="Times New Roman"/>
          <w:snapToGrid w:val="0"/>
        </w:rPr>
        <w:t>neutropenija</w:t>
      </w:r>
      <w:proofErr w:type="spellEnd"/>
      <w:r w:rsidRPr="00074768">
        <w:rPr>
          <w:rFonts w:ascii="Times New Roman" w:hAnsi="Times New Roman"/>
          <w:snapToGrid w:val="0"/>
        </w:rPr>
        <w:t xml:space="preserve"> ar ilgalaikė </w:t>
      </w:r>
      <w:proofErr w:type="spellStart"/>
      <w:r w:rsidRPr="00074768">
        <w:rPr>
          <w:rFonts w:ascii="Times New Roman" w:hAnsi="Times New Roman"/>
          <w:snapToGrid w:val="0"/>
        </w:rPr>
        <w:t>neutropenija</w:t>
      </w:r>
      <w:proofErr w:type="spellEnd"/>
      <w:r w:rsidRPr="00074768">
        <w:rPr>
          <w:rFonts w:ascii="Times New Roman" w:hAnsi="Times New Roman"/>
          <w:snapToGrid w:val="0"/>
        </w:rPr>
        <w:t>, dozė turi būti sumažinta</w:t>
      </w:r>
      <w:r w:rsidR="00DA593C" w:rsidRPr="00074768">
        <w:rPr>
          <w:rFonts w:ascii="Times New Roman" w:hAnsi="Times New Roman"/>
          <w:snapToGrid w:val="0"/>
        </w:rPr>
        <w:t xml:space="preserve"> </w:t>
      </w:r>
      <w:r w:rsidRPr="00074768">
        <w:rPr>
          <w:rFonts w:ascii="Times New Roman" w:hAnsi="Times New Roman"/>
          <w:snapToGrid w:val="0"/>
        </w:rPr>
        <w:t>(žr.</w:t>
      </w:r>
      <w:r w:rsidR="00437A8E">
        <w:rPr>
          <w:rFonts w:ascii="Times New Roman" w:hAnsi="Times New Roman"/>
          <w:snapToGrid w:val="0"/>
        </w:rPr>
        <w:t> </w:t>
      </w:r>
      <w:r w:rsidRPr="00074768">
        <w:rPr>
          <w:rFonts w:ascii="Times New Roman" w:hAnsi="Times New Roman"/>
          <w:snapToGrid w:val="0"/>
        </w:rPr>
        <w:t>4.2</w:t>
      </w:r>
      <w:r w:rsidR="00437A8E">
        <w:rPr>
          <w:rFonts w:ascii="Times New Roman" w:hAnsi="Times New Roman"/>
          <w:snapToGrid w:val="0"/>
        </w:rPr>
        <w:t> </w:t>
      </w:r>
      <w:r w:rsidRPr="00074768">
        <w:rPr>
          <w:rFonts w:ascii="Times New Roman" w:hAnsi="Times New Roman"/>
          <w:snapToGrid w:val="0"/>
        </w:rPr>
        <w:t>skyrių).</w:t>
      </w:r>
    </w:p>
    <w:p w14:paraId="776BFA7E" w14:textId="010BD0C8" w:rsidR="002276FD" w:rsidRPr="00074768" w:rsidRDefault="00DA593C" w:rsidP="002276FD">
      <w:pPr>
        <w:spacing w:after="0" w:line="240" w:lineRule="auto"/>
        <w:rPr>
          <w:rFonts w:ascii="Times New Roman" w:hAnsi="Times New Roman"/>
          <w:snapToGrid w:val="0"/>
        </w:rPr>
      </w:pPr>
      <w:r w:rsidRPr="00074768">
        <w:rPr>
          <w:rFonts w:ascii="Times New Roman" w:hAnsi="Times New Roman"/>
          <w:snapToGrid w:val="0"/>
        </w:rPr>
        <w:t>Pacientams vėl taikyti g</w:t>
      </w:r>
      <w:r w:rsidR="002276FD" w:rsidRPr="00074768">
        <w:rPr>
          <w:rFonts w:ascii="Times New Roman" w:hAnsi="Times New Roman"/>
          <w:snapToGrid w:val="0"/>
        </w:rPr>
        <w:t>ydymą galima tik</w:t>
      </w:r>
      <w:r w:rsidRPr="00074768">
        <w:rPr>
          <w:rFonts w:ascii="Times New Roman" w:hAnsi="Times New Roman"/>
          <w:snapToGrid w:val="0"/>
        </w:rPr>
        <w:t xml:space="preserve"> tada, kai</w:t>
      </w:r>
      <w:r w:rsidR="002276FD" w:rsidRPr="00074768">
        <w:rPr>
          <w:rFonts w:ascii="Times New Roman" w:hAnsi="Times New Roman"/>
          <w:snapToGrid w:val="0"/>
        </w:rPr>
        <w:t xml:space="preserve"> </w:t>
      </w:r>
      <w:proofErr w:type="spellStart"/>
      <w:r w:rsidR="002276FD" w:rsidRPr="00074768">
        <w:rPr>
          <w:rFonts w:ascii="Times New Roman" w:hAnsi="Times New Roman"/>
          <w:snapToGrid w:val="0"/>
        </w:rPr>
        <w:t>neutrofilų</w:t>
      </w:r>
      <w:proofErr w:type="spellEnd"/>
      <w:r w:rsidR="002276FD" w:rsidRPr="00074768">
        <w:rPr>
          <w:rFonts w:ascii="Times New Roman" w:hAnsi="Times New Roman"/>
          <w:snapToGrid w:val="0"/>
        </w:rPr>
        <w:t xml:space="preserve"> kiekis vėl tampa ≥</w:t>
      </w:r>
      <w:r w:rsidR="00EC0335">
        <w:rPr>
          <w:rFonts w:ascii="Times New Roman" w:hAnsi="Times New Roman"/>
          <w:snapToGrid w:val="0"/>
        </w:rPr>
        <w:t> </w:t>
      </w:r>
      <w:r w:rsidR="002276FD" w:rsidRPr="00074768">
        <w:rPr>
          <w:rFonts w:ascii="Times New Roman" w:hAnsi="Times New Roman"/>
          <w:snapToGrid w:val="0"/>
        </w:rPr>
        <w:t>1</w:t>
      </w:r>
      <w:r w:rsidR="00437A8E">
        <w:rPr>
          <w:rFonts w:ascii="Times New Roman" w:hAnsi="Times New Roman"/>
          <w:snapToGrid w:val="0"/>
        </w:rPr>
        <w:t> </w:t>
      </w:r>
      <w:r w:rsidR="002276FD" w:rsidRPr="00074768">
        <w:rPr>
          <w:rFonts w:ascii="Times New Roman" w:hAnsi="Times New Roman"/>
          <w:snapToGrid w:val="0"/>
        </w:rPr>
        <w:t>500/mm</w:t>
      </w:r>
      <w:r w:rsidR="002276FD" w:rsidRPr="00074768">
        <w:rPr>
          <w:rFonts w:ascii="Times New Roman" w:hAnsi="Times New Roman"/>
          <w:snapToGrid w:val="0"/>
          <w:vertAlign w:val="superscript"/>
        </w:rPr>
        <w:t>3</w:t>
      </w:r>
      <w:r w:rsidR="002276FD" w:rsidRPr="00074768">
        <w:rPr>
          <w:rFonts w:ascii="Times New Roman" w:hAnsi="Times New Roman"/>
          <w:snapToGrid w:val="0"/>
        </w:rPr>
        <w:t xml:space="preserve"> (žr.</w:t>
      </w:r>
      <w:r w:rsidR="00437A8E">
        <w:rPr>
          <w:rFonts w:ascii="Times New Roman" w:hAnsi="Times New Roman"/>
          <w:snapToGrid w:val="0"/>
        </w:rPr>
        <w:t> </w:t>
      </w:r>
      <w:r w:rsidR="002276FD" w:rsidRPr="00074768">
        <w:rPr>
          <w:rFonts w:ascii="Times New Roman" w:hAnsi="Times New Roman"/>
          <w:snapToGrid w:val="0"/>
        </w:rPr>
        <w:t>4.3</w:t>
      </w:r>
      <w:r w:rsidR="00437A8E">
        <w:rPr>
          <w:rFonts w:ascii="Times New Roman" w:hAnsi="Times New Roman"/>
          <w:snapToGrid w:val="0"/>
        </w:rPr>
        <w:t> </w:t>
      </w:r>
      <w:r w:rsidR="002276FD" w:rsidRPr="00074768">
        <w:rPr>
          <w:rFonts w:ascii="Times New Roman" w:hAnsi="Times New Roman"/>
          <w:snapToGrid w:val="0"/>
        </w:rPr>
        <w:t>skyrių).</w:t>
      </w:r>
    </w:p>
    <w:p w14:paraId="0475AC0A" w14:textId="77777777" w:rsidR="00DA593C" w:rsidRPr="00074768" w:rsidRDefault="00DA593C" w:rsidP="002276FD">
      <w:pPr>
        <w:spacing w:after="0" w:line="240" w:lineRule="auto"/>
        <w:rPr>
          <w:rFonts w:ascii="Times New Roman" w:hAnsi="Times New Roman"/>
          <w:snapToGrid w:val="0"/>
        </w:rPr>
      </w:pPr>
    </w:p>
    <w:p w14:paraId="31559D47" w14:textId="77777777" w:rsidR="002276FD" w:rsidRPr="00074768" w:rsidRDefault="002276FD" w:rsidP="002276FD">
      <w:pPr>
        <w:spacing w:after="0" w:line="240" w:lineRule="auto"/>
        <w:rPr>
          <w:rFonts w:ascii="Times New Roman" w:hAnsi="Times New Roman"/>
          <w:snapToGrid w:val="0"/>
          <w:u w:val="single"/>
        </w:rPr>
      </w:pPr>
      <w:r w:rsidRPr="00074768">
        <w:rPr>
          <w:rFonts w:ascii="Times New Roman" w:hAnsi="Times New Roman"/>
          <w:snapToGrid w:val="0"/>
          <w:u w:val="single"/>
        </w:rPr>
        <w:t>Virškinimo trakto sutrikimai</w:t>
      </w:r>
    </w:p>
    <w:p w14:paraId="3C7F75A0" w14:textId="77777777" w:rsidR="002276FD" w:rsidRPr="00074768" w:rsidRDefault="002276FD" w:rsidP="002276FD">
      <w:pPr>
        <w:spacing w:after="0" w:line="240" w:lineRule="auto"/>
        <w:rPr>
          <w:rFonts w:ascii="Times New Roman" w:hAnsi="Times New Roman"/>
          <w:snapToGrid w:val="0"/>
        </w:rPr>
      </w:pPr>
      <w:r w:rsidRPr="00074768">
        <w:rPr>
          <w:rFonts w:ascii="Times New Roman" w:hAnsi="Times New Roman"/>
          <w:snapToGrid w:val="0"/>
        </w:rPr>
        <w:t>Simptomai, tokie kaip pilvo skausmas ir jautrumas, karščiavimas, nuolatinis vidurių užkietėjimas,</w:t>
      </w:r>
      <w:r w:rsidR="00A9206F" w:rsidRPr="00074768">
        <w:rPr>
          <w:rFonts w:ascii="Times New Roman" w:hAnsi="Times New Roman"/>
          <w:snapToGrid w:val="0"/>
        </w:rPr>
        <w:t xml:space="preserve"> </w:t>
      </w:r>
      <w:r w:rsidRPr="00074768">
        <w:rPr>
          <w:rFonts w:ascii="Times New Roman" w:hAnsi="Times New Roman"/>
          <w:snapToGrid w:val="0"/>
        </w:rPr>
        <w:t xml:space="preserve">viduriavimas kartu su </w:t>
      </w:r>
      <w:proofErr w:type="spellStart"/>
      <w:r w:rsidRPr="00074768">
        <w:rPr>
          <w:rFonts w:ascii="Times New Roman" w:hAnsi="Times New Roman"/>
          <w:snapToGrid w:val="0"/>
        </w:rPr>
        <w:t>neutropenija</w:t>
      </w:r>
      <w:proofErr w:type="spellEnd"/>
      <w:r w:rsidRPr="00074768">
        <w:rPr>
          <w:rFonts w:ascii="Times New Roman" w:hAnsi="Times New Roman"/>
          <w:snapToGrid w:val="0"/>
        </w:rPr>
        <w:t xml:space="preserve"> arba be jos, gali būti ankstyvieji sunkaus toksinio poveikio</w:t>
      </w:r>
      <w:r w:rsidR="00A9206F" w:rsidRPr="00074768">
        <w:rPr>
          <w:rFonts w:ascii="Times New Roman" w:hAnsi="Times New Roman"/>
          <w:snapToGrid w:val="0"/>
        </w:rPr>
        <w:t xml:space="preserve"> </w:t>
      </w:r>
      <w:r w:rsidRPr="00074768">
        <w:rPr>
          <w:rFonts w:ascii="Times New Roman" w:hAnsi="Times New Roman"/>
          <w:snapToGrid w:val="0"/>
        </w:rPr>
        <w:t>virškinimo traktui požymiai ir turi būti nedelsiant tiriami ir gydomi. Gali prireikti atidėti arba</w:t>
      </w:r>
      <w:r w:rsidR="00A9206F" w:rsidRPr="00074768">
        <w:rPr>
          <w:rFonts w:ascii="Times New Roman" w:hAnsi="Times New Roman"/>
          <w:snapToGrid w:val="0"/>
        </w:rPr>
        <w:t xml:space="preserve"> </w:t>
      </w:r>
      <w:r w:rsidRPr="00074768">
        <w:rPr>
          <w:rFonts w:ascii="Times New Roman" w:hAnsi="Times New Roman"/>
          <w:snapToGrid w:val="0"/>
        </w:rPr>
        <w:t xml:space="preserve">nutraukti gydymą </w:t>
      </w:r>
      <w:proofErr w:type="spellStart"/>
      <w:r w:rsidRPr="00074768">
        <w:rPr>
          <w:rFonts w:ascii="Times New Roman" w:hAnsi="Times New Roman"/>
          <w:snapToGrid w:val="0"/>
        </w:rPr>
        <w:t>kabazitakseliu</w:t>
      </w:r>
      <w:proofErr w:type="spellEnd"/>
      <w:r w:rsidRPr="00074768">
        <w:rPr>
          <w:rFonts w:ascii="Times New Roman" w:hAnsi="Times New Roman"/>
          <w:snapToGrid w:val="0"/>
        </w:rPr>
        <w:t>.</w:t>
      </w:r>
    </w:p>
    <w:p w14:paraId="00D043E2" w14:textId="77777777" w:rsidR="00A9206F" w:rsidRPr="00074768" w:rsidRDefault="00A9206F" w:rsidP="002276FD">
      <w:pPr>
        <w:spacing w:after="0" w:line="240" w:lineRule="auto"/>
        <w:rPr>
          <w:rFonts w:ascii="Times New Roman" w:hAnsi="Times New Roman"/>
          <w:snapToGrid w:val="0"/>
        </w:rPr>
      </w:pPr>
    </w:p>
    <w:p w14:paraId="50C8F6E3" w14:textId="77777777" w:rsidR="002276FD" w:rsidRPr="00074768" w:rsidRDefault="002276FD" w:rsidP="002276FD">
      <w:pPr>
        <w:spacing w:after="0" w:line="240" w:lineRule="auto"/>
        <w:rPr>
          <w:rFonts w:ascii="Times New Roman" w:hAnsi="Times New Roman"/>
          <w:i/>
          <w:snapToGrid w:val="0"/>
        </w:rPr>
      </w:pPr>
      <w:r w:rsidRPr="00074768">
        <w:rPr>
          <w:rFonts w:ascii="Times New Roman" w:hAnsi="Times New Roman"/>
          <w:i/>
          <w:snapToGrid w:val="0"/>
        </w:rPr>
        <w:t>Pykinimo, vėmimo, viduriavimo ir dehidratacijos rizika</w:t>
      </w:r>
    </w:p>
    <w:p w14:paraId="48B44EBD" w14:textId="095B3CC1" w:rsidR="00EE4418" w:rsidRPr="00074768" w:rsidRDefault="002276FD" w:rsidP="002276FD">
      <w:pPr>
        <w:spacing w:after="0" w:line="240" w:lineRule="auto"/>
        <w:rPr>
          <w:rFonts w:ascii="Times New Roman" w:hAnsi="Times New Roman"/>
          <w:snapToGrid w:val="0"/>
        </w:rPr>
      </w:pPr>
      <w:r w:rsidRPr="00074768">
        <w:rPr>
          <w:rFonts w:ascii="Times New Roman" w:hAnsi="Times New Roman"/>
          <w:snapToGrid w:val="0"/>
        </w:rPr>
        <w:t xml:space="preserve">Pacientus, kuriems po </w:t>
      </w:r>
      <w:proofErr w:type="spellStart"/>
      <w:r w:rsidRPr="00074768">
        <w:rPr>
          <w:rFonts w:ascii="Times New Roman" w:hAnsi="Times New Roman"/>
          <w:snapToGrid w:val="0"/>
        </w:rPr>
        <w:t>kabazitakselio</w:t>
      </w:r>
      <w:proofErr w:type="spellEnd"/>
      <w:r w:rsidRPr="00074768">
        <w:rPr>
          <w:rFonts w:ascii="Times New Roman" w:hAnsi="Times New Roman"/>
          <w:snapToGrid w:val="0"/>
        </w:rPr>
        <w:t xml:space="preserve"> vartojimo pasireiškia viduriavimas, galima gydyti įprastais</w:t>
      </w:r>
      <w:r w:rsidR="00A9206F" w:rsidRPr="00074768">
        <w:rPr>
          <w:rFonts w:ascii="Times New Roman" w:hAnsi="Times New Roman"/>
          <w:snapToGrid w:val="0"/>
        </w:rPr>
        <w:t xml:space="preserve"> </w:t>
      </w:r>
      <w:r w:rsidRPr="00074768">
        <w:rPr>
          <w:rFonts w:ascii="Times New Roman" w:hAnsi="Times New Roman"/>
          <w:snapToGrid w:val="0"/>
        </w:rPr>
        <w:t xml:space="preserve">vaistiniais preparatais nuo viduriavimo. Būtina imtis </w:t>
      </w:r>
      <w:r w:rsidR="00EE4418" w:rsidRPr="00074768">
        <w:rPr>
          <w:rFonts w:ascii="Times New Roman" w:hAnsi="Times New Roman"/>
          <w:snapToGrid w:val="0"/>
        </w:rPr>
        <w:t>reikiamų</w:t>
      </w:r>
      <w:r w:rsidRPr="00074768">
        <w:rPr>
          <w:rFonts w:ascii="Times New Roman" w:hAnsi="Times New Roman"/>
          <w:snapToGrid w:val="0"/>
        </w:rPr>
        <w:t xml:space="preserve"> priemonių pacientui </w:t>
      </w:r>
      <w:proofErr w:type="spellStart"/>
      <w:r w:rsidRPr="00074768">
        <w:rPr>
          <w:rFonts w:ascii="Times New Roman" w:hAnsi="Times New Roman"/>
          <w:snapToGrid w:val="0"/>
        </w:rPr>
        <w:t>rehidratuoti</w:t>
      </w:r>
      <w:proofErr w:type="spellEnd"/>
      <w:r w:rsidRPr="00074768">
        <w:rPr>
          <w:rFonts w:ascii="Times New Roman" w:hAnsi="Times New Roman"/>
          <w:snapToGrid w:val="0"/>
        </w:rPr>
        <w:t>.</w:t>
      </w:r>
      <w:r w:rsidR="00A9206F" w:rsidRPr="00074768">
        <w:rPr>
          <w:rFonts w:ascii="Times New Roman" w:hAnsi="Times New Roman"/>
          <w:snapToGrid w:val="0"/>
        </w:rPr>
        <w:t xml:space="preserve"> </w:t>
      </w:r>
      <w:r w:rsidRPr="00074768">
        <w:rPr>
          <w:rFonts w:ascii="Times New Roman" w:hAnsi="Times New Roman"/>
          <w:snapToGrid w:val="0"/>
        </w:rPr>
        <w:t xml:space="preserve">Viduriavimas dažniau gali </w:t>
      </w:r>
      <w:r w:rsidR="00EE4418" w:rsidRPr="00074768">
        <w:rPr>
          <w:rFonts w:ascii="Times New Roman" w:hAnsi="Times New Roman"/>
          <w:snapToGrid w:val="0"/>
        </w:rPr>
        <w:t>pasireikšti</w:t>
      </w:r>
      <w:r w:rsidRPr="00074768">
        <w:rPr>
          <w:rFonts w:ascii="Times New Roman" w:hAnsi="Times New Roman"/>
          <w:snapToGrid w:val="0"/>
        </w:rPr>
        <w:t xml:space="preserve"> pacientams, kurie</w:t>
      </w:r>
      <w:r w:rsidR="00EE4418" w:rsidRPr="00074768">
        <w:rPr>
          <w:rFonts w:ascii="Times New Roman" w:hAnsi="Times New Roman"/>
          <w:snapToGrid w:val="0"/>
        </w:rPr>
        <w:t>ms</w:t>
      </w:r>
      <w:r w:rsidRPr="00074768">
        <w:rPr>
          <w:rFonts w:ascii="Times New Roman" w:hAnsi="Times New Roman"/>
          <w:snapToGrid w:val="0"/>
        </w:rPr>
        <w:t xml:space="preserve"> buvo </w:t>
      </w:r>
      <w:r w:rsidR="00EE4418" w:rsidRPr="00074768">
        <w:rPr>
          <w:rFonts w:ascii="Times New Roman" w:hAnsi="Times New Roman"/>
          <w:snapToGrid w:val="0"/>
        </w:rPr>
        <w:t>taikytas spindulinis gydymas</w:t>
      </w:r>
      <w:r w:rsidRPr="00074768">
        <w:rPr>
          <w:rFonts w:ascii="Times New Roman" w:hAnsi="Times New Roman"/>
          <w:snapToGrid w:val="0"/>
        </w:rPr>
        <w:t xml:space="preserve"> pilvo ar dubens srityje.</w:t>
      </w:r>
      <w:r w:rsidR="00A9206F" w:rsidRPr="00074768">
        <w:rPr>
          <w:rFonts w:ascii="Times New Roman" w:hAnsi="Times New Roman"/>
          <w:snapToGrid w:val="0"/>
        </w:rPr>
        <w:t xml:space="preserve"> </w:t>
      </w:r>
      <w:r w:rsidRPr="00074768">
        <w:rPr>
          <w:rFonts w:ascii="Times New Roman" w:hAnsi="Times New Roman"/>
          <w:snapToGrid w:val="0"/>
        </w:rPr>
        <w:t xml:space="preserve">Dehidratacija dažniau </w:t>
      </w:r>
      <w:r w:rsidR="00EE4418" w:rsidRPr="00074768">
        <w:rPr>
          <w:rFonts w:ascii="Times New Roman" w:hAnsi="Times New Roman"/>
          <w:snapToGrid w:val="0"/>
        </w:rPr>
        <w:t>pasireiškia</w:t>
      </w:r>
      <w:r w:rsidRPr="00074768">
        <w:rPr>
          <w:rFonts w:ascii="Times New Roman" w:hAnsi="Times New Roman"/>
          <w:snapToGrid w:val="0"/>
        </w:rPr>
        <w:t xml:space="preserve"> 65</w:t>
      </w:r>
      <w:r w:rsidR="00EC0335">
        <w:rPr>
          <w:rFonts w:ascii="Times New Roman" w:hAnsi="Times New Roman"/>
          <w:snapToGrid w:val="0"/>
        </w:rPr>
        <w:t> </w:t>
      </w:r>
      <w:r w:rsidRPr="00074768">
        <w:rPr>
          <w:rFonts w:ascii="Times New Roman" w:hAnsi="Times New Roman"/>
          <w:snapToGrid w:val="0"/>
        </w:rPr>
        <w:t xml:space="preserve">metų ar vyresniems pacientams. Būtina imtis </w:t>
      </w:r>
      <w:r w:rsidR="00EE4418" w:rsidRPr="00074768">
        <w:rPr>
          <w:rFonts w:ascii="Times New Roman" w:hAnsi="Times New Roman"/>
          <w:snapToGrid w:val="0"/>
        </w:rPr>
        <w:t>reikiamų</w:t>
      </w:r>
      <w:r w:rsidRPr="00074768">
        <w:rPr>
          <w:rFonts w:ascii="Times New Roman" w:hAnsi="Times New Roman"/>
          <w:snapToGrid w:val="0"/>
        </w:rPr>
        <w:t xml:space="preserve"> priemonių</w:t>
      </w:r>
      <w:r w:rsidR="00A9206F" w:rsidRPr="00074768">
        <w:rPr>
          <w:rFonts w:ascii="Times New Roman" w:hAnsi="Times New Roman"/>
          <w:snapToGrid w:val="0"/>
        </w:rPr>
        <w:t xml:space="preserve"> </w:t>
      </w:r>
      <w:r w:rsidRPr="00074768">
        <w:rPr>
          <w:rFonts w:ascii="Times New Roman" w:hAnsi="Times New Roman"/>
          <w:snapToGrid w:val="0"/>
        </w:rPr>
        <w:t xml:space="preserve">pacientui </w:t>
      </w:r>
      <w:proofErr w:type="spellStart"/>
      <w:r w:rsidRPr="00074768">
        <w:rPr>
          <w:rFonts w:ascii="Times New Roman" w:hAnsi="Times New Roman"/>
          <w:snapToGrid w:val="0"/>
        </w:rPr>
        <w:t>rehidratuoti</w:t>
      </w:r>
      <w:proofErr w:type="spellEnd"/>
      <w:r w:rsidRPr="00074768">
        <w:rPr>
          <w:rFonts w:ascii="Times New Roman" w:hAnsi="Times New Roman"/>
          <w:snapToGrid w:val="0"/>
        </w:rPr>
        <w:t xml:space="preserve"> ir stebėti bei koreguoti elektrolitų, ypač kalio, koncentraciją serume. Jei yra</w:t>
      </w:r>
      <w:r w:rsidR="00A9206F" w:rsidRPr="00074768">
        <w:rPr>
          <w:rFonts w:ascii="Times New Roman" w:hAnsi="Times New Roman"/>
          <w:snapToGrid w:val="0"/>
        </w:rPr>
        <w:t xml:space="preserve"> </w:t>
      </w:r>
      <w:r w:rsidRPr="00074768">
        <w:rPr>
          <w:rFonts w:ascii="Times New Roman" w:hAnsi="Times New Roman"/>
          <w:snapToGrid w:val="0"/>
        </w:rPr>
        <w:t>≥</w:t>
      </w:r>
      <w:r w:rsidR="00EC0335">
        <w:rPr>
          <w:rFonts w:ascii="Times New Roman" w:hAnsi="Times New Roman"/>
          <w:snapToGrid w:val="0"/>
        </w:rPr>
        <w:t> </w:t>
      </w:r>
      <w:r w:rsidRPr="00074768">
        <w:rPr>
          <w:rFonts w:ascii="Times New Roman" w:hAnsi="Times New Roman"/>
          <w:snapToGrid w:val="0"/>
        </w:rPr>
        <w:t>3</w:t>
      </w:r>
      <w:r w:rsidR="00EC0335">
        <w:rPr>
          <w:rFonts w:ascii="Times New Roman" w:hAnsi="Times New Roman"/>
          <w:snapToGrid w:val="0"/>
        </w:rPr>
        <w:t> </w:t>
      </w:r>
      <w:r w:rsidRPr="00074768">
        <w:rPr>
          <w:rFonts w:ascii="Times New Roman" w:hAnsi="Times New Roman"/>
          <w:snapToGrid w:val="0"/>
        </w:rPr>
        <w:t>laipsnio viduriavimas, gali reikėti infuziją atidėti ar dozę sumažinti (žr.</w:t>
      </w:r>
      <w:r w:rsidR="00B546AC">
        <w:rPr>
          <w:rFonts w:ascii="Times New Roman" w:hAnsi="Times New Roman"/>
          <w:snapToGrid w:val="0"/>
        </w:rPr>
        <w:t> </w:t>
      </w:r>
      <w:r w:rsidRPr="00074768">
        <w:rPr>
          <w:rFonts w:ascii="Times New Roman" w:hAnsi="Times New Roman"/>
          <w:snapToGrid w:val="0"/>
        </w:rPr>
        <w:t>4.2</w:t>
      </w:r>
      <w:r w:rsidR="00B546AC">
        <w:rPr>
          <w:rFonts w:ascii="Times New Roman" w:hAnsi="Times New Roman"/>
          <w:snapToGrid w:val="0"/>
        </w:rPr>
        <w:t> </w:t>
      </w:r>
      <w:r w:rsidRPr="00074768">
        <w:rPr>
          <w:rFonts w:ascii="Times New Roman" w:hAnsi="Times New Roman"/>
          <w:snapToGrid w:val="0"/>
        </w:rPr>
        <w:t>skyrių). Jei pacientui</w:t>
      </w:r>
      <w:r w:rsidR="00A9206F" w:rsidRPr="00074768">
        <w:rPr>
          <w:rFonts w:ascii="Times New Roman" w:hAnsi="Times New Roman"/>
          <w:snapToGrid w:val="0"/>
        </w:rPr>
        <w:t xml:space="preserve"> </w:t>
      </w:r>
      <w:r w:rsidR="00EE4418" w:rsidRPr="00074768">
        <w:rPr>
          <w:rFonts w:ascii="Times New Roman" w:hAnsi="Times New Roman"/>
          <w:snapToGrid w:val="0"/>
        </w:rPr>
        <w:t>pasireiškia</w:t>
      </w:r>
      <w:r w:rsidRPr="00074768">
        <w:rPr>
          <w:rFonts w:ascii="Times New Roman" w:hAnsi="Times New Roman"/>
          <w:snapToGrid w:val="0"/>
        </w:rPr>
        <w:t xml:space="preserve"> pykinimas ar vėmimas, </w:t>
      </w:r>
      <w:r w:rsidR="00E61074">
        <w:rPr>
          <w:rFonts w:ascii="Times New Roman" w:hAnsi="Times New Roman"/>
          <w:snapToGrid w:val="0"/>
        </w:rPr>
        <w:t>jį</w:t>
      </w:r>
      <w:r w:rsidRPr="00074768">
        <w:rPr>
          <w:rFonts w:ascii="Times New Roman" w:hAnsi="Times New Roman"/>
          <w:snapToGrid w:val="0"/>
        </w:rPr>
        <w:t xml:space="preserve"> galima gydyti įprastiniais </w:t>
      </w:r>
      <w:r w:rsidR="00EE4418" w:rsidRPr="00074768">
        <w:rPr>
          <w:rFonts w:ascii="Times New Roman" w:hAnsi="Times New Roman"/>
          <w:snapToGrid w:val="0"/>
        </w:rPr>
        <w:t>vaistiniais preparatais nuo vėmimo</w:t>
      </w:r>
      <w:r w:rsidRPr="00074768">
        <w:rPr>
          <w:rFonts w:ascii="Times New Roman" w:hAnsi="Times New Roman"/>
          <w:snapToGrid w:val="0"/>
        </w:rPr>
        <w:t>.</w:t>
      </w:r>
      <w:r w:rsidR="00A9206F" w:rsidRPr="00074768">
        <w:rPr>
          <w:rFonts w:ascii="Times New Roman" w:hAnsi="Times New Roman"/>
          <w:snapToGrid w:val="0"/>
        </w:rPr>
        <w:t xml:space="preserve"> </w:t>
      </w:r>
    </w:p>
    <w:p w14:paraId="483D79A8" w14:textId="77777777" w:rsidR="00EE4418" w:rsidRPr="00074768" w:rsidRDefault="00EE4418" w:rsidP="002276FD">
      <w:pPr>
        <w:spacing w:after="0" w:line="240" w:lineRule="auto"/>
        <w:rPr>
          <w:rFonts w:ascii="Times New Roman" w:hAnsi="Times New Roman"/>
          <w:snapToGrid w:val="0"/>
        </w:rPr>
      </w:pPr>
    </w:p>
    <w:p w14:paraId="7971096E" w14:textId="77777777" w:rsidR="00EE4418" w:rsidRPr="00074768" w:rsidRDefault="002276FD" w:rsidP="002276FD">
      <w:pPr>
        <w:spacing w:after="0" w:line="240" w:lineRule="auto"/>
        <w:rPr>
          <w:rFonts w:ascii="Times New Roman" w:hAnsi="Times New Roman"/>
          <w:i/>
          <w:snapToGrid w:val="0"/>
        </w:rPr>
      </w:pPr>
      <w:r w:rsidRPr="00074768">
        <w:rPr>
          <w:rFonts w:ascii="Times New Roman" w:hAnsi="Times New Roman"/>
          <w:i/>
          <w:snapToGrid w:val="0"/>
        </w:rPr>
        <w:t>Sunkių virškinimo trakto reakcijų pasireiškimo rizika</w:t>
      </w:r>
      <w:r w:rsidR="00A9206F" w:rsidRPr="00074768">
        <w:rPr>
          <w:rFonts w:ascii="Times New Roman" w:hAnsi="Times New Roman"/>
          <w:i/>
          <w:snapToGrid w:val="0"/>
        </w:rPr>
        <w:t xml:space="preserve"> </w:t>
      </w:r>
    </w:p>
    <w:p w14:paraId="0083B448" w14:textId="359536FE" w:rsidR="002276FD" w:rsidRPr="00074768" w:rsidRDefault="002276FD" w:rsidP="002276FD">
      <w:pPr>
        <w:spacing w:after="0" w:line="240" w:lineRule="auto"/>
        <w:rPr>
          <w:rFonts w:ascii="Times New Roman" w:hAnsi="Times New Roman"/>
          <w:snapToGrid w:val="0"/>
        </w:rPr>
      </w:pPr>
      <w:r w:rsidRPr="00074768">
        <w:rPr>
          <w:rFonts w:ascii="Times New Roman" w:hAnsi="Times New Roman"/>
          <w:snapToGrid w:val="0"/>
        </w:rPr>
        <w:t>Buvo gauta pranešimų apie virškinimo trakto (VT) kraujavimo ir perforacijos, žarnų nepraeinamumo,</w:t>
      </w:r>
      <w:r w:rsidR="00A9206F" w:rsidRPr="00074768">
        <w:rPr>
          <w:rFonts w:ascii="Times New Roman" w:hAnsi="Times New Roman"/>
          <w:snapToGrid w:val="0"/>
        </w:rPr>
        <w:t xml:space="preserve"> </w:t>
      </w:r>
      <w:r w:rsidRPr="00074768">
        <w:rPr>
          <w:rFonts w:ascii="Times New Roman" w:hAnsi="Times New Roman"/>
          <w:snapToGrid w:val="0"/>
        </w:rPr>
        <w:t xml:space="preserve">kolito (įskaitant pasibaigusį mirtimi) atvejus pacientams, gydytiems </w:t>
      </w:r>
      <w:proofErr w:type="spellStart"/>
      <w:r w:rsidRPr="00074768">
        <w:rPr>
          <w:rFonts w:ascii="Times New Roman" w:hAnsi="Times New Roman"/>
          <w:snapToGrid w:val="0"/>
        </w:rPr>
        <w:t>kabazitakseliu</w:t>
      </w:r>
      <w:proofErr w:type="spellEnd"/>
      <w:r w:rsidRPr="00074768">
        <w:rPr>
          <w:rFonts w:ascii="Times New Roman" w:hAnsi="Times New Roman"/>
          <w:snapToGrid w:val="0"/>
        </w:rPr>
        <w:t xml:space="preserve"> (žr.</w:t>
      </w:r>
      <w:r w:rsidR="00B546AC">
        <w:rPr>
          <w:rFonts w:ascii="Times New Roman" w:hAnsi="Times New Roman"/>
          <w:snapToGrid w:val="0"/>
        </w:rPr>
        <w:t> </w:t>
      </w:r>
      <w:r w:rsidRPr="00074768">
        <w:rPr>
          <w:rFonts w:ascii="Times New Roman" w:hAnsi="Times New Roman"/>
          <w:snapToGrid w:val="0"/>
        </w:rPr>
        <w:t>4.8</w:t>
      </w:r>
      <w:r w:rsidR="00B546AC">
        <w:rPr>
          <w:rFonts w:ascii="Times New Roman" w:hAnsi="Times New Roman"/>
          <w:snapToGrid w:val="0"/>
        </w:rPr>
        <w:t> </w:t>
      </w:r>
      <w:r w:rsidRPr="00074768">
        <w:rPr>
          <w:rFonts w:ascii="Times New Roman" w:hAnsi="Times New Roman"/>
          <w:snapToGrid w:val="0"/>
        </w:rPr>
        <w:t>skyrių).</w:t>
      </w:r>
      <w:r w:rsidR="00A9206F" w:rsidRPr="00074768">
        <w:rPr>
          <w:rFonts w:ascii="Times New Roman" w:hAnsi="Times New Roman"/>
          <w:snapToGrid w:val="0"/>
        </w:rPr>
        <w:t xml:space="preserve"> </w:t>
      </w:r>
      <w:r w:rsidRPr="00074768">
        <w:rPr>
          <w:rFonts w:ascii="Times New Roman" w:hAnsi="Times New Roman"/>
          <w:snapToGrid w:val="0"/>
        </w:rPr>
        <w:t xml:space="preserve">Patartina atsargiai gydyti pacientus, kuriems yra didžiausia virškinimo trakto komplikacijų rizika: kuriems yra </w:t>
      </w:r>
      <w:proofErr w:type="spellStart"/>
      <w:r w:rsidRPr="00074768">
        <w:rPr>
          <w:rFonts w:ascii="Times New Roman" w:hAnsi="Times New Roman"/>
          <w:snapToGrid w:val="0"/>
        </w:rPr>
        <w:t>neutropenija</w:t>
      </w:r>
      <w:proofErr w:type="spellEnd"/>
      <w:r w:rsidRPr="00074768">
        <w:rPr>
          <w:rFonts w:ascii="Times New Roman" w:hAnsi="Times New Roman"/>
          <w:snapToGrid w:val="0"/>
        </w:rPr>
        <w:t>, yra senyvo amžiaus, kartu vartoja NVNU, trombocitų</w:t>
      </w:r>
      <w:r w:rsidR="00A9206F" w:rsidRPr="00074768">
        <w:rPr>
          <w:rFonts w:ascii="Times New Roman" w:hAnsi="Times New Roman"/>
          <w:snapToGrid w:val="0"/>
        </w:rPr>
        <w:t xml:space="preserve"> </w:t>
      </w:r>
      <w:proofErr w:type="spellStart"/>
      <w:r w:rsidRPr="00074768">
        <w:rPr>
          <w:rFonts w:ascii="Times New Roman" w:hAnsi="Times New Roman"/>
          <w:snapToGrid w:val="0"/>
        </w:rPr>
        <w:t>agregaciją</w:t>
      </w:r>
      <w:proofErr w:type="spellEnd"/>
      <w:r w:rsidRPr="00074768">
        <w:rPr>
          <w:rFonts w:ascii="Times New Roman" w:hAnsi="Times New Roman"/>
          <w:snapToGrid w:val="0"/>
        </w:rPr>
        <w:t xml:space="preserve"> slopinančių vaistinių preparatų arba antikoaguliantų, ir pacientus, kuriems anksčiau atlikta</w:t>
      </w:r>
      <w:r w:rsidR="00A9206F" w:rsidRPr="00074768">
        <w:rPr>
          <w:rFonts w:ascii="Times New Roman" w:hAnsi="Times New Roman"/>
          <w:snapToGrid w:val="0"/>
        </w:rPr>
        <w:t xml:space="preserve"> </w:t>
      </w:r>
      <w:r w:rsidRPr="00074768">
        <w:rPr>
          <w:rFonts w:ascii="Times New Roman" w:hAnsi="Times New Roman"/>
          <w:snapToGrid w:val="0"/>
        </w:rPr>
        <w:t>dubens radioterapija arba yra buvę virškinimo trakto ligų, tokių, kaip išopėjimas ir</w:t>
      </w:r>
      <w:r w:rsidR="00A9206F" w:rsidRPr="00074768">
        <w:rPr>
          <w:rFonts w:ascii="Times New Roman" w:hAnsi="Times New Roman"/>
          <w:snapToGrid w:val="0"/>
        </w:rPr>
        <w:t xml:space="preserve"> </w:t>
      </w:r>
      <w:r w:rsidRPr="00074768">
        <w:rPr>
          <w:rFonts w:ascii="Times New Roman" w:hAnsi="Times New Roman"/>
          <w:snapToGrid w:val="0"/>
        </w:rPr>
        <w:t>kraujavimas iš virškinimo trakto.</w:t>
      </w:r>
    </w:p>
    <w:p w14:paraId="57A7D03F" w14:textId="77777777" w:rsidR="00A9206F" w:rsidRPr="00074768" w:rsidRDefault="00A9206F" w:rsidP="002276FD">
      <w:pPr>
        <w:spacing w:after="0" w:line="240" w:lineRule="auto"/>
        <w:rPr>
          <w:rFonts w:ascii="Times New Roman" w:hAnsi="Times New Roman"/>
          <w:snapToGrid w:val="0"/>
        </w:rPr>
      </w:pPr>
    </w:p>
    <w:p w14:paraId="5BECF387" w14:textId="77777777" w:rsidR="002276FD" w:rsidRPr="00074768" w:rsidRDefault="002276FD" w:rsidP="002276FD">
      <w:pPr>
        <w:spacing w:after="0" w:line="240" w:lineRule="auto"/>
        <w:rPr>
          <w:rFonts w:ascii="Times New Roman" w:hAnsi="Times New Roman"/>
          <w:snapToGrid w:val="0"/>
          <w:u w:val="single"/>
        </w:rPr>
      </w:pPr>
      <w:r w:rsidRPr="00074768">
        <w:rPr>
          <w:rFonts w:ascii="Times New Roman" w:hAnsi="Times New Roman"/>
          <w:snapToGrid w:val="0"/>
          <w:u w:val="single"/>
        </w:rPr>
        <w:t>Periferinė neuropatija</w:t>
      </w:r>
    </w:p>
    <w:p w14:paraId="2C4763E7" w14:textId="0DBC86F5" w:rsidR="002276FD" w:rsidRPr="00074768" w:rsidRDefault="002276FD" w:rsidP="002276FD">
      <w:pPr>
        <w:spacing w:after="0" w:line="240" w:lineRule="auto"/>
        <w:rPr>
          <w:rFonts w:ascii="Times New Roman" w:hAnsi="Times New Roman"/>
          <w:snapToGrid w:val="0"/>
        </w:rPr>
      </w:pPr>
      <w:proofErr w:type="spellStart"/>
      <w:r w:rsidRPr="00074768">
        <w:rPr>
          <w:rFonts w:ascii="Times New Roman" w:hAnsi="Times New Roman"/>
          <w:snapToGrid w:val="0"/>
        </w:rPr>
        <w:t>Kabazitakselio</w:t>
      </w:r>
      <w:proofErr w:type="spellEnd"/>
      <w:r w:rsidRPr="00074768">
        <w:rPr>
          <w:rFonts w:ascii="Times New Roman" w:hAnsi="Times New Roman"/>
          <w:snapToGrid w:val="0"/>
        </w:rPr>
        <w:t xml:space="preserve"> vartojusiems pacientams buvo periferinės neuropatijos, periferinės sensorinės</w:t>
      </w:r>
      <w:r w:rsidR="00EE4418" w:rsidRPr="00074768">
        <w:rPr>
          <w:rFonts w:ascii="Times New Roman" w:hAnsi="Times New Roman"/>
          <w:snapToGrid w:val="0"/>
        </w:rPr>
        <w:t xml:space="preserve"> </w:t>
      </w:r>
      <w:r w:rsidRPr="00074768">
        <w:rPr>
          <w:rFonts w:ascii="Times New Roman" w:hAnsi="Times New Roman"/>
          <w:snapToGrid w:val="0"/>
        </w:rPr>
        <w:t xml:space="preserve">neuropatijos (pvz., </w:t>
      </w:r>
      <w:proofErr w:type="spellStart"/>
      <w:r w:rsidRPr="00074768">
        <w:rPr>
          <w:rFonts w:ascii="Times New Roman" w:hAnsi="Times New Roman"/>
          <w:snapToGrid w:val="0"/>
        </w:rPr>
        <w:t>parestezijų</w:t>
      </w:r>
      <w:proofErr w:type="spellEnd"/>
      <w:r w:rsidRPr="00074768">
        <w:rPr>
          <w:rFonts w:ascii="Times New Roman" w:hAnsi="Times New Roman"/>
          <w:snapToGrid w:val="0"/>
        </w:rPr>
        <w:t xml:space="preserve">, </w:t>
      </w:r>
      <w:proofErr w:type="spellStart"/>
      <w:r w:rsidRPr="00074768">
        <w:rPr>
          <w:rFonts w:ascii="Times New Roman" w:hAnsi="Times New Roman"/>
          <w:snapToGrid w:val="0"/>
        </w:rPr>
        <w:t>disestezijų</w:t>
      </w:r>
      <w:proofErr w:type="spellEnd"/>
      <w:r w:rsidRPr="00074768">
        <w:rPr>
          <w:rFonts w:ascii="Times New Roman" w:hAnsi="Times New Roman"/>
          <w:snapToGrid w:val="0"/>
        </w:rPr>
        <w:t>) ir periferinės motorinės neuropatijos atvejų.</w:t>
      </w:r>
      <w:r w:rsidR="00EE4418" w:rsidRPr="00074768">
        <w:rPr>
          <w:rFonts w:ascii="Times New Roman" w:hAnsi="Times New Roman"/>
          <w:snapToGrid w:val="0"/>
        </w:rPr>
        <w:t xml:space="preserve"> </w:t>
      </w:r>
      <w:proofErr w:type="spellStart"/>
      <w:r w:rsidRPr="00074768">
        <w:rPr>
          <w:rFonts w:ascii="Times New Roman" w:hAnsi="Times New Roman"/>
          <w:snapToGrid w:val="0"/>
        </w:rPr>
        <w:t>Kabazitakseliu</w:t>
      </w:r>
      <w:proofErr w:type="spellEnd"/>
      <w:r w:rsidRPr="00074768">
        <w:rPr>
          <w:rFonts w:ascii="Times New Roman" w:hAnsi="Times New Roman"/>
          <w:snapToGrid w:val="0"/>
        </w:rPr>
        <w:t xml:space="preserve"> gydomi pacientai turi </w:t>
      </w:r>
      <w:r w:rsidR="00EE4418" w:rsidRPr="00074768">
        <w:rPr>
          <w:rFonts w:ascii="Times New Roman" w:hAnsi="Times New Roman"/>
          <w:snapToGrid w:val="0"/>
        </w:rPr>
        <w:t>būti informuoti</w:t>
      </w:r>
      <w:r w:rsidRPr="00074768">
        <w:rPr>
          <w:rFonts w:ascii="Times New Roman" w:hAnsi="Times New Roman"/>
          <w:snapToGrid w:val="0"/>
        </w:rPr>
        <w:t>, kad atsiradus neuropatijos simptomų (pvz., skausmui,</w:t>
      </w:r>
      <w:r w:rsidR="00EE4418" w:rsidRPr="00074768">
        <w:rPr>
          <w:rFonts w:ascii="Times New Roman" w:hAnsi="Times New Roman"/>
          <w:snapToGrid w:val="0"/>
        </w:rPr>
        <w:t xml:space="preserve"> </w:t>
      </w:r>
      <w:r w:rsidRPr="00074768">
        <w:rPr>
          <w:rFonts w:ascii="Times New Roman" w:hAnsi="Times New Roman"/>
          <w:snapToGrid w:val="0"/>
        </w:rPr>
        <w:t xml:space="preserve">deginimui, dilgčiojimui, tirpimui ar silpnumui), apie juos gydytojui būtina pasakyti prieš </w:t>
      </w:r>
      <w:r w:rsidR="00EE4418" w:rsidRPr="00074768">
        <w:rPr>
          <w:rFonts w:ascii="Times New Roman" w:hAnsi="Times New Roman"/>
          <w:snapToGrid w:val="0"/>
        </w:rPr>
        <w:t>tęsiant</w:t>
      </w:r>
      <w:r w:rsidRPr="00074768">
        <w:rPr>
          <w:rFonts w:ascii="Times New Roman" w:hAnsi="Times New Roman"/>
          <w:snapToGrid w:val="0"/>
        </w:rPr>
        <w:t xml:space="preserve"> gydym</w:t>
      </w:r>
      <w:r w:rsidR="00EE4418" w:rsidRPr="00074768">
        <w:rPr>
          <w:rFonts w:ascii="Times New Roman" w:hAnsi="Times New Roman"/>
          <w:snapToGrid w:val="0"/>
        </w:rPr>
        <w:t>ą</w:t>
      </w:r>
      <w:r w:rsidRPr="00074768">
        <w:rPr>
          <w:rFonts w:ascii="Times New Roman" w:hAnsi="Times New Roman"/>
          <w:snapToGrid w:val="0"/>
        </w:rPr>
        <w:t>. Gydytojas prieš kiekvieną gydymo kursą turi įvertinti, ar ne</w:t>
      </w:r>
      <w:r w:rsidR="00EE4418" w:rsidRPr="00074768">
        <w:rPr>
          <w:rFonts w:ascii="Times New Roman" w:hAnsi="Times New Roman"/>
          <w:snapToGrid w:val="0"/>
        </w:rPr>
        <w:t>pasireiškė</w:t>
      </w:r>
      <w:r w:rsidRPr="00074768">
        <w:rPr>
          <w:rFonts w:ascii="Times New Roman" w:hAnsi="Times New Roman"/>
          <w:snapToGrid w:val="0"/>
        </w:rPr>
        <w:t xml:space="preserve"> ir ar</w:t>
      </w:r>
      <w:r w:rsidR="00EE4418" w:rsidRPr="00074768">
        <w:rPr>
          <w:rFonts w:ascii="Times New Roman" w:hAnsi="Times New Roman"/>
          <w:snapToGrid w:val="0"/>
        </w:rPr>
        <w:t xml:space="preserve"> </w:t>
      </w:r>
      <w:r w:rsidRPr="00074768">
        <w:rPr>
          <w:rFonts w:ascii="Times New Roman" w:hAnsi="Times New Roman"/>
          <w:snapToGrid w:val="0"/>
        </w:rPr>
        <w:t>nepasunkėjo neuropatija. Gydymas turi būti atidėtas iki tol, kol simptomai palengvės. Jei</w:t>
      </w:r>
      <w:r w:rsidR="003D545D" w:rsidRPr="00074768">
        <w:rPr>
          <w:rFonts w:ascii="Times New Roman" w:hAnsi="Times New Roman"/>
          <w:snapToGrid w:val="0"/>
        </w:rPr>
        <w:t>gu</w:t>
      </w:r>
      <w:r w:rsidRPr="00074768">
        <w:rPr>
          <w:rFonts w:ascii="Times New Roman" w:hAnsi="Times New Roman"/>
          <w:snapToGrid w:val="0"/>
        </w:rPr>
        <w:t xml:space="preserve"> </w:t>
      </w:r>
      <w:r w:rsidR="003D545D" w:rsidRPr="00074768">
        <w:rPr>
          <w:rFonts w:ascii="Times New Roman" w:hAnsi="Times New Roman"/>
          <w:snapToGrid w:val="0"/>
        </w:rPr>
        <w:t xml:space="preserve">yra </w:t>
      </w:r>
      <w:r w:rsidRPr="00074768">
        <w:rPr>
          <w:rFonts w:ascii="Times New Roman" w:hAnsi="Times New Roman"/>
          <w:snapToGrid w:val="0"/>
        </w:rPr>
        <w:t>&gt;</w:t>
      </w:r>
      <w:r w:rsidR="00785C6E">
        <w:rPr>
          <w:rFonts w:ascii="Times New Roman" w:hAnsi="Times New Roman"/>
          <w:snapToGrid w:val="0"/>
        </w:rPr>
        <w:t> </w:t>
      </w:r>
      <w:r w:rsidRPr="00074768">
        <w:rPr>
          <w:rFonts w:ascii="Times New Roman" w:hAnsi="Times New Roman"/>
          <w:snapToGrid w:val="0"/>
        </w:rPr>
        <w:t>2</w:t>
      </w:r>
      <w:r w:rsidR="00785C6E">
        <w:rPr>
          <w:rFonts w:ascii="Times New Roman" w:hAnsi="Times New Roman"/>
          <w:snapToGrid w:val="0"/>
        </w:rPr>
        <w:t> </w:t>
      </w:r>
      <w:r w:rsidRPr="00074768">
        <w:rPr>
          <w:rFonts w:ascii="Times New Roman" w:hAnsi="Times New Roman"/>
          <w:snapToGrid w:val="0"/>
        </w:rPr>
        <w:t xml:space="preserve">laipsnio </w:t>
      </w:r>
      <w:r w:rsidR="003D545D" w:rsidRPr="00074768">
        <w:rPr>
          <w:rFonts w:ascii="Times New Roman" w:hAnsi="Times New Roman"/>
          <w:snapToGrid w:val="0"/>
        </w:rPr>
        <w:t xml:space="preserve">nuolatinė </w:t>
      </w:r>
      <w:r w:rsidRPr="00074768">
        <w:rPr>
          <w:rFonts w:ascii="Times New Roman" w:hAnsi="Times New Roman"/>
          <w:snapToGrid w:val="0"/>
        </w:rPr>
        <w:t xml:space="preserve">periferinė neuropatija, </w:t>
      </w:r>
      <w:proofErr w:type="spellStart"/>
      <w:r w:rsidRPr="00074768">
        <w:rPr>
          <w:rFonts w:ascii="Times New Roman" w:hAnsi="Times New Roman"/>
          <w:snapToGrid w:val="0"/>
        </w:rPr>
        <w:t>kabazitakselio</w:t>
      </w:r>
      <w:proofErr w:type="spellEnd"/>
      <w:r w:rsidRPr="00074768">
        <w:rPr>
          <w:rFonts w:ascii="Times New Roman" w:hAnsi="Times New Roman"/>
          <w:snapToGrid w:val="0"/>
        </w:rPr>
        <w:t xml:space="preserve"> dozę reikia mažinti nuo 25</w:t>
      </w:r>
      <w:r w:rsidR="003D545D" w:rsidRPr="00074768">
        <w:rPr>
          <w:rFonts w:ascii="Times New Roman" w:hAnsi="Times New Roman"/>
          <w:snapToGrid w:val="0"/>
        </w:rPr>
        <w:t> </w:t>
      </w:r>
      <w:r w:rsidRPr="00074768">
        <w:rPr>
          <w:rFonts w:ascii="Times New Roman" w:hAnsi="Times New Roman"/>
          <w:snapToGrid w:val="0"/>
        </w:rPr>
        <w:t>mg/m</w:t>
      </w:r>
      <w:r w:rsidRPr="00074768">
        <w:rPr>
          <w:rFonts w:ascii="Times New Roman" w:hAnsi="Times New Roman"/>
          <w:snapToGrid w:val="0"/>
          <w:vertAlign w:val="superscript"/>
        </w:rPr>
        <w:t>2</w:t>
      </w:r>
      <w:r w:rsidRPr="00074768">
        <w:rPr>
          <w:rFonts w:ascii="Times New Roman" w:hAnsi="Times New Roman"/>
          <w:snapToGrid w:val="0"/>
        </w:rPr>
        <w:t xml:space="preserve"> iki</w:t>
      </w:r>
      <w:r w:rsidR="003D545D" w:rsidRPr="00074768">
        <w:rPr>
          <w:rFonts w:ascii="Times New Roman" w:hAnsi="Times New Roman"/>
          <w:snapToGrid w:val="0"/>
        </w:rPr>
        <w:t xml:space="preserve"> </w:t>
      </w:r>
      <w:r w:rsidRPr="00074768">
        <w:rPr>
          <w:rFonts w:ascii="Times New Roman" w:hAnsi="Times New Roman"/>
          <w:snapToGrid w:val="0"/>
        </w:rPr>
        <w:t>20</w:t>
      </w:r>
      <w:r w:rsidR="003D545D" w:rsidRPr="00074768">
        <w:rPr>
          <w:rFonts w:ascii="Times New Roman" w:hAnsi="Times New Roman"/>
          <w:snapToGrid w:val="0"/>
        </w:rPr>
        <w:t> </w:t>
      </w:r>
      <w:r w:rsidRPr="00074768">
        <w:rPr>
          <w:rFonts w:ascii="Times New Roman" w:hAnsi="Times New Roman"/>
          <w:snapToGrid w:val="0"/>
        </w:rPr>
        <w:t>mg/m</w:t>
      </w:r>
      <w:r w:rsidRPr="00074768">
        <w:rPr>
          <w:rFonts w:ascii="Times New Roman" w:hAnsi="Times New Roman"/>
          <w:snapToGrid w:val="0"/>
          <w:vertAlign w:val="superscript"/>
        </w:rPr>
        <w:t>2</w:t>
      </w:r>
      <w:r w:rsidRPr="00074768">
        <w:rPr>
          <w:rFonts w:ascii="Times New Roman" w:hAnsi="Times New Roman"/>
          <w:snapToGrid w:val="0"/>
        </w:rPr>
        <w:t xml:space="preserve"> (žr.</w:t>
      </w:r>
      <w:r w:rsidR="00B25EC3">
        <w:rPr>
          <w:rFonts w:ascii="Times New Roman" w:hAnsi="Times New Roman"/>
          <w:snapToGrid w:val="0"/>
        </w:rPr>
        <w:t> </w:t>
      </w:r>
      <w:r w:rsidRPr="00074768">
        <w:rPr>
          <w:rFonts w:ascii="Times New Roman" w:hAnsi="Times New Roman"/>
          <w:snapToGrid w:val="0"/>
        </w:rPr>
        <w:t>4.2</w:t>
      </w:r>
      <w:r w:rsidR="00B25EC3">
        <w:rPr>
          <w:rFonts w:ascii="Times New Roman" w:hAnsi="Times New Roman"/>
          <w:snapToGrid w:val="0"/>
        </w:rPr>
        <w:t> </w:t>
      </w:r>
      <w:r w:rsidRPr="00074768">
        <w:rPr>
          <w:rFonts w:ascii="Times New Roman" w:hAnsi="Times New Roman"/>
          <w:snapToGrid w:val="0"/>
        </w:rPr>
        <w:t>skyrių).</w:t>
      </w:r>
    </w:p>
    <w:p w14:paraId="49D050EF" w14:textId="77777777" w:rsidR="003D545D" w:rsidRPr="00074768" w:rsidRDefault="003D545D" w:rsidP="002276FD">
      <w:pPr>
        <w:spacing w:after="0" w:line="240" w:lineRule="auto"/>
        <w:rPr>
          <w:rFonts w:ascii="Times New Roman" w:hAnsi="Times New Roman"/>
          <w:snapToGrid w:val="0"/>
          <w:u w:val="single"/>
        </w:rPr>
      </w:pPr>
    </w:p>
    <w:p w14:paraId="57BDCD9E" w14:textId="77777777" w:rsidR="002276FD" w:rsidRPr="00074768" w:rsidRDefault="002276FD" w:rsidP="002276FD">
      <w:pPr>
        <w:spacing w:after="0" w:line="240" w:lineRule="auto"/>
        <w:rPr>
          <w:rFonts w:ascii="Times New Roman" w:hAnsi="Times New Roman"/>
          <w:snapToGrid w:val="0"/>
          <w:u w:val="single"/>
        </w:rPr>
      </w:pPr>
      <w:r w:rsidRPr="00074768">
        <w:rPr>
          <w:rFonts w:ascii="Times New Roman" w:hAnsi="Times New Roman"/>
          <w:snapToGrid w:val="0"/>
          <w:u w:val="single"/>
        </w:rPr>
        <w:t>Anemija</w:t>
      </w:r>
    </w:p>
    <w:p w14:paraId="27861CB6" w14:textId="466579F7" w:rsidR="006C1B39" w:rsidRPr="00074768" w:rsidRDefault="002276FD" w:rsidP="002276FD">
      <w:pPr>
        <w:spacing w:after="0" w:line="240" w:lineRule="auto"/>
        <w:rPr>
          <w:rFonts w:ascii="Times New Roman" w:hAnsi="Times New Roman"/>
          <w:snapToGrid w:val="0"/>
        </w:rPr>
      </w:pPr>
      <w:proofErr w:type="spellStart"/>
      <w:r w:rsidRPr="00074768">
        <w:rPr>
          <w:rFonts w:ascii="Times New Roman" w:hAnsi="Times New Roman"/>
          <w:snapToGrid w:val="0"/>
        </w:rPr>
        <w:t>Kabazitakselio</w:t>
      </w:r>
      <w:proofErr w:type="spellEnd"/>
      <w:r w:rsidRPr="00074768">
        <w:rPr>
          <w:rFonts w:ascii="Times New Roman" w:hAnsi="Times New Roman"/>
          <w:snapToGrid w:val="0"/>
        </w:rPr>
        <w:t xml:space="preserve"> vartojantiems pacientams buvo anemijos atvejų (žr.</w:t>
      </w:r>
      <w:r w:rsidR="00B25EC3">
        <w:rPr>
          <w:rFonts w:ascii="Times New Roman" w:hAnsi="Times New Roman"/>
          <w:snapToGrid w:val="0"/>
        </w:rPr>
        <w:t> </w:t>
      </w:r>
      <w:r w:rsidRPr="00074768">
        <w:rPr>
          <w:rFonts w:ascii="Times New Roman" w:hAnsi="Times New Roman"/>
          <w:snapToGrid w:val="0"/>
        </w:rPr>
        <w:t>4.8</w:t>
      </w:r>
      <w:r w:rsidR="00B25EC3">
        <w:rPr>
          <w:rFonts w:ascii="Times New Roman" w:hAnsi="Times New Roman"/>
          <w:snapToGrid w:val="0"/>
        </w:rPr>
        <w:t> </w:t>
      </w:r>
      <w:r w:rsidRPr="00074768">
        <w:rPr>
          <w:rFonts w:ascii="Times New Roman" w:hAnsi="Times New Roman"/>
          <w:snapToGrid w:val="0"/>
        </w:rPr>
        <w:t>skyrių). Hemoglobino ir</w:t>
      </w:r>
      <w:r w:rsidR="003D545D" w:rsidRPr="00074768">
        <w:rPr>
          <w:rFonts w:ascii="Times New Roman" w:hAnsi="Times New Roman"/>
          <w:snapToGrid w:val="0"/>
        </w:rPr>
        <w:t xml:space="preserve"> </w:t>
      </w:r>
      <w:proofErr w:type="spellStart"/>
      <w:r w:rsidRPr="00074768">
        <w:rPr>
          <w:rFonts w:ascii="Times New Roman" w:hAnsi="Times New Roman"/>
          <w:snapToGrid w:val="0"/>
        </w:rPr>
        <w:t>hematokrito</w:t>
      </w:r>
      <w:proofErr w:type="spellEnd"/>
      <w:r w:rsidRPr="00074768">
        <w:rPr>
          <w:rFonts w:ascii="Times New Roman" w:hAnsi="Times New Roman"/>
          <w:snapToGrid w:val="0"/>
        </w:rPr>
        <w:t xml:space="preserve"> rodmenis reikia patikrinti prieš gydymą </w:t>
      </w:r>
      <w:proofErr w:type="spellStart"/>
      <w:r w:rsidRPr="00074768">
        <w:rPr>
          <w:rFonts w:ascii="Times New Roman" w:hAnsi="Times New Roman"/>
          <w:snapToGrid w:val="0"/>
        </w:rPr>
        <w:t>kabazitakseliu</w:t>
      </w:r>
      <w:proofErr w:type="spellEnd"/>
      <w:r w:rsidRPr="00074768">
        <w:rPr>
          <w:rFonts w:ascii="Times New Roman" w:hAnsi="Times New Roman"/>
          <w:snapToGrid w:val="0"/>
        </w:rPr>
        <w:t xml:space="preserve"> bei tuo atveju, jei</w:t>
      </w:r>
      <w:r w:rsidR="003D545D" w:rsidRPr="00074768">
        <w:rPr>
          <w:rFonts w:ascii="Times New Roman" w:hAnsi="Times New Roman"/>
          <w:snapToGrid w:val="0"/>
        </w:rPr>
        <w:t>gu</w:t>
      </w:r>
      <w:r w:rsidRPr="00074768">
        <w:rPr>
          <w:rFonts w:ascii="Times New Roman" w:hAnsi="Times New Roman"/>
          <w:snapToGrid w:val="0"/>
        </w:rPr>
        <w:t xml:space="preserve"> pacientui</w:t>
      </w:r>
      <w:r w:rsidR="003D545D" w:rsidRPr="00074768">
        <w:rPr>
          <w:rFonts w:ascii="Times New Roman" w:hAnsi="Times New Roman"/>
          <w:snapToGrid w:val="0"/>
        </w:rPr>
        <w:t xml:space="preserve"> pasireiškia</w:t>
      </w:r>
      <w:r w:rsidRPr="00074768">
        <w:rPr>
          <w:rFonts w:ascii="Times New Roman" w:hAnsi="Times New Roman"/>
          <w:snapToGrid w:val="0"/>
        </w:rPr>
        <w:t xml:space="preserve"> anemijos ar kraujo netekimo požymių ar simptomų. Pacientą, kurio hemoglobino rodmuo</w:t>
      </w:r>
      <w:r w:rsidR="003D545D" w:rsidRPr="00074768">
        <w:rPr>
          <w:rFonts w:ascii="Times New Roman" w:hAnsi="Times New Roman"/>
          <w:snapToGrid w:val="0"/>
        </w:rPr>
        <w:t xml:space="preserve"> </w:t>
      </w:r>
      <w:r w:rsidRPr="00074768">
        <w:rPr>
          <w:rFonts w:ascii="Times New Roman" w:hAnsi="Times New Roman"/>
          <w:snapToGrid w:val="0"/>
        </w:rPr>
        <w:t>yra &lt;</w:t>
      </w:r>
      <w:r w:rsidR="00785C6E">
        <w:rPr>
          <w:rFonts w:ascii="Times New Roman" w:hAnsi="Times New Roman"/>
          <w:snapToGrid w:val="0"/>
        </w:rPr>
        <w:t> </w:t>
      </w:r>
      <w:r w:rsidRPr="00074768">
        <w:rPr>
          <w:rFonts w:ascii="Times New Roman" w:hAnsi="Times New Roman"/>
          <w:snapToGrid w:val="0"/>
        </w:rPr>
        <w:t>10</w:t>
      </w:r>
      <w:r w:rsidR="003D545D" w:rsidRPr="00074768">
        <w:rPr>
          <w:rFonts w:ascii="Times New Roman" w:hAnsi="Times New Roman"/>
          <w:snapToGrid w:val="0"/>
        </w:rPr>
        <w:t> </w:t>
      </w:r>
      <w:r w:rsidRPr="00074768">
        <w:rPr>
          <w:rFonts w:ascii="Times New Roman" w:hAnsi="Times New Roman"/>
          <w:snapToGrid w:val="0"/>
        </w:rPr>
        <w:t xml:space="preserve">g/dl, rekomenduojama gydyti atsargiai bei imtis </w:t>
      </w:r>
      <w:r w:rsidR="003D545D" w:rsidRPr="00074768">
        <w:rPr>
          <w:rFonts w:ascii="Times New Roman" w:hAnsi="Times New Roman"/>
          <w:snapToGrid w:val="0"/>
        </w:rPr>
        <w:t>reikiamų</w:t>
      </w:r>
      <w:r w:rsidRPr="00074768">
        <w:rPr>
          <w:rFonts w:ascii="Times New Roman" w:hAnsi="Times New Roman"/>
          <w:snapToGrid w:val="0"/>
        </w:rPr>
        <w:t xml:space="preserve"> priemonių, atsižvelgiant į klinikinę</w:t>
      </w:r>
      <w:r w:rsidR="003D545D" w:rsidRPr="00074768">
        <w:rPr>
          <w:rFonts w:ascii="Times New Roman" w:hAnsi="Times New Roman"/>
          <w:snapToGrid w:val="0"/>
        </w:rPr>
        <w:t xml:space="preserve"> </w:t>
      </w:r>
      <w:r w:rsidRPr="00074768">
        <w:rPr>
          <w:rFonts w:ascii="Times New Roman" w:hAnsi="Times New Roman"/>
          <w:snapToGrid w:val="0"/>
        </w:rPr>
        <w:t>būklę.</w:t>
      </w:r>
    </w:p>
    <w:p w14:paraId="5F0844B0" w14:textId="77777777" w:rsidR="006C1B39" w:rsidRPr="00074768" w:rsidRDefault="006C1B39" w:rsidP="006C1B39">
      <w:pPr>
        <w:spacing w:after="0" w:line="240" w:lineRule="auto"/>
        <w:ind w:left="567" w:hanging="567"/>
        <w:rPr>
          <w:rFonts w:ascii="Times New Roman" w:hAnsi="Times New Roman"/>
          <w:snapToGrid w:val="0"/>
        </w:rPr>
      </w:pPr>
    </w:p>
    <w:p w14:paraId="5B3FF438" w14:textId="77777777" w:rsidR="005F1485" w:rsidRPr="00074768" w:rsidRDefault="005F1485" w:rsidP="005F1485">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Inkstų nepakankamumo rizika</w:t>
      </w:r>
    </w:p>
    <w:p w14:paraId="3F88F1D8" w14:textId="3E9E1975" w:rsidR="005F1485" w:rsidRPr="00074768" w:rsidRDefault="005F1485" w:rsidP="005F1485">
      <w:pPr>
        <w:spacing w:after="0" w:line="240" w:lineRule="auto"/>
        <w:rPr>
          <w:rFonts w:ascii="Times New Roman" w:hAnsi="Times New Roman"/>
          <w:snapToGrid w:val="0"/>
        </w:rPr>
      </w:pPr>
      <w:r w:rsidRPr="00074768">
        <w:rPr>
          <w:rFonts w:ascii="Times New Roman" w:hAnsi="Times New Roman"/>
          <w:snapToGrid w:val="0"/>
        </w:rPr>
        <w:t>Gauta pranešimų apie inkstų</w:t>
      </w:r>
      <w:r w:rsidR="006015DC">
        <w:rPr>
          <w:rFonts w:ascii="Times New Roman" w:hAnsi="Times New Roman"/>
          <w:snapToGrid w:val="0"/>
        </w:rPr>
        <w:t xml:space="preserve"> </w:t>
      </w:r>
      <w:r w:rsidR="00B54A30">
        <w:rPr>
          <w:rFonts w:ascii="Times New Roman" w:hAnsi="Times New Roman"/>
          <w:snapToGrid w:val="0"/>
        </w:rPr>
        <w:t>sutrikimus</w:t>
      </w:r>
      <w:r w:rsidRPr="00074768">
        <w:rPr>
          <w:rFonts w:ascii="Times New Roman" w:hAnsi="Times New Roman"/>
          <w:snapToGrid w:val="0"/>
        </w:rPr>
        <w:t>, susijusi</w:t>
      </w:r>
      <w:r w:rsidR="00B54A30">
        <w:rPr>
          <w:rFonts w:ascii="Times New Roman" w:hAnsi="Times New Roman"/>
          <w:snapToGrid w:val="0"/>
        </w:rPr>
        <w:t>u</w:t>
      </w:r>
      <w:r w:rsidRPr="00074768">
        <w:rPr>
          <w:rFonts w:ascii="Times New Roman" w:hAnsi="Times New Roman"/>
          <w:snapToGrid w:val="0"/>
        </w:rPr>
        <w:t xml:space="preserve">s su sepsiu, sunkia dehidratacija dėl viduriavimo ar vėmimo ir obstrukcine </w:t>
      </w:r>
      <w:proofErr w:type="spellStart"/>
      <w:r w:rsidRPr="00074768">
        <w:rPr>
          <w:rFonts w:ascii="Times New Roman" w:hAnsi="Times New Roman"/>
          <w:snapToGrid w:val="0"/>
        </w:rPr>
        <w:t>uropatija</w:t>
      </w:r>
      <w:proofErr w:type="spellEnd"/>
      <w:r w:rsidRPr="00074768">
        <w:rPr>
          <w:rFonts w:ascii="Times New Roman" w:hAnsi="Times New Roman"/>
          <w:snapToGrid w:val="0"/>
        </w:rPr>
        <w:t xml:space="preserve">. Buvo </w:t>
      </w:r>
      <w:r w:rsidR="00B54A30">
        <w:rPr>
          <w:rFonts w:ascii="Times New Roman" w:hAnsi="Times New Roman"/>
          <w:snapToGrid w:val="0"/>
        </w:rPr>
        <w:t xml:space="preserve">pranešta </w:t>
      </w:r>
      <w:r w:rsidRPr="00074768">
        <w:rPr>
          <w:rFonts w:ascii="Times New Roman" w:hAnsi="Times New Roman"/>
          <w:snapToGrid w:val="0"/>
        </w:rPr>
        <w:t>inkstų nepakankamumo, įskaitant mirtiną, atvejų. Pasireiškus inkstų nepakankamumui, būtina imtis reikiamų priemonių jo priežasčiai nustatyti bei pacientus intensyviai gydyti.</w:t>
      </w:r>
    </w:p>
    <w:p w14:paraId="03B2BBB9" w14:textId="62680881" w:rsidR="005F1485" w:rsidRPr="00074768" w:rsidRDefault="005F1485" w:rsidP="00AF6930">
      <w:pPr>
        <w:spacing w:after="0" w:line="240" w:lineRule="auto"/>
        <w:rPr>
          <w:rFonts w:ascii="Times New Roman" w:hAnsi="Times New Roman"/>
          <w:snapToGrid w:val="0"/>
        </w:rPr>
      </w:pPr>
      <w:r w:rsidRPr="00074768">
        <w:rPr>
          <w:rFonts w:ascii="Times New Roman" w:hAnsi="Times New Roman"/>
          <w:snapToGrid w:val="0"/>
        </w:rPr>
        <w:t xml:space="preserve">Viso gydymo </w:t>
      </w:r>
      <w:proofErr w:type="spellStart"/>
      <w:r w:rsidRPr="00074768">
        <w:rPr>
          <w:rFonts w:ascii="Times New Roman" w:hAnsi="Times New Roman"/>
          <w:snapToGrid w:val="0"/>
        </w:rPr>
        <w:t>kabazitakseliu</w:t>
      </w:r>
      <w:proofErr w:type="spellEnd"/>
      <w:r w:rsidRPr="00074768">
        <w:rPr>
          <w:rFonts w:ascii="Times New Roman" w:hAnsi="Times New Roman"/>
          <w:snapToGrid w:val="0"/>
        </w:rPr>
        <w:t xml:space="preserve"> metu būtina užtikrinti tinkamą paciento hidrataciją. Pacientas turi būti informuotas, kad turi nedelsiant pranešti apie bet kokį reikšmingą paros šlapimo tūrio pokytį. Kreatinino koncentraciją būtina tirti prieš gydymą, kartu su kiekvienu bendro kraujo tyrimu ir visada, kai pacientas praneša apie išskiriamo šlapimo kiekio pokytį. Jei</w:t>
      </w:r>
      <w:r w:rsidR="00AF6930" w:rsidRPr="00074768">
        <w:rPr>
          <w:rFonts w:ascii="Times New Roman" w:hAnsi="Times New Roman"/>
          <w:snapToGrid w:val="0"/>
        </w:rPr>
        <w:t>gu</w:t>
      </w:r>
      <w:r w:rsidRPr="00074768">
        <w:rPr>
          <w:rFonts w:ascii="Times New Roman" w:hAnsi="Times New Roman"/>
          <w:snapToGrid w:val="0"/>
        </w:rPr>
        <w:t xml:space="preserve"> </w:t>
      </w:r>
      <w:r w:rsidR="00AF6930" w:rsidRPr="00074768">
        <w:rPr>
          <w:rFonts w:ascii="Times New Roman" w:hAnsi="Times New Roman"/>
          <w:snapToGrid w:val="0"/>
        </w:rPr>
        <w:t>pasireiškia</w:t>
      </w:r>
      <w:r w:rsidRPr="00074768">
        <w:rPr>
          <w:rFonts w:ascii="Times New Roman" w:hAnsi="Times New Roman"/>
          <w:snapToGrid w:val="0"/>
        </w:rPr>
        <w:t xml:space="preserve"> bet koks inkstų</w:t>
      </w:r>
      <w:r w:rsidR="00AF6930" w:rsidRPr="00074768">
        <w:rPr>
          <w:rFonts w:ascii="Times New Roman" w:hAnsi="Times New Roman"/>
          <w:snapToGrid w:val="0"/>
        </w:rPr>
        <w:t xml:space="preserve"> </w:t>
      </w:r>
      <w:r w:rsidRPr="00074768">
        <w:rPr>
          <w:rFonts w:ascii="Times New Roman" w:hAnsi="Times New Roman"/>
          <w:snapToGrid w:val="0"/>
        </w:rPr>
        <w:t>funkcijos pablogėjimas iki ≥</w:t>
      </w:r>
      <w:r w:rsidR="00785C6E">
        <w:rPr>
          <w:rFonts w:ascii="Times New Roman" w:hAnsi="Times New Roman"/>
          <w:snapToGrid w:val="0"/>
        </w:rPr>
        <w:t> </w:t>
      </w:r>
      <w:r w:rsidRPr="00074768">
        <w:rPr>
          <w:rFonts w:ascii="Times New Roman" w:hAnsi="Times New Roman"/>
          <w:snapToGrid w:val="0"/>
        </w:rPr>
        <w:t>3 laipsnio (pagal CTCAE 4.0) inkstų nepakankamumo, gydym</w:t>
      </w:r>
      <w:r w:rsidR="00AF6930" w:rsidRPr="00074768">
        <w:rPr>
          <w:rFonts w:ascii="Times New Roman" w:hAnsi="Times New Roman"/>
          <w:snapToGrid w:val="0"/>
        </w:rPr>
        <w:t xml:space="preserve">as </w:t>
      </w:r>
      <w:proofErr w:type="spellStart"/>
      <w:r w:rsidRPr="00074768">
        <w:rPr>
          <w:rFonts w:ascii="Times New Roman" w:hAnsi="Times New Roman"/>
          <w:snapToGrid w:val="0"/>
        </w:rPr>
        <w:t>kabazitakseliu</w:t>
      </w:r>
      <w:proofErr w:type="spellEnd"/>
      <w:r w:rsidRPr="00074768">
        <w:rPr>
          <w:rFonts w:ascii="Times New Roman" w:hAnsi="Times New Roman"/>
          <w:snapToGrid w:val="0"/>
        </w:rPr>
        <w:t xml:space="preserve"> </w:t>
      </w:r>
      <w:r w:rsidR="00AF6930" w:rsidRPr="00074768">
        <w:rPr>
          <w:rFonts w:ascii="Times New Roman" w:hAnsi="Times New Roman"/>
          <w:snapToGrid w:val="0"/>
        </w:rPr>
        <w:t>turi būti nutrauktas</w:t>
      </w:r>
      <w:r w:rsidRPr="00074768">
        <w:rPr>
          <w:rFonts w:ascii="Times New Roman" w:hAnsi="Times New Roman"/>
          <w:snapToGrid w:val="0"/>
        </w:rPr>
        <w:t>.</w:t>
      </w:r>
    </w:p>
    <w:p w14:paraId="7AD849EC" w14:textId="77777777" w:rsidR="00AF6930" w:rsidRPr="00074768" w:rsidRDefault="00AF6930" w:rsidP="005F1485">
      <w:pPr>
        <w:spacing w:after="0" w:line="240" w:lineRule="auto"/>
        <w:ind w:left="567" w:hanging="567"/>
        <w:rPr>
          <w:rFonts w:ascii="Times New Roman" w:hAnsi="Times New Roman"/>
          <w:snapToGrid w:val="0"/>
        </w:rPr>
      </w:pPr>
    </w:p>
    <w:p w14:paraId="5698D8E5" w14:textId="77777777" w:rsidR="005F1485" w:rsidRPr="00074768" w:rsidRDefault="005F1485" w:rsidP="005F1485">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Kvėpavimo sutrikimai</w:t>
      </w:r>
    </w:p>
    <w:p w14:paraId="40C5B444" w14:textId="58966DA7" w:rsidR="005F1485" w:rsidRPr="00074768" w:rsidRDefault="005F1485" w:rsidP="00AF6930">
      <w:pPr>
        <w:spacing w:after="0" w:line="240" w:lineRule="auto"/>
        <w:rPr>
          <w:rFonts w:ascii="Times New Roman" w:hAnsi="Times New Roman"/>
          <w:snapToGrid w:val="0"/>
        </w:rPr>
      </w:pPr>
      <w:r w:rsidRPr="00074768">
        <w:rPr>
          <w:rFonts w:ascii="Times New Roman" w:hAnsi="Times New Roman"/>
          <w:snapToGrid w:val="0"/>
        </w:rPr>
        <w:t xml:space="preserve">Gauta pranešimų apie </w:t>
      </w:r>
      <w:proofErr w:type="spellStart"/>
      <w:r w:rsidRPr="00074768">
        <w:rPr>
          <w:rFonts w:ascii="Times New Roman" w:hAnsi="Times New Roman"/>
          <w:snapToGrid w:val="0"/>
        </w:rPr>
        <w:t>intersticinės</w:t>
      </w:r>
      <w:proofErr w:type="spellEnd"/>
      <w:r w:rsidRPr="00074768">
        <w:rPr>
          <w:rFonts w:ascii="Times New Roman" w:hAnsi="Times New Roman"/>
          <w:snapToGrid w:val="0"/>
        </w:rPr>
        <w:t xml:space="preserve"> pneumonijos ir (arba) </w:t>
      </w:r>
      <w:proofErr w:type="spellStart"/>
      <w:r w:rsidRPr="00074768">
        <w:rPr>
          <w:rFonts w:ascii="Times New Roman" w:hAnsi="Times New Roman"/>
          <w:snapToGrid w:val="0"/>
        </w:rPr>
        <w:t>pneumonito</w:t>
      </w:r>
      <w:proofErr w:type="spellEnd"/>
      <w:r w:rsidRPr="00074768">
        <w:rPr>
          <w:rFonts w:ascii="Times New Roman" w:hAnsi="Times New Roman"/>
          <w:snapToGrid w:val="0"/>
        </w:rPr>
        <w:t xml:space="preserve"> bei </w:t>
      </w:r>
      <w:proofErr w:type="spellStart"/>
      <w:r w:rsidRPr="00074768">
        <w:rPr>
          <w:rFonts w:ascii="Times New Roman" w:hAnsi="Times New Roman"/>
          <w:snapToGrid w:val="0"/>
        </w:rPr>
        <w:t>intersticinės</w:t>
      </w:r>
      <w:proofErr w:type="spellEnd"/>
      <w:r w:rsidRPr="00074768">
        <w:rPr>
          <w:rFonts w:ascii="Times New Roman" w:hAnsi="Times New Roman"/>
          <w:snapToGrid w:val="0"/>
        </w:rPr>
        <w:t xml:space="preserve"> plaučių ligos</w:t>
      </w:r>
      <w:r w:rsidR="00AF6930" w:rsidRPr="00074768">
        <w:rPr>
          <w:rFonts w:ascii="Times New Roman" w:hAnsi="Times New Roman"/>
          <w:snapToGrid w:val="0"/>
        </w:rPr>
        <w:t xml:space="preserve"> </w:t>
      </w:r>
      <w:r w:rsidRPr="00074768">
        <w:rPr>
          <w:rFonts w:ascii="Times New Roman" w:hAnsi="Times New Roman"/>
          <w:snapToGrid w:val="0"/>
        </w:rPr>
        <w:t>atvejus, kurie gali būti mirtini (žr.</w:t>
      </w:r>
      <w:r w:rsidR="002B5D58">
        <w:rPr>
          <w:rFonts w:ascii="Times New Roman" w:hAnsi="Times New Roman"/>
          <w:snapToGrid w:val="0"/>
        </w:rPr>
        <w:t> </w:t>
      </w:r>
      <w:r w:rsidRPr="00074768">
        <w:rPr>
          <w:rFonts w:ascii="Times New Roman" w:hAnsi="Times New Roman"/>
          <w:snapToGrid w:val="0"/>
        </w:rPr>
        <w:t>4.8</w:t>
      </w:r>
      <w:r w:rsidR="002B5D58">
        <w:rPr>
          <w:rFonts w:ascii="Times New Roman" w:hAnsi="Times New Roman"/>
          <w:snapToGrid w:val="0"/>
        </w:rPr>
        <w:t> </w:t>
      </w:r>
      <w:r w:rsidRPr="00074768">
        <w:rPr>
          <w:rFonts w:ascii="Times New Roman" w:hAnsi="Times New Roman"/>
          <w:snapToGrid w:val="0"/>
        </w:rPr>
        <w:t>skyrių).</w:t>
      </w:r>
    </w:p>
    <w:p w14:paraId="7BA15DD4" w14:textId="4DF24F76" w:rsidR="005F1485" w:rsidRPr="00074768" w:rsidRDefault="005F1485" w:rsidP="00AF6930">
      <w:pPr>
        <w:spacing w:after="0" w:line="240" w:lineRule="auto"/>
        <w:rPr>
          <w:rFonts w:ascii="Times New Roman" w:hAnsi="Times New Roman"/>
          <w:snapToGrid w:val="0"/>
        </w:rPr>
      </w:pPr>
      <w:r w:rsidRPr="00074768">
        <w:rPr>
          <w:rFonts w:ascii="Times New Roman" w:hAnsi="Times New Roman"/>
          <w:snapToGrid w:val="0"/>
        </w:rPr>
        <w:t xml:space="preserve">Jeigu </w:t>
      </w:r>
      <w:r w:rsidR="00AF6930" w:rsidRPr="00074768">
        <w:rPr>
          <w:rFonts w:ascii="Times New Roman" w:hAnsi="Times New Roman"/>
          <w:snapToGrid w:val="0"/>
        </w:rPr>
        <w:t>pasireiškia</w:t>
      </w:r>
      <w:r w:rsidRPr="00074768">
        <w:rPr>
          <w:rFonts w:ascii="Times New Roman" w:hAnsi="Times New Roman"/>
          <w:snapToGrid w:val="0"/>
        </w:rPr>
        <w:t xml:space="preserve"> naujų su plaučiais susijusių simptomų arba pasunkėja esami, pacientus būtina atidžiai</w:t>
      </w:r>
      <w:r w:rsidR="00AF6930" w:rsidRPr="00074768">
        <w:rPr>
          <w:rFonts w:ascii="Times New Roman" w:hAnsi="Times New Roman"/>
          <w:snapToGrid w:val="0"/>
        </w:rPr>
        <w:t xml:space="preserve"> </w:t>
      </w:r>
      <w:r w:rsidRPr="00074768">
        <w:rPr>
          <w:rFonts w:ascii="Times New Roman" w:hAnsi="Times New Roman"/>
          <w:snapToGrid w:val="0"/>
        </w:rPr>
        <w:t xml:space="preserve">stebėti, nedelsiant ištirti ir </w:t>
      </w:r>
      <w:r w:rsidR="00AF6930" w:rsidRPr="00074768">
        <w:rPr>
          <w:rFonts w:ascii="Times New Roman" w:hAnsi="Times New Roman"/>
          <w:snapToGrid w:val="0"/>
        </w:rPr>
        <w:t>taikyti reikiamą gydymą</w:t>
      </w:r>
      <w:r w:rsidRPr="00074768">
        <w:rPr>
          <w:rFonts w:ascii="Times New Roman" w:hAnsi="Times New Roman"/>
          <w:snapToGrid w:val="0"/>
        </w:rPr>
        <w:t xml:space="preserve">. Gydymą </w:t>
      </w:r>
      <w:proofErr w:type="spellStart"/>
      <w:r w:rsidRPr="00074768">
        <w:rPr>
          <w:rFonts w:ascii="Times New Roman" w:hAnsi="Times New Roman"/>
          <w:snapToGrid w:val="0"/>
        </w:rPr>
        <w:t>kabazitakseliu</w:t>
      </w:r>
      <w:proofErr w:type="spellEnd"/>
      <w:r w:rsidRPr="00074768">
        <w:rPr>
          <w:rFonts w:ascii="Times New Roman" w:hAnsi="Times New Roman"/>
          <w:snapToGrid w:val="0"/>
        </w:rPr>
        <w:t xml:space="preserve"> rekomenduojama </w:t>
      </w:r>
      <w:r w:rsidR="00D93AE5">
        <w:rPr>
          <w:rFonts w:ascii="Times New Roman" w:hAnsi="Times New Roman"/>
          <w:snapToGrid w:val="0"/>
        </w:rPr>
        <w:t>nu</w:t>
      </w:r>
      <w:r w:rsidR="00AF6930" w:rsidRPr="00074768">
        <w:rPr>
          <w:rFonts w:ascii="Times New Roman" w:hAnsi="Times New Roman"/>
          <w:snapToGrid w:val="0"/>
        </w:rPr>
        <w:t>traukti,</w:t>
      </w:r>
      <w:r w:rsidRPr="00074768">
        <w:rPr>
          <w:rFonts w:ascii="Times New Roman" w:hAnsi="Times New Roman"/>
          <w:snapToGrid w:val="0"/>
        </w:rPr>
        <w:t xml:space="preserve"> kol bus nustatyta diagnozė. Ankstyvas palaikomųjų priemonių vartojimas gali padėti pagerinti</w:t>
      </w:r>
      <w:r w:rsidR="00AF6930" w:rsidRPr="00074768">
        <w:rPr>
          <w:rFonts w:ascii="Times New Roman" w:hAnsi="Times New Roman"/>
          <w:snapToGrid w:val="0"/>
        </w:rPr>
        <w:t xml:space="preserve"> </w:t>
      </w:r>
      <w:r w:rsidRPr="00074768">
        <w:rPr>
          <w:rFonts w:ascii="Times New Roman" w:hAnsi="Times New Roman"/>
          <w:snapToGrid w:val="0"/>
        </w:rPr>
        <w:t xml:space="preserve">būklę. Būtina atidžiai įvertinti gydymo </w:t>
      </w:r>
      <w:proofErr w:type="spellStart"/>
      <w:r w:rsidRPr="00074768">
        <w:rPr>
          <w:rFonts w:ascii="Times New Roman" w:hAnsi="Times New Roman"/>
          <w:snapToGrid w:val="0"/>
        </w:rPr>
        <w:t>kabazitakseliu</w:t>
      </w:r>
      <w:proofErr w:type="spellEnd"/>
      <w:r w:rsidRPr="00074768">
        <w:rPr>
          <w:rFonts w:ascii="Times New Roman" w:hAnsi="Times New Roman"/>
          <w:snapToGrid w:val="0"/>
        </w:rPr>
        <w:t xml:space="preserve"> atnaujinimo naudą.</w:t>
      </w:r>
    </w:p>
    <w:p w14:paraId="78999901" w14:textId="77777777" w:rsidR="00AF6930" w:rsidRPr="00074768" w:rsidRDefault="00AF6930" w:rsidP="005F1485">
      <w:pPr>
        <w:spacing w:after="0" w:line="240" w:lineRule="auto"/>
        <w:ind w:left="567" w:hanging="567"/>
        <w:rPr>
          <w:rFonts w:ascii="Times New Roman" w:hAnsi="Times New Roman"/>
          <w:snapToGrid w:val="0"/>
        </w:rPr>
      </w:pPr>
    </w:p>
    <w:p w14:paraId="378FB978" w14:textId="77777777" w:rsidR="005F1485" w:rsidRPr="00074768" w:rsidRDefault="005F1485" w:rsidP="005F1485">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Širdies aritmijų rizika</w:t>
      </w:r>
    </w:p>
    <w:p w14:paraId="49A729A7" w14:textId="07105DE5" w:rsidR="005F1485" w:rsidRPr="00074768" w:rsidRDefault="005F1485" w:rsidP="005F1485">
      <w:pPr>
        <w:spacing w:after="0" w:line="240" w:lineRule="auto"/>
        <w:ind w:left="567" w:hanging="567"/>
        <w:rPr>
          <w:rFonts w:ascii="Times New Roman" w:hAnsi="Times New Roman"/>
          <w:snapToGrid w:val="0"/>
        </w:rPr>
      </w:pPr>
      <w:r w:rsidRPr="00074768">
        <w:rPr>
          <w:rFonts w:ascii="Times New Roman" w:hAnsi="Times New Roman"/>
          <w:snapToGrid w:val="0"/>
        </w:rPr>
        <w:t>Gauta pranešimų apie širdies aritmijas, dažniausiai tachikardiją ir prieširdžių virpėjimą (žr.</w:t>
      </w:r>
      <w:r w:rsidR="002B5D58">
        <w:rPr>
          <w:rFonts w:ascii="Times New Roman" w:hAnsi="Times New Roman"/>
          <w:snapToGrid w:val="0"/>
        </w:rPr>
        <w:t> </w:t>
      </w:r>
      <w:r w:rsidRPr="00074768">
        <w:rPr>
          <w:rFonts w:ascii="Times New Roman" w:hAnsi="Times New Roman"/>
          <w:snapToGrid w:val="0"/>
        </w:rPr>
        <w:t>4.8</w:t>
      </w:r>
      <w:r w:rsidR="002B5D58">
        <w:rPr>
          <w:rFonts w:ascii="Times New Roman" w:hAnsi="Times New Roman"/>
          <w:snapToGrid w:val="0"/>
        </w:rPr>
        <w:t> </w:t>
      </w:r>
      <w:r w:rsidRPr="00074768">
        <w:rPr>
          <w:rFonts w:ascii="Times New Roman" w:hAnsi="Times New Roman"/>
          <w:snapToGrid w:val="0"/>
        </w:rPr>
        <w:t>skyrių).</w:t>
      </w:r>
    </w:p>
    <w:p w14:paraId="2CF5D1A6" w14:textId="77777777" w:rsidR="00AF6930" w:rsidRPr="00074768" w:rsidRDefault="00AF6930" w:rsidP="005F1485">
      <w:pPr>
        <w:spacing w:after="0" w:line="240" w:lineRule="auto"/>
        <w:ind w:left="567" w:hanging="567"/>
        <w:rPr>
          <w:rFonts w:ascii="Times New Roman" w:hAnsi="Times New Roman"/>
          <w:snapToGrid w:val="0"/>
        </w:rPr>
      </w:pPr>
    </w:p>
    <w:p w14:paraId="6D7888F2" w14:textId="77777777" w:rsidR="005F1485" w:rsidRPr="00074768" w:rsidRDefault="005F1485" w:rsidP="005F1485">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Senyvi pacientai</w:t>
      </w:r>
    </w:p>
    <w:p w14:paraId="442A9C3B" w14:textId="679DE444" w:rsidR="005F1485" w:rsidRPr="00074768" w:rsidRDefault="005F1485" w:rsidP="005A0545">
      <w:pPr>
        <w:spacing w:after="0" w:line="240" w:lineRule="auto"/>
        <w:rPr>
          <w:rFonts w:ascii="Times New Roman" w:hAnsi="Times New Roman"/>
          <w:snapToGrid w:val="0"/>
        </w:rPr>
      </w:pPr>
      <w:r w:rsidRPr="00074768">
        <w:rPr>
          <w:rFonts w:ascii="Times New Roman" w:hAnsi="Times New Roman"/>
          <w:snapToGrid w:val="0"/>
        </w:rPr>
        <w:t xml:space="preserve">Senyviems </w:t>
      </w:r>
      <w:r w:rsidR="005A0545" w:rsidRPr="00074768">
        <w:rPr>
          <w:rFonts w:ascii="Times New Roman" w:hAnsi="Times New Roman"/>
          <w:snapToGrid w:val="0"/>
        </w:rPr>
        <w:t>žmonėms</w:t>
      </w:r>
      <w:r w:rsidRPr="00074768">
        <w:rPr>
          <w:rFonts w:ascii="Times New Roman" w:hAnsi="Times New Roman"/>
          <w:snapToGrid w:val="0"/>
        </w:rPr>
        <w:t xml:space="preserve"> (≥</w:t>
      </w:r>
      <w:r w:rsidR="00785C6E">
        <w:rPr>
          <w:rFonts w:ascii="Times New Roman" w:hAnsi="Times New Roman"/>
          <w:snapToGrid w:val="0"/>
        </w:rPr>
        <w:t> </w:t>
      </w:r>
      <w:r w:rsidRPr="00074768">
        <w:rPr>
          <w:rFonts w:ascii="Times New Roman" w:hAnsi="Times New Roman"/>
          <w:snapToGrid w:val="0"/>
        </w:rPr>
        <w:t>65</w:t>
      </w:r>
      <w:r w:rsidR="002B5D58">
        <w:rPr>
          <w:rFonts w:ascii="Times New Roman" w:hAnsi="Times New Roman"/>
          <w:snapToGrid w:val="0"/>
        </w:rPr>
        <w:t> </w:t>
      </w:r>
      <w:r w:rsidRPr="00074768">
        <w:rPr>
          <w:rFonts w:ascii="Times New Roman" w:hAnsi="Times New Roman"/>
          <w:snapToGrid w:val="0"/>
        </w:rPr>
        <w:t>metų) yra didesnė tam tikrų nepageidaujamų reakcijų, įskaitant</w:t>
      </w:r>
      <w:r w:rsidR="005A0545" w:rsidRPr="00074768">
        <w:rPr>
          <w:rFonts w:ascii="Times New Roman" w:hAnsi="Times New Roman"/>
          <w:snapToGrid w:val="0"/>
        </w:rPr>
        <w:t xml:space="preserve"> </w:t>
      </w:r>
      <w:proofErr w:type="spellStart"/>
      <w:r w:rsidRPr="00074768">
        <w:rPr>
          <w:rFonts w:ascii="Times New Roman" w:hAnsi="Times New Roman"/>
          <w:snapToGrid w:val="0"/>
        </w:rPr>
        <w:t>neutropeniją</w:t>
      </w:r>
      <w:proofErr w:type="spellEnd"/>
      <w:r w:rsidRPr="00074768">
        <w:rPr>
          <w:rFonts w:ascii="Times New Roman" w:hAnsi="Times New Roman"/>
          <w:snapToGrid w:val="0"/>
        </w:rPr>
        <w:t xml:space="preserve"> ir </w:t>
      </w:r>
      <w:proofErr w:type="spellStart"/>
      <w:r w:rsidR="005A0545" w:rsidRPr="00074768">
        <w:rPr>
          <w:rFonts w:ascii="Times New Roman" w:hAnsi="Times New Roman"/>
          <w:snapToGrid w:val="0"/>
        </w:rPr>
        <w:t>neutropeninį</w:t>
      </w:r>
      <w:proofErr w:type="spellEnd"/>
      <w:r w:rsidR="005A0545" w:rsidRPr="00074768">
        <w:rPr>
          <w:rFonts w:ascii="Times New Roman" w:hAnsi="Times New Roman"/>
          <w:snapToGrid w:val="0"/>
        </w:rPr>
        <w:t xml:space="preserve"> karščiavimą</w:t>
      </w:r>
      <w:r w:rsidRPr="00074768">
        <w:rPr>
          <w:rFonts w:ascii="Times New Roman" w:hAnsi="Times New Roman"/>
          <w:snapToGrid w:val="0"/>
        </w:rPr>
        <w:t>, rizika (žr.</w:t>
      </w:r>
      <w:r w:rsidR="002B5D58">
        <w:rPr>
          <w:rFonts w:ascii="Times New Roman" w:hAnsi="Times New Roman"/>
          <w:snapToGrid w:val="0"/>
        </w:rPr>
        <w:t> </w:t>
      </w:r>
      <w:r w:rsidRPr="00074768">
        <w:rPr>
          <w:rFonts w:ascii="Times New Roman" w:hAnsi="Times New Roman"/>
          <w:snapToGrid w:val="0"/>
        </w:rPr>
        <w:t>4.8</w:t>
      </w:r>
      <w:r w:rsidR="002B5D58">
        <w:rPr>
          <w:rFonts w:ascii="Times New Roman" w:hAnsi="Times New Roman"/>
          <w:snapToGrid w:val="0"/>
        </w:rPr>
        <w:t> </w:t>
      </w:r>
      <w:r w:rsidRPr="00074768">
        <w:rPr>
          <w:rFonts w:ascii="Times New Roman" w:hAnsi="Times New Roman"/>
          <w:snapToGrid w:val="0"/>
        </w:rPr>
        <w:t>skyrių).</w:t>
      </w:r>
    </w:p>
    <w:p w14:paraId="31B86810" w14:textId="77777777" w:rsidR="005A0545" w:rsidRPr="00074768" w:rsidRDefault="005A0545" w:rsidP="005F1485">
      <w:pPr>
        <w:spacing w:after="0" w:line="240" w:lineRule="auto"/>
        <w:ind w:left="567" w:hanging="567"/>
        <w:rPr>
          <w:rFonts w:ascii="Times New Roman" w:hAnsi="Times New Roman"/>
          <w:snapToGrid w:val="0"/>
        </w:rPr>
      </w:pPr>
    </w:p>
    <w:p w14:paraId="0A7D057B" w14:textId="77777777" w:rsidR="005F1485" w:rsidRPr="00074768" w:rsidRDefault="005F1485" w:rsidP="005F1485">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Pacientai, kurių kepenų funkcija sutrikusi</w:t>
      </w:r>
    </w:p>
    <w:p w14:paraId="79480716" w14:textId="2F4B049B" w:rsidR="005F1485" w:rsidRPr="00074768" w:rsidRDefault="005F1485" w:rsidP="005A0545">
      <w:pPr>
        <w:spacing w:after="0" w:line="240" w:lineRule="auto"/>
        <w:rPr>
          <w:rFonts w:ascii="Times New Roman" w:hAnsi="Times New Roman"/>
          <w:snapToGrid w:val="0"/>
        </w:rPr>
      </w:pPr>
      <w:r w:rsidRPr="00074768">
        <w:rPr>
          <w:rFonts w:ascii="Times New Roman" w:hAnsi="Times New Roman"/>
          <w:snapToGrid w:val="0"/>
        </w:rPr>
        <w:t xml:space="preserve">Pacientus, kuriems yra sunkus kepenų funkcijos sutrikimas (bendras </w:t>
      </w:r>
      <w:proofErr w:type="spellStart"/>
      <w:r w:rsidRPr="00074768">
        <w:rPr>
          <w:rFonts w:ascii="Times New Roman" w:hAnsi="Times New Roman"/>
          <w:snapToGrid w:val="0"/>
        </w:rPr>
        <w:t>bilirubino</w:t>
      </w:r>
      <w:proofErr w:type="spellEnd"/>
      <w:r w:rsidRPr="00074768">
        <w:rPr>
          <w:rFonts w:ascii="Times New Roman" w:hAnsi="Times New Roman"/>
          <w:snapToGrid w:val="0"/>
        </w:rPr>
        <w:t xml:space="preserve"> kiekis &gt;</w:t>
      </w:r>
      <w:r w:rsidR="00785C6E">
        <w:rPr>
          <w:rFonts w:ascii="Times New Roman" w:hAnsi="Times New Roman"/>
          <w:snapToGrid w:val="0"/>
        </w:rPr>
        <w:t> </w:t>
      </w:r>
      <w:r w:rsidRPr="00074768">
        <w:rPr>
          <w:rFonts w:ascii="Times New Roman" w:hAnsi="Times New Roman"/>
          <w:snapToGrid w:val="0"/>
        </w:rPr>
        <w:t>3 x VNR),</w:t>
      </w:r>
      <w:r w:rsidR="005A0545" w:rsidRPr="00074768">
        <w:rPr>
          <w:rFonts w:ascii="Times New Roman" w:hAnsi="Times New Roman"/>
          <w:snapToGrid w:val="0"/>
        </w:rPr>
        <w:t xml:space="preserve"> </w:t>
      </w:r>
      <w:proofErr w:type="spellStart"/>
      <w:r w:rsidR="005A0545" w:rsidRPr="00074768">
        <w:rPr>
          <w:rFonts w:ascii="Times New Roman" w:hAnsi="Times New Roman"/>
          <w:snapToGrid w:val="0"/>
        </w:rPr>
        <w:t>Cabazitaxel</w:t>
      </w:r>
      <w:proofErr w:type="spellEnd"/>
      <w:r w:rsidR="005A0545" w:rsidRPr="00074768">
        <w:rPr>
          <w:rFonts w:ascii="Times New Roman" w:hAnsi="Times New Roman"/>
          <w:snapToGrid w:val="0"/>
        </w:rPr>
        <w:t xml:space="preserve"> </w:t>
      </w:r>
      <w:proofErr w:type="spellStart"/>
      <w:r w:rsidR="005A0545" w:rsidRPr="00074768">
        <w:rPr>
          <w:rFonts w:ascii="Times New Roman" w:hAnsi="Times New Roman"/>
          <w:snapToGrid w:val="0"/>
        </w:rPr>
        <w:t>Sandoz</w:t>
      </w:r>
      <w:proofErr w:type="spellEnd"/>
      <w:r w:rsidRPr="00074768">
        <w:rPr>
          <w:rFonts w:ascii="Times New Roman" w:hAnsi="Times New Roman"/>
          <w:snapToGrid w:val="0"/>
        </w:rPr>
        <w:t xml:space="preserve"> gydyti draudžiama (žr. 4.3 ir 5.2</w:t>
      </w:r>
      <w:r w:rsidR="002B5D58">
        <w:rPr>
          <w:rFonts w:ascii="Times New Roman" w:hAnsi="Times New Roman"/>
          <w:snapToGrid w:val="0"/>
        </w:rPr>
        <w:t> </w:t>
      </w:r>
      <w:r w:rsidRPr="00074768">
        <w:rPr>
          <w:rFonts w:ascii="Times New Roman" w:hAnsi="Times New Roman"/>
          <w:snapToGrid w:val="0"/>
        </w:rPr>
        <w:t>skyrius).</w:t>
      </w:r>
    </w:p>
    <w:p w14:paraId="5B44DB2A" w14:textId="6BFC8A78" w:rsidR="005F1485" w:rsidRPr="00074768" w:rsidRDefault="005F1485" w:rsidP="005A0545">
      <w:pPr>
        <w:spacing w:after="0" w:line="240" w:lineRule="auto"/>
        <w:rPr>
          <w:rFonts w:ascii="Times New Roman" w:hAnsi="Times New Roman"/>
          <w:snapToGrid w:val="0"/>
        </w:rPr>
      </w:pPr>
      <w:r w:rsidRPr="00074768">
        <w:rPr>
          <w:rFonts w:ascii="Times New Roman" w:hAnsi="Times New Roman"/>
          <w:snapToGrid w:val="0"/>
        </w:rPr>
        <w:t xml:space="preserve">Pacientams, kuriems yra lengvas kepenų funkcijos sutrikimas (bendras </w:t>
      </w:r>
      <w:proofErr w:type="spellStart"/>
      <w:r w:rsidRPr="00074768">
        <w:rPr>
          <w:rFonts w:ascii="Times New Roman" w:hAnsi="Times New Roman"/>
          <w:snapToGrid w:val="0"/>
        </w:rPr>
        <w:t>bilirubino</w:t>
      </w:r>
      <w:proofErr w:type="spellEnd"/>
      <w:r w:rsidRPr="00074768">
        <w:rPr>
          <w:rFonts w:ascii="Times New Roman" w:hAnsi="Times New Roman"/>
          <w:snapToGrid w:val="0"/>
        </w:rPr>
        <w:t xml:space="preserve"> kiekis nuo &gt;</w:t>
      </w:r>
      <w:r w:rsidR="00785C6E">
        <w:rPr>
          <w:rFonts w:ascii="Times New Roman" w:hAnsi="Times New Roman"/>
          <w:snapToGrid w:val="0"/>
        </w:rPr>
        <w:t> </w:t>
      </w:r>
      <w:r w:rsidRPr="00074768">
        <w:rPr>
          <w:rFonts w:ascii="Times New Roman" w:hAnsi="Times New Roman"/>
          <w:snapToGrid w:val="0"/>
        </w:rPr>
        <w:t>1 iki</w:t>
      </w:r>
      <w:r w:rsidR="005A0545" w:rsidRPr="00074768">
        <w:rPr>
          <w:rFonts w:ascii="Times New Roman" w:hAnsi="Times New Roman"/>
          <w:snapToGrid w:val="0"/>
        </w:rPr>
        <w:t xml:space="preserve"> </w:t>
      </w:r>
      <w:r w:rsidRPr="00074768">
        <w:rPr>
          <w:rFonts w:ascii="Times New Roman" w:hAnsi="Times New Roman"/>
          <w:snapToGrid w:val="0"/>
        </w:rPr>
        <w:t>≤</w:t>
      </w:r>
      <w:r w:rsidR="00785C6E">
        <w:rPr>
          <w:rFonts w:ascii="Times New Roman" w:hAnsi="Times New Roman"/>
          <w:snapToGrid w:val="0"/>
        </w:rPr>
        <w:t> </w:t>
      </w:r>
      <w:r w:rsidRPr="00074768">
        <w:rPr>
          <w:rFonts w:ascii="Times New Roman" w:hAnsi="Times New Roman"/>
          <w:snapToGrid w:val="0"/>
        </w:rPr>
        <w:t>1,5 x VNR arba AST &gt;</w:t>
      </w:r>
      <w:r w:rsidR="00785C6E">
        <w:rPr>
          <w:rFonts w:ascii="Times New Roman" w:hAnsi="Times New Roman"/>
          <w:snapToGrid w:val="0"/>
        </w:rPr>
        <w:t> </w:t>
      </w:r>
      <w:r w:rsidRPr="00074768">
        <w:rPr>
          <w:rFonts w:ascii="Times New Roman" w:hAnsi="Times New Roman"/>
          <w:snapToGrid w:val="0"/>
        </w:rPr>
        <w:t>1,5 x VNR), doz</w:t>
      </w:r>
      <w:r w:rsidR="005A0545" w:rsidRPr="00074768">
        <w:rPr>
          <w:rFonts w:ascii="Times New Roman" w:hAnsi="Times New Roman"/>
          <w:snapToGrid w:val="0"/>
        </w:rPr>
        <w:t>ė turi būti sumažinta</w:t>
      </w:r>
      <w:r w:rsidRPr="00074768">
        <w:rPr>
          <w:rFonts w:ascii="Times New Roman" w:hAnsi="Times New Roman"/>
          <w:snapToGrid w:val="0"/>
        </w:rPr>
        <w:t xml:space="preserve"> (žr. 4.2 ir 5.2</w:t>
      </w:r>
      <w:r w:rsidR="002B5D58">
        <w:rPr>
          <w:rFonts w:ascii="Times New Roman" w:hAnsi="Times New Roman"/>
          <w:snapToGrid w:val="0"/>
        </w:rPr>
        <w:t> </w:t>
      </w:r>
      <w:r w:rsidRPr="00074768">
        <w:rPr>
          <w:rFonts w:ascii="Times New Roman" w:hAnsi="Times New Roman"/>
          <w:snapToGrid w:val="0"/>
        </w:rPr>
        <w:t>skyrius).</w:t>
      </w:r>
    </w:p>
    <w:p w14:paraId="7B98C3FA" w14:textId="77777777" w:rsidR="005A0545" w:rsidRPr="00074768" w:rsidRDefault="005A0545" w:rsidP="005F1485">
      <w:pPr>
        <w:spacing w:after="0" w:line="240" w:lineRule="auto"/>
        <w:ind w:left="567" w:hanging="567"/>
        <w:rPr>
          <w:rFonts w:ascii="Times New Roman" w:hAnsi="Times New Roman"/>
          <w:snapToGrid w:val="0"/>
        </w:rPr>
      </w:pPr>
    </w:p>
    <w:p w14:paraId="2EA35957" w14:textId="77777777" w:rsidR="005F1485" w:rsidRPr="00074768" w:rsidRDefault="005F1485" w:rsidP="005F1485">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Sąveik</w:t>
      </w:r>
      <w:r w:rsidR="005A0545" w:rsidRPr="00074768">
        <w:rPr>
          <w:rFonts w:ascii="Times New Roman" w:hAnsi="Times New Roman"/>
          <w:snapToGrid w:val="0"/>
          <w:u w:val="single"/>
        </w:rPr>
        <w:t>os</w:t>
      </w:r>
    </w:p>
    <w:p w14:paraId="4BA71A79" w14:textId="3C805365" w:rsidR="005F1485" w:rsidRPr="00074768" w:rsidRDefault="005F1485" w:rsidP="005A0545">
      <w:pPr>
        <w:spacing w:after="0" w:line="240" w:lineRule="auto"/>
        <w:rPr>
          <w:rFonts w:ascii="Times New Roman" w:hAnsi="Times New Roman"/>
          <w:snapToGrid w:val="0"/>
        </w:rPr>
      </w:pPr>
      <w:r w:rsidRPr="00074768">
        <w:rPr>
          <w:rFonts w:ascii="Times New Roman" w:hAnsi="Times New Roman"/>
          <w:snapToGrid w:val="0"/>
        </w:rPr>
        <w:t xml:space="preserve">Stiprių CYP3A inhibitorių kartu skirti turi būti vengiama, kadangi gali didėti </w:t>
      </w:r>
      <w:proofErr w:type="spellStart"/>
      <w:r w:rsidRPr="00074768">
        <w:rPr>
          <w:rFonts w:ascii="Times New Roman" w:hAnsi="Times New Roman"/>
          <w:snapToGrid w:val="0"/>
        </w:rPr>
        <w:t>kabazitakselio</w:t>
      </w:r>
      <w:proofErr w:type="spellEnd"/>
      <w:r w:rsidR="005A0545" w:rsidRPr="00074768">
        <w:rPr>
          <w:rFonts w:ascii="Times New Roman" w:hAnsi="Times New Roman"/>
          <w:snapToGrid w:val="0"/>
        </w:rPr>
        <w:t xml:space="preserve"> </w:t>
      </w:r>
      <w:r w:rsidRPr="00074768">
        <w:rPr>
          <w:rFonts w:ascii="Times New Roman" w:hAnsi="Times New Roman"/>
          <w:snapToGrid w:val="0"/>
        </w:rPr>
        <w:t>koncentracija plazmoje (žr. 4.2 ir 4.5</w:t>
      </w:r>
      <w:r w:rsidR="002B5D58">
        <w:rPr>
          <w:rFonts w:ascii="Times New Roman" w:hAnsi="Times New Roman"/>
          <w:snapToGrid w:val="0"/>
        </w:rPr>
        <w:t> </w:t>
      </w:r>
      <w:r w:rsidRPr="00074768">
        <w:rPr>
          <w:rFonts w:ascii="Times New Roman" w:hAnsi="Times New Roman"/>
          <w:snapToGrid w:val="0"/>
        </w:rPr>
        <w:t>skyrius). Jei stipraus CYP3A inhibitoriaus skyrimo kartu</w:t>
      </w:r>
      <w:r w:rsidR="005A0545" w:rsidRPr="00074768">
        <w:rPr>
          <w:rFonts w:ascii="Times New Roman" w:hAnsi="Times New Roman"/>
          <w:snapToGrid w:val="0"/>
        </w:rPr>
        <w:t xml:space="preserve"> </w:t>
      </w:r>
      <w:r w:rsidRPr="00074768">
        <w:rPr>
          <w:rFonts w:ascii="Times New Roman" w:hAnsi="Times New Roman"/>
          <w:snapToGrid w:val="0"/>
        </w:rPr>
        <w:t>negalima išvengti, turi būti apgalvotas atidus toksiškumo stebėjimas ir</w:t>
      </w:r>
      <w:r w:rsidR="004B7C5B" w:rsidRPr="00074768">
        <w:rPr>
          <w:rFonts w:ascii="Times New Roman" w:hAnsi="Times New Roman"/>
          <w:snapToGrid w:val="0"/>
        </w:rPr>
        <w:t xml:space="preserve"> </w:t>
      </w:r>
      <w:proofErr w:type="spellStart"/>
      <w:r w:rsidRPr="00074768">
        <w:rPr>
          <w:rFonts w:ascii="Times New Roman" w:hAnsi="Times New Roman"/>
          <w:snapToGrid w:val="0"/>
        </w:rPr>
        <w:t>kabazitakselio</w:t>
      </w:r>
      <w:proofErr w:type="spellEnd"/>
      <w:r w:rsidRPr="00074768">
        <w:rPr>
          <w:rFonts w:ascii="Times New Roman" w:hAnsi="Times New Roman"/>
          <w:snapToGrid w:val="0"/>
        </w:rPr>
        <w:t xml:space="preserve"> dozės mažinimas</w:t>
      </w:r>
      <w:r w:rsidR="005A0545" w:rsidRPr="00074768">
        <w:rPr>
          <w:rFonts w:ascii="Times New Roman" w:hAnsi="Times New Roman"/>
          <w:snapToGrid w:val="0"/>
        </w:rPr>
        <w:t xml:space="preserve"> </w:t>
      </w:r>
      <w:r w:rsidRPr="00074768">
        <w:rPr>
          <w:rFonts w:ascii="Times New Roman" w:hAnsi="Times New Roman"/>
          <w:snapToGrid w:val="0"/>
        </w:rPr>
        <w:t>(žr. 4.2 ir 4.5</w:t>
      </w:r>
      <w:r w:rsidR="002B5D58">
        <w:rPr>
          <w:rFonts w:ascii="Times New Roman" w:hAnsi="Times New Roman"/>
          <w:snapToGrid w:val="0"/>
        </w:rPr>
        <w:t> </w:t>
      </w:r>
      <w:r w:rsidRPr="00074768">
        <w:rPr>
          <w:rFonts w:ascii="Times New Roman" w:hAnsi="Times New Roman"/>
          <w:snapToGrid w:val="0"/>
        </w:rPr>
        <w:t>skyrius).</w:t>
      </w:r>
    </w:p>
    <w:p w14:paraId="64AF72D0" w14:textId="220C2A80" w:rsidR="005F1485" w:rsidRPr="00074768" w:rsidRDefault="005F1485" w:rsidP="005A0545">
      <w:pPr>
        <w:spacing w:after="0" w:line="240" w:lineRule="auto"/>
        <w:rPr>
          <w:rFonts w:ascii="Times New Roman" w:hAnsi="Times New Roman"/>
          <w:snapToGrid w:val="0"/>
        </w:rPr>
      </w:pPr>
      <w:r w:rsidRPr="00074768">
        <w:rPr>
          <w:rFonts w:ascii="Times New Roman" w:hAnsi="Times New Roman"/>
          <w:snapToGrid w:val="0"/>
        </w:rPr>
        <w:t xml:space="preserve">Stiprių CYP3A </w:t>
      </w:r>
      <w:proofErr w:type="spellStart"/>
      <w:r w:rsidRPr="00074768">
        <w:rPr>
          <w:rFonts w:ascii="Times New Roman" w:hAnsi="Times New Roman"/>
          <w:snapToGrid w:val="0"/>
        </w:rPr>
        <w:t>induktorių</w:t>
      </w:r>
      <w:proofErr w:type="spellEnd"/>
      <w:r w:rsidRPr="00074768">
        <w:rPr>
          <w:rFonts w:ascii="Times New Roman" w:hAnsi="Times New Roman"/>
          <w:snapToGrid w:val="0"/>
        </w:rPr>
        <w:t xml:space="preserve"> kartu skirti turi būti vengiama, kadangi gali mažėti </w:t>
      </w:r>
      <w:proofErr w:type="spellStart"/>
      <w:r w:rsidRPr="00074768">
        <w:rPr>
          <w:rFonts w:ascii="Times New Roman" w:hAnsi="Times New Roman"/>
          <w:snapToGrid w:val="0"/>
        </w:rPr>
        <w:t>kabazitakselio</w:t>
      </w:r>
      <w:proofErr w:type="spellEnd"/>
      <w:r w:rsidR="005A0545" w:rsidRPr="00074768">
        <w:rPr>
          <w:rFonts w:ascii="Times New Roman" w:hAnsi="Times New Roman"/>
          <w:snapToGrid w:val="0"/>
        </w:rPr>
        <w:t xml:space="preserve"> </w:t>
      </w:r>
      <w:r w:rsidRPr="00074768">
        <w:rPr>
          <w:rFonts w:ascii="Times New Roman" w:hAnsi="Times New Roman"/>
          <w:snapToGrid w:val="0"/>
        </w:rPr>
        <w:t>koncentracija plazmoje (žr. 4.2 ir 4.5</w:t>
      </w:r>
      <w:r w:rsidR="002B5D58">
        <w:rPr>
          <w:rFonts w:ascii="Times New Roman" w:hAnsi="Times New Roman"/>
          <w:snapToGrid w:val="0"/>
        </w:rPr>
        <w:t> </w:t>
      </w:r>
      <w:r w:rsidRPr="00074768">
        <w:rPr>
          <w:rFonts w:ascii="Times New Roman" w:hAnsi="Times New Roman"/>
          <w:snapToGrid w:val="0"/>
        </w:rPr>
        <w:t>skyrius).</w:t>
      </w:r>
    </w:p>
    <w:p w14:paraId="60BD1475" w14:textId="77777777" w:rsidR="00867ACF" w:rsidRPr="00445A3E" w:rsidRDefault="00867ACF" w:rsidP="00867ACF">
      <w:pPr>
        <w:spacing w:after="0" w:line="240" w:lineRule="auto"/>
        <w:ind w:left="567" w:hanging="567"/>
        <w:rPr>
          <w:rFonts w:ascii="Times New Roman" w:hAnsi="Times New Roman"/>
          <w:snapToGrid w:val="0"/>
          <w:u w:val="single"/>
        </w:rPr>
      </w:pPr>
      <w:r w:rsidRPr="00445A3E">
        <w:rPr>
          <w:rFonts w:ascii="Times New Roman" w:hAnsi="Times New Roman"/>
          <w:snapToGrid w:val="0"/>
          <w:u w:val="single"/>
        </w:rPr>
        <w:t>Pagalbinės medžiagos</w:t>
      </w:r>
    </w:p>
    <w:p w14:paraId="477EBE2B" w14:textId="21ECDECD" w:rsidR="005A0545" w:rsidRPr="00074768" w:rsidRDefault="002A526F" w:rsidP="002642B8">
      <w:pPr>
        <w:spacing w:after="0" w:line="240" w:lineRule="auto"/>
        <w:rPr>
          <w:rFonts w:ascii="Times New Roman" w:hAnsi="Times New Roman"/>
          <w:snapToGrid w:val="0"/>
        </w:rPr>
      </w:pPr>
      <w:proofErr w:type="spellStart"/>
      <w:r w:rsidRPr="002A526F">
        <w:rPr>
          <w:rFonts w:ascii="Times New Roman" w:hAnsi="Times New Roman"/>
          <w:snapToGrid w:val="0"/>
        </w:rPr>
        <w:t>Cabazitaxel</w:t>
      </w:r>
      <w:proofErr w:type="spellEnd"/>
      <w:r w:rsidRPr="002A526F">
        <w:rPr>
          <w:rFonts w:ascii="Times New Roman" w:hAnsi="Times New Roman"/>
          <w:snapToGrid w:val="0"/>
        </w:rPr>
        <w:t xml:space="preserve"> </w:t>
      </w:r>
      <w:proofErr w:type="spellStart"/>
      <w:r w:rsidRPr="002A526F">
        <w:rPr>
          <w:rFonts w:ascii="Times New Roman" w:hAnsi="Times New Roman"/>
          <w:snapToGrid w:val="0"/>
        </w:rPr>
        <w:t>Sandoz</w:t>
      </w:r>
      <w:proofErr w:type="spellEnd"/>
      <w:r w:rsidRPr="002A526F">
        <w:rPr>
          <w:rFonts w:ascii="Times New Roman" w:hAnsi="Times New Roman"/>
          <w:snapToGrid w:val="0"/>
        </w:rPr>
        <w:t xml:space="preserve"> sudėtyje yra</w:t>
      </w:r>
      <w:r>
        <w:rPr>
          <w:rFonts w:ascii="Times New Roman" w:hAnsi="Times New Roman"/>
          <w:snapToGrid w:val="0"/>
        </w:rPr>
        <w:t xml:space="preserve"> </w:t>
      </w:r>
      <w:r w:rsidRPr="002A526F">
        <w:rPr>
          <w:rFonts w:ascii="Times New Roman" w:hAnsi="Times New Roman"/>
          <w:snapToGrid w:val="0"/>
        </w:rPr>
        <w:t>etanolio.</w:t>
      </w:r>
    </w:p>
    <w:p w14:paraId="645263F7" w14:textId="77777777" w:rsidR="005A0545" w:rsidRPr="00074768" w:rsidRDefault="005A0545" w:rsidP="005F1485">
      <w:pPr>
        <w:spacing w:after="0" w:line="240" w:lineRule="auto"/>
        <w:ind w:left="567" w:hanging="567"/>
        <w:rPr>
          <w:rFonts w:ascii="Times New Roman" w:hAnsi="Times New Roman"/>
          <w:snapToGrid w:val="0"/>
        </w:rPr>
      </w:pPr>
    </w:p>
    <w:p w14:paraId="47D1ED98" w14:textId="77777777" w:rsidR="005F1485" w:rsidRPr="00074768" w:rsidRDefault="005A0545" w:rsidP="005F1485">
      <w:pPr>
        <w:spacing w:after="0" w:line="240" w:lineRule="auto"/>
        <w:ind w:left="567" w:hanging="567"/>
        <w:rPr>
          <w:rFonts w:ascii="Times New Roman" w:hAnsi="Times New Roman"/>
          <w:i/>
          <w:snapToGrid w:val="0"/>
        </w:rPr>
      </w:pPr>
      <w:r w:rsidRPr="00074768">
        <w:rPr>
          <w:rFonts w:ascii="Times New Roman" w:hAnsi="Times New Roman"/>
          <w:i/>
          <w:snapToGrid w:val="0"/>
        </w:rPr>
        <w:t>45 mg flakonai</w:t>
      </w:r>
    </w:p>
    <w:p w14:paraId="5B94CB84" w14:textId="10656203" w:rsidR="0046749B" w:rsidRPr="00074768" w:rsidRDefault="00147091" w:rsidP="0046749B">
      <w:pPr>
        <w:spacing w:after="0" w:line="240" w:lineRule="auto"/>
        <w:rPr>
          <w:rFonts w:ascii="Times New Roman" w:hAnsi="Times New Roman"/>
          <w:snapToGrid w:val="0"/>
        </w:rPr>
      </w:pPr>
      <w:r w:rsidRPr="00147091">
        <w:rPr>
          <w:rFonts w:ascii="Times New Roman" w:hAnsi="Times New Roman"/>
          <w:snapToGrid w:val="0"/>
        </w:rPr>
        <w:t>Kiekviename šio vaistinio preparato flakone esančiuose 4,5</w:t>
      </w:r>
      <w:r w:rsidR="00BF390D">
        <w:rPr>
          <w:rFonts w:ascii="Times New Roman" w:hAnsi="Times New Roman"/>
          <w:snapToGrid w:val="0"/>
        </w:rPr>
        <w:t> </w:t>
      </w:r>
      <w:r w:rsidRPr="00147091">
        <w:rPr>
          <w:rFonts w:ascii="Times New Roman" w:hAnsi="Times New Roman"/>
          <w:snapToGrid w:val="0"/>
        </w:rPr>
        <w:t>ml koncentrato infuziniam tirpalui yra 891</w:t>
      </w:r>
      <w:r w:rsidR="00BF390D">
        <w:rPr>
          <w:rFonts w:ascii="Times New Roman" w:hAnsi="Times New Roman"/>
          <w:snapToGrid w:val="0"/>
        </w:rPr>
        <w:t> </w:t>
      </w:r>
      <w:r w:rsidRPr="00147091">
        <w:rPr>
          <w:rFonts w:ascii="Times New Roman" w:hAnsi="Times New Roman"/>
          <w:snapToGrid w:val="0"/>
        </w:rPr>
        <w:t>mg etanolio (alkoholio), kas atitinka 19,8</w:t>
      </w:r>
      <w:r w:rsidR="00BF390D">
        <w:rPr>
          <w:rFonts w:ascii="Times New Roman" w:hAnsi="Times New Roman"/>
          <w:snapToGrid w:val="0"/>
        </w:rPr>
        <w:t> </w:t>
      </w:r>
      <w:r w:rsidRPr="00147091">
        <w:rPr>
          <w:rFonts w:ascii="Times New Roman" w:hAnsi="Times New Roman"/>
          <w:snapToGrid w:val="0"/>
        </w:rPr>
        <w:t>% (m/V). Toks kiekviename šio vaistinio preparato flakone esantis alkoholio kiekis atitinka mažiau kaip 22</w:t>
      </w:r>
      <w:r w:rsidR="00BF390D">
        <w:rPr>
          <w:rFonts w:ascii="Times New Roman" w:hAnsi="Times New Roman"/>
          <w:snapToGrid w:val="0"/>
        </w:rPr>
        <w:t> </w:t>
      </w:r>
      <w:r w:rsidRPr="00147091">
        <w:rPr>
          <w:rFonts w:ascii="Times New Roman" w:hAnsi="Times New Roman"/>
          <w:snapToGrid w:val="0"/>
        </w:rPr>
        <w:t>ml alaus ar 9</w:t>
      </w:r>
      <w:r w:rsidR="00BF390D">
        <w:rPr>
          <w:rFonts w:ascii="Times New Roman" w:hAnsi="Times New Roman"/>
          <w:snapToGrid w:val="0"/>
        </w:rPr>
        <w:t> </w:t>
      </w:r>
      <w:r w:rsidRPr="00147091">
        <w:rPr>
          <w:rFonts w:ascii="Times New Roman" w:hAnsi="Times New Roman"/>
          <w:snapToGrid w:val="0"/>
        </w:rPr>
        <w:t>ml vyno.</w:t>
      </w:r>
    </w:p>
    <w:p w14:paraId="765064FC" w14:textId="77777777" w:rsidR="0046749B" w:rsidRPr="00074768" w:rsidRDefault="0046749B" w:rsidP="0046749B">
      <w:pPr>
        <w:spacing w:after="0" w:line="240" w:lineRule="auto"/>
        <w:rPr>
          <w:rFonts w:ascii="Times New Roman" w:hAnsi="Times New Roman"/>
          <w:snapToGrid w:val="0"/>
        </w:rPr>
      </w:pPr>
    </w:p>
    <w:p w14:paraId="053F162E" w14:textId="77777777" w:rsidR="0046749B" w:rsidRPr="00074768" w:rsidRDefault="0046749B" w:rsidP="0046749B">
      <w:pPr>
        <w:spacing w:after="0" w:line="240" w:lineRule="auto"/>
        <w:ind w:left="567" w:hanging="567"/>
        <w:rPr>
          <w:rFonts w:ascii="Times New Roman" w:hAnsi="Times New Roman"/>
          <w:i/>
          <w:snapToGrid w:val="0"/>
        </w:rPr>
      </w:pPr>
      <w:r w:rsidRPr="00074768">
        <w:rPr>
          <w:rFonts w:ascii="Times New Roman" w:hAnsi="Times New Roman"/>
          <w:i/>
          <w:snapToGrid w:val="0"/>
        </w:rPr>
        <w:t>60 mg flakonai</w:t>
      </w:r>
    </w:p>
    <w:p w14:paraId="60429549" w14:textId="49C24817" w:rsidR="0046749B" w:rsidRDefault="00CC492B" w:rsidP="0046749B">
      <w:pPr>
        <w:spacing w:after="0" w:line="240" w:lineRule="auto"/>
        <w:rPr>
          <w:rFonts w:ascii="Times New Roman" w:hAnsi="Times New Roman"/>
          <w:snapToGrid w:val="0"/>
        </w:rPr>
      </w:pPr>
      <w:r w:rsidRPr="00CC492B">
        <w:rPr>
          <w:rFonts w:ascii="Times New Roman" w:hAnsi="Times New Roman"/>
          <w:snapToGrid w:val="0"/>
        </w:rPr>
        <w:t>Kiekviename šio vaistinio preparato flakone esančiuose 6</w:t>
      </w:r>
      <w:r w:rsidR="00BF390D">
        <w:rPr>
          <w:rFonts w:ascii="Times New Roman" w:hAnsi="Times New Roman"/>
          <w:snapToGrid w:val="0"/>
        </w:rPr>
        <w:t> </w:t>
      </w:r>
      <w:r w:rsidRPr="00CC492B">
        <w:rPr>
          <w:rFonts w:ascii="Times New Roman" w:hAnsi="Times New Roman"/>
          <w:snapToGrid w:val="0"/>
        </w:rPr>
        <w:t>ml koncentrato infuziniam tirpalui yra 1188</w:t>
      </w:r>
      <w:r w:rsidR="00BF390D">
        <w:rPr>
          <w:rFonts w:ascii="Times New Roman" w:hAnsi="Times New Roman"/>
          <w:snapToGrid w:val="0"/>
        </w:rPr>
        <w:t> </w:t>
      </w:r>
      <w:r w:rsidRPr="00CC492B">
        <w:rPr>
          <w:rFonts w:ascii="Times New Roman" w:hAnsi="Times New Roman"/>
          <w:snapToGrid w:val="0"/>
        </w:rPr>
        <w:t>mg etanolio (alkoholio), kas atitinka 19,8</w:t>
      </w:r>
      <w:r w:rsidR="00BF390D">
        <w:rPr>
          <w:rFonts w:ascii="Times New Roman" w:hAnsi="Times New Roman"/>
          <w:snapToGrid w:val="0"/>
        </w:rPr>
        <w:t> </w:t>
      </w:r>
      <w:r w:rsidRPr="00CC492B">
        <w:rPr>
          <w:rFonts w:ascii="Times New Roman" w:hAnsi="Times New Roman"/>
          <w:snapToGrid w:val="0"/>
        </w:rPr>
        <w:t>% (m/V). Toks kiekviename šio vaistinio preparato flakone esantis alkoholio kiekis atitinka mažiau kaip 30</w:t>
      </w:r>
      <w:r w:rsidR="00BF390D">
        <w:rPr>
          <w:rFonts w:ascii="Times New Roman" w:hAnsi="Times New Roman"/>
          <w:snapToGrid w:val="0"/>
        </w:rPr>
        <w:t> </w:t>
      </w:r>
      <w:r w:rsidRPr="00CC492B">
        <w:rPr>
          <w:rFonts w:ascii="Times New Roman" w:hAnsi="Times New Roman"/>
          <w:snapToGrid w:val="0"/>
        </w:rPr>
        <w:t>ml alaus ar 12</w:t>
      </w:r>
      <w:r w:rsidR="00BF390D">
        <w:rPr>
          <w:rFonts w:ascii="Times New Roman" w:hAnsi="Times New Roman"/>
          <w:snapToGrid w:val="0"/>
        </w:rPr>
        <w:t> </w:t>
      </w:r>
      <w:r w:rsidRPr="00CC492B">
        <w:rPr>
          <w:rFonts w:ascii="Times New Roman" w:hAnsi="Times New Roman"/>
          <w:snapToGrid w:val="0"/>
        </w:rPr>
        <w:t>ml vyno.</w:t>
      </w:r>
    </w:p>
    <w:p w14:paraId="38D1A3DD" w14:textId="7B47467A" w:rsidR="00C67175" w:rsidRDefault="00C67175" w:rsidP="0046749B">
      <w:pPr>
        <w:spacing w:after="0" w:line="240" w:lineRule="auto"/>
        <w:rPr>
          <w:rFonts w:ascii="Times New Roman" w:hAnsi="Times New Roman"/>
          <w:snapToGrid w:val="0"/>
        </w:rPr>
      </w:pPr>
    </w:p>
    <w:p w14:paraId="0534842F" w14:textId="47C73E0D" w:rsidR="00E741E5" w:rsidRPr="00E741E5" w:rsidRDefault="00E741E5" w:rsidP="00E741E5">
      <w:pPr>
        <w:spacing w:after="0" w:line="240" w:lineRule="auto"/>
        <w:rPr>
          <w:rFonts w:ascii="Times New Roman" w:hAnsi="Times New Roman"/>
          <w:snapToGrid w:val="0"/>
        </w:rPr>
      </w:pPr>
      <w:r w:rsidRPr="00E741E5">
        <w:rPr>
          <w:rFonts w:ascii="Times New Roman" w:hAnsi="Times New Roman"/>
          <w:snapToGrid w:val="0"/>
        </w:rPr>
        <w:t xml:space="preserve">Šio vaistinio preparato </w:t>
      </w:r>
      <w:r>
        <w:rPr>
          <w:rFonts w:ascii="Times New Roman" w:hAnsi="Times New Roman"/>
          <w:snapToGrid w:val="0"/>
        </w:rPr>
        <w:t>45 </w:t>
      </w:r>
      <w:r w:rsidRPr="00E741E5">
        <w:rPr>
          <w:rFonts w:ascii="Times New Roman" w:hAnsi="Times New Roman"/>
          <w:snapToGrid w:val="0"/>
        </w:rPr>
        <w:t>mg dozė, paskirta 70</w:t>
      </w:r>
      <w:r w:rsidR="00747E7C">
        <w:rPr>
          <w:rFonts w:ascii="Times New Roman" w:hAnsi="Times New Roman"/>
          <w:snapToGrid w:val="0"/>
        </w:rPr>
        <w:t> </w:t>
      </w:r>
      <w:r w:rsidRPr="00E741E5">
        <w:rPr>
          <w:rFonts w:ascii="Times New Roman" w:hAnsi="Times New Roman"/>
          <w:snapToGrid w:val="0"/>
        </w:rPr>
        <w:t xml:space="preserve">kg sveriančiam suaugusiajam, sukels </w:t>
      </w:r>
      <w:r w:rsidR="003E617F">
        <w:rPr>
          <w:rFonts w:ascii="Times New Roman" w:hAnsi="Times New Roman"/>
          <w:snapToGrid w:val="0"/>
        </w:rPr>
        <w:t>13 </w:t>
      </w:r>
      <w:r w:rsidRPr="00E741E5">
        <w:rPr>
          <w:rFonts w:ascii="Times New Roman" w:hAnsi="Times New Roman"/>
          <w:snapToGrid w:val="0"/>
        </w:rPr>
        <w:t xml:space="preserve">mg/kg/dozės etanolio ekspoziciją, dėl kurios alkoholio koncentracija kraujyje gali padidėti apytikriai iki </w:t>
      </w:r>
      <w:r w:rsidR="003E617F">
        <w:rPr>
          <w:rFonts w:ascii="Times New Roman" w:hAnsi="Times New Roman"/>
          <w:snapToGrid w:val="0"/>
        </w:rPr>
        <w:t>2</w:t>
      </w:r>
      <w:r w:rsidR="005C7893">
        <w:rPr>
          <w:rFonts w:ascii="Times New Roman" w:hAnsi="Times New Roman"/>
          <w:snapToGrid w:val="0"/>
        </w:rPr>
        <w:t>,</w:t>
      </w:r>
      <w:r w:rsidR="003E617F">
        <w:rPr>
          <w:rFonts w:ascii="Times New Roman" w:hAnsi="Times New Roman"/>
          <w:snapToGrid w:val="0"/>
        </w:rPr>
        <w:t>2 </w:t>
      </w:r>
      <w:r w:rsidRPr="00E741E5">
        <w:rPr>
          <w:rFonts w:ascii="Times New Roman" w:hAnsi="Times New Roman"/>
          <w:snapToGrid w:val="0"/>
        </w:rPr>
        <w:t>mg/100</w:t>
      </w:r>
      <w:r w:rsidR="005C7893">
        <w:rPr>
          <w:rFonts w:ascii="Times New Roman" w:hAnsi="Times New Roman"/>
          <w:snapToGrid w:val="0"/>
        </w:rPr>
        <w:t> </w:t>
      </w:r>
      <w:r w:rsidRPr="00E741E5">
        <w:rPr>
          <w:rFonts w:ascii="Times New Roman" w:hAnsi="Times New Roman"/>
          <w:snapToGrid w:val="0"/>
        </w:rPr>
        <w:t>ml.</w:t>
      </w:r>
    </w:p>
    <w:p w14:paraId="4ABFAA15" w14:textId="77777777" w:rsidR="00E741E5" w:rsidRPr="00E741E5" w:rsidRDefault="00E741E5" w:rsidP="00E741E5">
      <w:pPr>
        <w:spacing w:after="0" w:line="240" w:lineRule="auto"/>
        <w:rPr>
          <w:rFonts w:ascii="Times New Roman" w:hAnsi="Times New Roman"/>
          <w:snapToGrid w:val="0"/>
        </w:rPr>
      </w:pPr>
    </w:p>
    <w:p w14:paraId="7867AE47" w14:textId="23BB873D" w:rsidR="00E741E5" w:rsidRDefault="00E741E5" w:rsidP="00E741E5">
      <w:pPr>
        <w:spacing w:after="0" w:line="240" w:lineRule="auto"/>
        <w:rPr>
          <w:rFonts w:ascii="Times New Roman" w:hAnsi="Times New Roman"/>
          <w:snapToGrid w:val="0"/>
        </w:rPr>
      </w:pPr>
      <w:r w:rsidRPr="00E741E5">
        <w:rPr>
          <w:rFonts w:ascii="Times New Roman" w:hAnsi="Times New Roman"/>
          <w:snapToGrid w:val="0"/>
        </w:rPr>
        <w:t>Palyginimui, suaugusio žmogaus, kuris išgeria taurę vyno arba 500</w:t>
      </w:r>
      <w:r w:rsidR="005C7893">
        <w:rPr>
          <w:rFonts w:ascii="Times New Roman" w:hAnsi="Times New Roman"/>
          <w:snapToGrid w:val="0"/>
        </w:rPr>
        <w:t> </w:t>
      </w:r>
      <w:r w:rsidRPr="00E741E5">
        <w:rPr>
          <w:rFonts w:ascii="Times New Roman" w:hAnsi="Times New Roman"/>
          <w:snapToGrid w:val="0"/>
        </w:rPr>
        <w:t>ml alaus, tikėtina alkoholio koncentracija kraujyje gali būti apytikriai 50</w:t>
      </w:r>
      <w:r w:rsidR="005C7893">
        <w:rPr>
          <w:rFonts w:ascii="Times New Roman" w:hAnsi="Times New Roman"/>
          <w:snapToGrid w:val="0"/>
        </w:rPr>
        <w:t> </w:t>
      </w:r>
      <w:r w:rsidRPr="00E741E5">
        <w:rPr>
          <w:rFonts w:ascii="Times New Roman" w:hAnsi="Times New Roman"/>
          <w:snapToGrid w:val="0"/>
        </w:rPr>
        <w:t>mg/100</w:t>
      </w:r>
      <w:r w:rsidR="005C7893">
        <w:rPr>
          <w:rFonts w:ascii="Times New Roman" w:hAnsi="Times New Roman"/>
          <w:snapToGrid w:val="0"/>
        </w:rPr>
        <w:t> </w:t>
      </w:r>
      <w:r w:rsidRPr="00E741E5">
        <w:rPr>
          <w:rFonts w:ascii="Times New Roman" w:hAnsi="Times New Roman"/>
          <w:snapToGrid w:val="0"/>
        </w:rPr>
        <w:t>ml.</w:t>
      </w:r>
    </w:p>
    <w:p w14:paraId="0EA07A9E" w14:textId="77777777" w:rsidR="00E741E5" w:rsidRDefault="00E741E5" w:rsidP="0046749B">
      <w:pPr>
        <w:spacing w:after="0" w:line="240" w:lineRule="auto"/>
        <w:rPr>
          <w:rFonts w:ascii="Times New Roman" w:hAnsi="Times New Roman"/>
          <w:snapToGrid w:val="0"/>
        </w:rPr>
      </w:pPr>
    </w:p>
    <w:p w14:paraId="2164E165" w14:textId="77777777" w:rsidR="00C67175" w:rsidRPr="00C67175" w:rsidRDefault="00C67175" w:rsidP="00C67175">
      <w:pPr>
        <w:spacing w:after="0" w:line="240" w:lineRule="auto"/>
        <w:rPr>
          <w:rFonts w:ascii="Times New Roman" w:hAnsi="Times New Roman"/>
          <w:snapToGrid w:val="0"/>
        </w:rPr>
      </w:pPr>
      <w:r w:rsidRPr="00C67175">
        <w:rPr>
          <w:rFonts w:ascii="Times New Roman" w:hAnsi="Times New Roman"/>
          <w:snapToGrid w:val="0"/>
        </w:rPr>
        <w:t>Mažas alkoholio kiekis, esantis šio vaistinio preparato sudėtyje, nesukelia pastebimo poveikio.</w:t>
      </w:r>
    </w:p>
    <w:p w14:paraId="02E85A45" w14:textId="0617E362" w:rsidR="00090860" w:rsidRPr="00A1477B" w:rsidRDefault="00C67175" w:rsidP="00090860">
      <w:pPr>
        <w:spacing w:after="0" w:line="240" w:lineRule="auto"/>
        <w:rPr>
          <w:rFonts w:ascii="Times New Roman" w:hAnsi="Times New Roman"/>
          <w:snapToGrid w:val="0"/>
        </w:rPr>
      </w:pPr>
      <w:r w:rsidRPr="00C67175">
        <w:rPr>
          <w:rFonts w:ascii="Times New Roman" w:hAnsi="Times New Roman"/>
          <w:snapToGrid w:val="0"/>
        </w:rPr>
        <w:t>Tačiau ypatingos atsargumo priemonės turi būti taikomos didelės rizikos grupėms pacientams, sergantiems kepenų liga, epilepsija ir pacientams, kurie anksčiau sirgo alkoholizmu.</w:t>
      </w:r>
    </w:p>
    <w:p w14:paraId="50DB52CC" w14:textId="77777777" w:rsidR="00867ACF" w:rsidRPr="00A1477B" w:rsidRDefault="00867ACF" w:rsidP="00867ACF">
      <w:pPr>
        <w:spacing w:after="0" w:line="240" w:lineRule="auto"/>
        <w:rPr>
          <w:rFonts w:ascii="Times New Roman" w:hAnsi="Times New Roman"/>
          <w:snapToGrid w:val="0"/>
          <w:u w:val="single"/>
        </w:rPr>
      </w:pPr>
    </w:p>
    <w:p w14:paraId="76DF4074" w14:textId="3AA11625" w:rsidR="00867ACF" w:rsidRPr="00A1477B" w:rsidRDefault="00867ACF" w:rsidP="00867ACF">
      <w:pPr>
        <w:spacing w:after="0" w:line="240" w:lineRule="auto"/>
        <w:rPr>
          <w:rFonts w:ascii="Times New Roman" w:hAnsi="Times New Roman"/>
          <w:snapToGrid w:val="0"/>
        </w:rPr>
      </w:pPr>
      <w:r w:rsidRPr="00A1477B">
        <w:rPr>
          <w:rFonts w:ascii="Times New Roman" w:hAnsi="Times New Roman"/>
          <w:snapToGrid w:val="0"/>
        </w:rPr>
        <w:t>Kontracepcijos priemon</w:t>
      </w:r>
      <w:r w:rsidRPr="00A1477B">
        <w:rPr>
          <w:rFonts w:ascii="Times New Roman" w:hAnsi="Times New Roman" w:hint="eastAsia"/>
          <w:snapToGrid w:val="0"/>
        </w:rPr>
        <w:t>ė</w:t>
      </w:r>
      <w:r w:rsidRPr="00A1477B">
        <w:rPr>
          <w:rFonts w:ascii="Times New Roman" w:hAnsi="Times New Roman"/>
          <w:snapToGrid w:val="0"/>
        </w:rPr>
        <w:t>s</w:t>
      </w:r>
    </w:p>
    <w:p w14:paraId="34ED49FA" w14:textId="761C3B35" w:rsidR="00867ACF" w:rsidRPr="00322DC0" w:rsidRDefault="00867ACF" w:rsidP="00090860">
      <w:pPr>
        <w:spacing w:after="0" w:line="240" w:lineRule="auto"/>
        <w:rPr>
          <w:rFonts w:ascii="Times New Roman" w:hAnsi="Times New Roman"/>
          <w:snapToGrid w:val="0"/>
        </w:rPr>
      </w:pPr>
      <w:r w:rsidRPr="00A1477B">
        <w:rPr>
          <w:rFonts w:ascii="Times New Roman" w:hAnsi="Times New Roman"/>
          <w:snapToGrid w:val="0"/>
        </w:rPr>
        <w:t xml:space="preserve">Vyrai gydymo </w:t>
      </w:r>
      <w:proofErr w:type="spellStart"/>
      <w:r w:rsidRPr="00A1477B">
        <w:rPr>
          <w:rFonts w:ascii="Times New Roman" w:hAnsi="Times New Roman"/>
          <w:snapToGrid w:val="0"/>
        </w:rPr>
        <w:t>kabazitakseliu</w:t>
      </w:r>
      <w:proofErr w:type="spellEnd"/>
      <w:r w:rsidRPr="00A1477B">
        <w:rPr>
          <w:rFonts w:ascii="Times New Roman" w:hAnsi="Times New Roman"/>
          <w:snapToGrid w:val="0"/>
        </w:rPr>
        <w:t xml:space="preserve"> metu ir 4</w:t>
      </w:r>
      <w:r w:rsidR="00322DC0">
        <w:rPr>
          <w:rFonts w:ascii="Times New Roman" w:hAnsi="Times New Roman"/>
          <w:snapToGrid w:val="0"/>
        </w:rPr>
        <w:t> </w:t>
      </w:r>
      <w:r w:rsidRPr="00A1477B">
        <w:rPr>
          <w:rFonts w:ascii="Times New Roman" w:hAnsi="Times New Roman"/>
          <w:snapToGrid w:val="0"/>
        </w:rPr>
        <w:t>mėnesius po gydymo nutraukimo turi naudoti kontracepcijos</w:t>
      </w:r>
      <w:r w:rsidR="00322DC0">
        <w:rPr>
          <w:rFonts w:ascii="Times New Roman" w:hAnsi="Times New Roman"/>
          <w:snapToGrid w:val="0"/>
        </w:rPr>
        <w:t xml:space="preserve"> </w:t>
      </w:r>
      <w:r w:rsidRPr="00A1477B">
        <w:rPr>
          <w:rFonts w:ascii="Times New Roman" w:hAnsi="Times New Roman"/>
          <w:snapToGrid w:val="0"/>
        </w:rPr>
        <w:t>priemones (žr.</w:t>
      </w:r>
      <w:r w:rsidR="00322DC0">
        <w:rPr>
          <w:rFonts w:ascii="Times New Roman" w:hAnsi="Times New Roman"/>
          <w:snapToGrid w:val="0"/>
        </w:rPr>
        <w:t> </w:t>
      </w:r>
      <w:r w:rsidRPr="00A1477B">
        <w:rPr>
          <w:rFonts w:ascii="Times New Roman" w:hAnsi="Times New Roman"/>
          <w:snapToGrid w:val="0"/>
        </w:rPr>
        <w:t>4.6</w:t>
      </w:r>
      <w:r w:rsidR="00322DC0">
        <w:rPr>
          <w:rFonts w:ascii="Times New Roman" w:hAnsi="Times New Roman"/>
          <w:snapToGrid w:val="0"/>
        </w:rPr>
        <w:t> </w:t>
      </w:r>
      <w:r w:rsidRPr="00A1477B">
        <w:rPr>
          <w:rFonts w:ascii="Times New Roman" w:hAnsi="Times New Roman"/>
          <w:snapToGrid w:val="0"/>
        </w:rPr>
        <w:t>skyrių).</w:t>
      </w:r>
    </w:p>
    <w:p w14:paraId="756602A9" w14:textId="77777777" w:rsidR="005A0545" w:rsidRPr="00074768" w:rsidRDefault="005A0545" w:rsidP="005F1485">
      <w:pPr>
        <w:spacing w:after="0" w:line="240" w:lineRule="auto"/>
        <w:ind w:left="567" w:hanging="567"/>
        <w:rPr>
          <w:rFonts w:ascii="Times New Roman" w:hAnsi="Times New Roman"/>
          <w:b/>
          <w:bCs/>
          <w:snapToGrid w:val="0"/>
        </w:rPr>
      </w:pPr>
    </w:p>
    <w:p w14:paraId="6580F1DF" w14:textId="77777777" w:rsidR="005F1485" w:rsidRPr="00074768" w:rsidRDefault="005F1485" w:rsidP="005F1485">
      <w:pPr>
        <w:spacing w:after="0" w:line="240" w:lineRule="auto"/>
        <w:ind w:left="567" w:hanging="567"/>
        <w:rPr>
          <w:rFonts w:ascii="Times New Roman" w:hAnsi="Times New Roman"/>
          <w:b/>
          <w:bCs/>
          <w:snapToGrid w:val="0"/>
        </w:rPr>
      </w:pPr>
      <w:r w:rsidRPr="00074768">
        <w:rPr>
          <w:rFonts w:ascii="Times New Roman" w:hAnsi="Times New Roman"/>
          <w:b/>
          <w:bCs/>
          <w:snapToGrid w:val="0"/>
        </w:rPr>
        <w:t>4.5</w:t>
      </w:r>
      <w:r w:rsidR="001F0F9B" w:rsidRPr="00074768">
        <w:rPr>
          <w:rFonts w:ascii="Times New Roman" w:hAnsi="Times New Roman"/>
          <w:b/>
          <w:bCs/>
          <w:snapToGrid w:val="0"/>
        </w:rPr>
        <w:tab/>
      </w:r>
      <w:r w:rsidRPr="00074768">
        <w:rPr>
          <w:rFonts w:ascii="Times New Roman" w:hAnsi="Times New Roman"/>
          <w:b/>
          <w:bCs/>
          <w:snapToGrid w:val="0"/>
        </w:rPr>
        <w:t>Sąveika su kitais vaistiniais preparatais ir kitokia sąveika</w:t>
      </w:r>
    </w:p>
    <w:p w14:paraId="1ECBE82F" w14:textId="77777777" w:rsidR="001F0F9B" w:rsidRPr="00074768" w:rsidRDefault="001F0F9B" w:rsidP="001F0F9B">
      <w:pPr>
        <w:spacing w:after="0" w:line="240" w:lineRule="auto"/>
        <w:ind w:left="567" w:hanging="567"/>
        <w:rPr>
          <w:rFonts w:ascii="Times New Roman" w:hAnsi="Times New Roman"/>
          <w:i/>
          <w:iCs/>
          <w:snapToGrid w:val="0"/>
        </w:rPr>
      </w:pPr>
    </w:p>
    <w:p w14:paraId="0F970355" w14:textId="41A4527D" w:rsidR="006C1B39" w:rsidRPr="00F159B6" w:rsidRDefault="005F1485" w:rsidP="001F0F9B">
      <w:pPr>
        <w:spacing w:after="0" w:line="240" w:lineRule="auto"/>
        <w:rPr>
          <w:rFonts w:ascii="Times New Roman" w:hAnsi="Times New Roman"/>
          <w:snapToGrid w:val="0"/>
        </w:rPr>
      </w:pPr>
      <w:proofErr w:type="spellStart"/>
      <w:r w:rsidRPr="00074768">
        <w:rPr>
          <w:rFonts w:ascii="Times New Roman" w:hAnsi="Times New Roman"/>
          <w:i/>
          <w:iCs/>
          <w:snapToGrid w:val="0"/>
        </w:rPr>
        <w:t>In</w:t>
      </w:r>
      <w:proofErr w:type="spellEnd"/>
      <w:r w:rsidRPr="00074768">
        <w:rPr>
          <w:rFonts w:ascii="Times New Roman" w:hAnsi="Times New Roman"/>
          <w:i/>
          <w:iCs/>
          <w:snapToGrid w:val="0"/>
        </w:rPr>
        <w:t xml:space="preserve"> </w:t>
      </w:r>
      <w:proofErr w:type="spellStart"/>
      <w:r w:rsidRPr="00074768">
        <w:rPr>
          <w:rFonts w:ascii="Times New Roman" w:hAnsi="Times New Roman"/>
          <w:i/>
          <w:iCs/>
          <w:snapToGrid w:val="0"/>
        </w:rPr>
        <w:t>vitro</w:t>
      </w:r>
      <w:proofErr w:type="spellEnd"/>
      <w:r w:rsidRPr="00074768">
        <w:rPr>
          <w:rFonts w:ascii="Times New Roman" w:hAnsi="Times New Roman"/>
          <w:i/>
          <w:iCs/>
          <w:snapToGrid w:val="0"/>
        </w:rPr>
        <w:t xml:space="preserve"> </w:t>
      </w:r>
      <w:r w:rsidRPr="00074768">
        <w:rPr>
          <w:rFonts w:ascii="Times New Roman" w:hAnsi="Times New Roman"/>
          <w:snapToGrid w:val="0"/>
        </w:rPr>
        <w:t xml:space="preserve">tyrimų metu nustatyta, kad </w:t>
      </w:r>
      <w:proofErr w:type="spellStart"/>
      <w:r w:rsidRPr="00074768">
        <w:rPr>
          <w:rFonts w:ascii="Times New Roman" w:hAnsi="Times New Roman"/>
          <w:snapToGrid w:val="0"/>
        </w:rPr>
        <w:t>kabazitakselis</w:t>
      </w:r>
      <w:proofErr w:type="spellEnd"/>
      <w:r w:rsidRPr="00074768">
        <w:rPr>
          <w:rFonts w:ascii="Times New Roman" w:hAnsi="Times New Roman"/>
          <w:snapToGrid w:val="0"/>
        </w:rPr>
        <w:t xml:space="preserve"> daugiausia </w:t>
      </w:r>
      <w:proofErr w:type="spellStart"/>
      <w:r w:rsidRPr="00074768">
        <w:rPr>
          <w:rFonts w:ascii="Times New Roman" w:hAnsi="Times New Roman"/>
          <w:snapToGrid w:val="0"/>
        </w:rPr>
        <w:t>metabolizuojamas</w:t>
      </w:r>
      <w:proofErr w:type="spellEnd"/>
      <w:r w:rsidRPr="00074768">
        <w:rPr>
          <w:rFonts w:ascii="Times New Roman" w:hAnsi="Times New Roman"/>
          <w:snapToGrid w:val="0"/>
        </w:rPr>
        <w:t xml:space="preserve"> dalyvaujant CYP3A</w:t>
      </w:r>
      <w:r w:rsidR="001F0F9B" w:rsidRPr="00074768">
        <w:rPr>
          <w:rFonts w:ascii="Times New Roman" w:hAnsi="Times New Roman"/>
          <w:snapToGrid w:val="0"/>
        </w:rPr>
        <w:t xml:space="preserve"> </w:t>
      </w:r>
      <w:r w:rsidRPr="00074768">
        <w:rPr>
          <w:rFonts w:ascii="Times New Roman" w:hAnsi="Times New Roman"/>
          <w:snapToGrid w:val="0"/>
        </w:rPr>
        <w:t>(80-90</w:t>
      </w:r>
      <w:r w:rsidR="00BF390D">
        <w:rPr>
          <w:rFonts w:ascii="Times New Roman" w:hAnsi="Times New Roman"/>
          <w:snapToGrid w:val="0"/>
        </w:rPr>
        <w:t> </w:t>
      </w:r>
      <w:r w:rsidRPr="00DD4554">
        <w:rPr>
          <w:rFonts w:ascii="Times New Roman" w:hAnsi="Times New Roman"/>
          <w:snapToGrid w:val="0"/>
        </w:rPr>
        <w:t>%) (žr.</w:t>
      </w:r>
      <w:r w:rsidR="00322DC0">
        <w:rPr>
          <w:rFonts w:ascii="Times New Roman" w:hAnsi="Times New Roman"/>
          <w:snapToGrid w:val="0"/>
        </w:rPr>
        <w:t> </w:t>
      </w:r>
      <w:r w:rsidRPr="00DD4554">
        <w:rPr>
          <w:rFonts w:ascii="Times New Roman" w:hAnsi="Times New Roman"/>
          <w:snapToGrid w:val="0"/>
        </w:rPr>
        <w:t>5.2</w:t>
      </w:r>
      <w:r w:rsidR="00322DC0">
        <w:rPr>
          <w:rFonts w:ascii="Times New Roman" w:hAnsi="Times New Roman"/>
          <w:snapToGrid w:val="0"/>
        </w:rPr>
        <w:t> skyrių</w:t>
      </w:r>
      <w:r w:rsidRPr="00DD4554">
        <w:rPr>
          <w:rFonts w:ascii="Times New Roman" w:hAnsi="Times New Roman"/>
          <w:snapToGrid w:val="0"/>
        </w:rPr>
        <w:t>).</w:t>
      </w:r>
    </w:p>
    <w:p w14:paraId="2F678675" w14:textId="77777777" w:rsidR="006C1B39" w:rsidRPr="00074768" w:rsidRDefault="006C1B39" w:rsidP="006C1B39">
      <w:pPr>
        <w:spacing w:after="0" w:line="240" w:lineRule="auto"/>
        <w:ind w:left="567" w:hanging="567"/>
        <w:rPr>
          <w:rFonts w:ascii="Times New Roman" w:hAnsi="Times New Roman"/>
          <w:snapToGrid w:val="0"/>
        </w:rPr>
      </w:pPr>
    </w:p>
    <w:p w14:paraId="319E0149" w14:textId="77777777" w:rsidR="001F0F9B" w:rsidRPr="0085406C" w:rsidRDefault="001F0F9B" w:rsidP="001F0F9B">
      <w:pPr>
        <w:tabs>
          <w:tab w:val="left" w:pos="567"/>
        </w:tabs>
        <w:spacing w:after="0" w:line="260" w:lineRule="exact"/>
        <w:rPr>
          <w:rFonts w:ascii="Times New Roman" w:eastAsia="Times New Roman" w:hAnsi="Times New Roman"/>
          <w:snapToGrid w:val="0"/>
          <w:u w:val="single"/>
        </w:rPr>
      </w:pPr>
      <w:r w:rsidRPr="0085406C">
        <w:rPr>
          <w:rFonts w:ascii="Times New Roman" w:eastAsia="Times New Roman" w:hAnsi="Times New Roman"/>
          <w:snapToGrid w:val="0"/>
          <w:u w:val="single"/>
        </w:rPr>
        <w:t>CYP3A inhibitoriai</w:t>
      </w:r>
    </w:p>
    <w:p w14:paraId="15A40BA3" w14:textId="57FD501D" w:rsidR="001F0F9B" w:rsidRPr="00037DA8" w:rsidRDefault="001F0F9B" w:rsidP="001F0F9B">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Pakartotinai skiriant stipraus CYP3A inhibitoriaus </w:t>
      </w:r>
      <w:proofErr w:type="spellStart"/>
      <w:r w:rsidRPr="004200DB">
        <w:rPr>
          <w:rFonts w:ascii="Times New Roman" w:eastAsia="Times New Roman" w:hAnsi="Times New Roman"/>
          <w:snapToGrid w:val="0"/>
        </w:rPr>
        <w:t>ketokonazolo</w:t>
      </w:r>
      <w:proofErr w:type="spellEnd"/>
      <w:r w:rsidRPr="004200DB">
        <w:rPr>
          <w:rFonts w:ascii="Times New Roman" w:eastAsia="Times New Roman" w:hAnsi="Times New Roman"/>
          <w:snapToGrid w:val="0"/>
        </w:rPr>
        <w:t xml:space="preserve"> (400</w:t>
      </w:r>
      <w:r w:rsidR="00BF390D">
        <w:rPr>
          <w:rFonts w:ascii="Times New Roman" w:eastAsia="Times New Roman" w:hAnsi="Times New Roman"/>
          <w:snapToGrid w:val="0"/>
        </w:rPr>
        <w:t> </w:t>
      </w:r>
      <w:r w:rsidRPr="00037DA8">
        <w:rPr>
          <w:rFonts w:ascii="Times New Roman" w:eastAsia="Times New Roman" w:hAnsi="Times New Roman"/>
          <w:snapToGrid w:val="0"/>
        </w:rPr>
        <w:t xml:space="preserve">mg kartą per parą)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klirenso sumažėjimas 20</w:t>
      </w:r>
      <w:r w:rsidR="00BF390D">
        <w:rPr>
          <w:rFonts w:ascii="Times New Roman" w:eastAsia="Times New Roman" w:hAnsi="Times New Roman"/>
          <w:snapToGrid w:val="0"/>
        </w:rPr>
        <w:t> </w:t>
      </w:r>
      <w:r w:rsidRPr="00037DA8">
        <w:rPr>
          <w:rFonts w:ascii="Times New Roman" w:eastAsia="Times New Roman" w:hAnsi="Times New Roman"/>
          <w:snapToGrid w:val="0"/>
        </w:rPr>
        <w:t>% su</w:t>
      </w:r>
      <w:r w:rsidR="004B7C5B" w:rsidRPr="00037DA8">
        <w:rPr>
          <w:rFonts w:ascii="Times New Roman" w:eastAsia="Times New Roman" w:hAnsi="Times New Roman"/>
          <w:snapToGrid w:val="0"/>
        </w:rPr>
        <w:t>k</w:t>
      </w:r>
      <w:r w:rsidRPr="00037DA8">
        <w:rPr>
          <w:rFonts w:ascii="Times New Roman" w:eastAsia="Times New Roman" w:hAnsi="Times New Roman"/>
          <w:snapToGrid w:val="0"/>
        </w:rPr>
        <w:t>ėlė atitinkantį AUC padidėjimą 25</w:t>
      </w:r>
      <w:r w:rsidR="00BF390D">
        <w:rPr>
          <w:rFonts w:ascii="Times New Roman" w:eastAsia="Times New Roman" w:hAnsi="Times New Roman"/>
          <w:snapToGrid w:val="0"/>
        </w:rPr>
        <w:t> </w:t>
      </w:r>
      <w:r w:rsidRPr="00037DA8">
        <w:rPr>
          <w:rFonts w:ascii="Times New Roman" w:eastAsia="Times New Roman" w:hAnsi="Times New Roman"/>
          <w:snapToGrid w:val="0"/>
        </w:rPr>
        <w:t xml:space="preserve">%. Dėl šios priežasties stiprių CYP3A inhibitorių (pvz., </w:t>
      </w:r>
      <w:proofErr w:type="spellStart"/>
      <w:r w:rsidRPr="00037DA8">
        <w:rPr>
          <w:rFonts w:ascii="Times New Roman" w:eastAsia="Times New Roman" w:hAnsi="Times New Roman"/>
          <w:snapToGrid w:val="0"/>
        </w:rPr>
        <w:t>ketokonazolo</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itrakonazolo</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klaritromicino</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indinaviro</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nefazodono</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nelfinaviro</w:t>
      </w:r>
      <w:proofErr w:type="spellEnd"/>
      <w:r w:rsidRPr="00037DA8">
        <w:rPr>
          <w:rFonts w:ascii="Times New Roman" w:eastAsia="Times New Roman" w:hAnsi="Times New Roman"/>
          <w:snapToGrid w:val="0"/>
        </w:rPr>
        <w:t xml:space="preserve">, ritonaviro, </w:t>
      </w:r>
      <w:proofErr w:type="spellStart"/>
      <w:r w:rsidRPr="00037DA8">
        <w:rPr>
          <w:rFonts w:ascii="Times New Roman" w:eastAsia="Times New Roman" w:hAnsi="Times New Roman"/>
          <w:snapToGrid w:val="0"/>
        </w:rPr>
        <w:t>sakvinaviro</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telitromicino</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vorikonazolo</w:t>
      </w:r>
      <w:proofErr w:type="spellEnd"/>
      <w:r w:rsidRPr="00037DA8">
        <w:rPr>
          <w:rFonts w:ascii="Times New Roman" w:eastAsia="Times New Roman" w:hAnsi="Times New Roman"/>
          <w:snapToGrid w:val="0"/>
        </w:rPr>
        <w:t xml:space="preserve">) kartu skirti turi būti vengiama, kadangi gali didėti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koncentracija plazmoje (žr. 4.2 ir 4.4</w:t>
      </w:r>
      <w:r w:rsidR="00C65EF4">
        <w:rPr>
          <w:rFonts w:ascii="Times New Roman" w:eastAsia="Times New Roman" w:hAnsi="Times New Roman"/>
          <w:snapToGrid w:val="0"/>
        </w:rPr>
        <w:t> </w:t>
      </w:r>
      <w:r w:rsidRPr="00037DA8">
        <w:rPr>
          <w:rFonts w:ascii="Times New Roman" w:eastAsia="Times New Roman" w:hAnsi="Times New Roman"/>
          <w:snapToGrid w:val="0"/>
        </w:rPr>
        <w:t>skyrius).</w:t>
      </w:r>
    </w:p>
    <w:p w14:paraId="515F35F2" w14:textId="77777777" w:rsidR="001F0F9B" w:rsidRPr="00037DA8" w:rsidRDefault="001F0F9B" w:rsidP="001F0F9B">
      <w:pPr>
        <w:tabs>
          <w:tab w:val="left" w:pos="567"/>
        </w:tabs>
        <w:spacing w:after="0" w:line="260" w:lineRule="exact"/>
        <w:rPr>
          <w:rFonts w:ascii="Times New Roman" w:eastAsia="Times New Roman" w:hAnsi="Times New Roman"/>
          <w:snapToGrid w:val="0"/>
        </w:rPr>
      </w:pPr>
    </w:p>
    <w:p w14:paraId="4CA55490" w14:textId="77777777" w:rsidR="001F0F9B" w:rsidRPr="00037DA8" w:rsidRDefault="001F0F9B" w:rsidP="001F0F9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Kartu skiriamas vidutinio stiprumo CYP3A inhibitorius </w:t>
      </w:r>
      <w:proofErr w:type="spellStart"/>
      <w:r w:rsidRPr="00037DA8">
        <w:rPr>
          <w:rFonts w:ascii="Times New Roman" w:eastAsia="Times New Roman" w:hAnsi="Times New Roman"/>
          <w:snapToGrid w:val="0"/>
        </w:rPr>
        <w:t>aprepitantas</w:t>
      </w:r>
      <w:proofErr w:type="spellEnd"/>
      <w:r w:rsidRPr="00037DA8">
        <w:rPr>
          <w:rFonts w:ascii="Times New Roman" w:eastAsia="Times New Roman" w:hAnsi="Times New Roman"/>
          <w:snapToGrid w:val="0"/>
        </w:rPr>
        <w:t xml:space="preserve"> nedarė jokio poveikio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klirensui.</w:t>
      </w:r>
    </w:p>
    <w:p w14:paraId="7DA9F55F" w14:textId="77777777" w:rsidR="00674F8E" w:rsidRPr="00037DA8" w:rsidRDefault="00674F8E" w:rsidP="001F0F9B">
      <w:pPr>
        <w:tabs>
          <w:tab w:val="left" w:pos="567"/>
        </w:tabs>
        <w:spacing w:after="0" w:line="260" w:lineRule="exact"/>
        <w:rPr>
          <w:rFonts w:ascii="Times New Roman" w:eastAsia="Times New Roman" w:hAnsi="Times New Roman"/>
          <w:snapToGrid w:val="0"/>
        </w:rPr>
      </w:pPr>
    </w:p>
    <w:p w14:paraId="7C372E47" w14:textId="77777777" w:rsidR="001F0F9B" w:rsidRPr="00037DA8" w:rsidRDefault="001F0F9B" w:rsidP="001F0F9B">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 xml:space="preserve">CYP3A </w:t>
      </w:r>
      <w:proofErr w:type="spellStart"/>
      <w:r w:rsidRPr="00037DA8">
        <w:rPr>
          <w:rFonts w:ascii="Times New Roman" w:eastAsia="Times New Roman" w:hAnsi="Times New Roman"/>
          <w:snapToGrid w:val="0"/>
          <w:u w:val="single"/>
        </w:rPr>
        <w:t>induktoriai</w:t>
      </w:r>
      <w:proofErr w:type="spellEnd"/>
    </w:p>
    <w:p w14:paraId="6BF741DE" w14:textId="48470836" w:rsidR="001F0F9B" w:rsidRPr="00F159B6" w:rsidRDefault="001F0F9B" w:rsidP="001F0F9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Pakartotinai skiriant stipraus CYP3A </w:t>
      </w:r>
      <w:proofErr w:type="spellStart"/>
      <w:r w:rsidRPr="00037DA8">
        <w:rPr>
          <w:rFonts w:ascii="Times New Roman" w:eastAsia="Times New Roman" w:hAnsi="Times New Roman"/>
          <w:snapToGrid w:val="0"/>
        </w:rPr>
        <w:t>induktoriaus</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rifampicino</w:t>
      </w:r>
      <w:proofErr w:type="spellEnd"/>
      <w:r w:rsidRPr="00037DA8">
        <w:rPr>
          <w:rFonts w:ascii="Times New Roman" w:eastAsia="Times New Roman" w:hAnsi="Times New Roman"/>
          <w:snapToGrid w:val="0"/>
        </w:rPr>
        <w:t xml:space="preserve"> (600</w:t>
      </w:r>
      <w:r w:rsidR="00674F8E" w:rsidRPr="00037DA8">
        <w:rPr>
          <w:rFonts w:ascii="Times New Roman" w:eastAsia="Times New Roman" w:hAnsi="Times New Roman"/>
          <w:snapToGrid w:val="0"/>
        </w:rPr>
        <w:t> </w:t>
      </w:r>
      <w:r w:rsidRPr="00037DA8">
        <w:rPr>
          <w:rFonts w:ascii="Times New Roman" w:eastAsia="Times New Roman" w:hAnsi="Times New Roman"/>
          <w:snapToGrid w:val="0"/>
        </w:rPr>
        <w:t xml:space="preserve">mg kartą per parą) </w:t>
      </w:r>
      <w:proofErr w:type="spellStart"/>
      <w:r w:rsidRPr="00037DA8">
        <w:rPr>
          <w:rFonts w:ascii="Times New Roman" w:eastAsia="Times New Roman" w:hAnsi="Times New Roman"/>
          <w:snapToGrid w:val="0"/>
        </w:rPr>
        <w:t>kabazitakselio</w:t>
      </w:r>
      <w:proofErr w:type="spellEnd"/>
      <w:r w:rsidR="00674F8E" w:rsidRPr="00037DA8">
        <w:rPr>
          <w:rFonts w:ascii="Times New Roman" w:eastAsia="Times New Roman" w:hAnsi="Times New Roman"/>
          <w:snapToGrid w:val="0"/>
        </w:rPr>
        <w:t xml:space="preserve"> </w:t>
      </w:r>
      <w:r w:rsidRPr="00037DA8">
        <w:rPr>
          <w:rFonts w:ascii="Times New Roman" w:eastAsia="Times New Roman" w:hAnsi="Times New Roman"/>
          <w:snapToGrid w:val="0"/>
        </w:rPr>
        <w:t>klirenso padidėjimas 21</w:t>
      </w:r>
      <w:r w:rsidR="00C65EF4">
        <w:rPr>
          <w:rFonts w:ascii="Times New Roman" w:eastAsia="Times New Roman" w:hAnsi="Times New Roman"/>
          <w:snapToGrid w:val="0"/>
        </w:rPr>
        <w:t> </w:t>
      </w:r>
      <w:r w:rsidRPr="00037DA8">
        <w:rPr>
          <w:rFonts w:ascii="Times New Roman" w:eastAsia="Times New Roman" w:hAnsi="Times New Roman"/>
          <w:snapToGrid w:val="0"/>
        </w:rPr>
        <w:t xml:space="preserve">% </w:t>
      </w:r>
      <w:r w:rsidR="00674F8E" w:rsidRPr="00037DA8">
        <w:rPr>
          <w:rFonts w:ascii="Times New Roman" w:eastAsia="Times New Roman" w:hAnsi="Times New Roman"/>
          <w:snapToGrid w:val="0"/>
        </w:rPr>
        <w:t xml:space="preserve">sukėlė </w:t>
      </w:r>
      <w:r w:rsidRPr="00037DA8">
        <w:rPr>
          <w:rFonts w:ascii="Times New Roman" w:eastAsia="Times New Roman" w:hAnsi="Times New Roman"/>
          <w:snapToGrid w:val="0"/>
        </w:rPr>
        <w:t>atitinka</w:t>
      </w:r>
      <w:r w:rsidR="00674F8E" w:rsidRPr="00037DA8">
        <w:rPr>
          <w:rFonts w:ascii="Times New Roman" w:eastAsia="Times New Roman" w:hAnsi="Times New Roman"/>
          <w:snapToGrid w:val="0"/>
        </w:rPr>
        <w:t>ntį</w:t>
      </w:r>
      <w:r w:rsidRPr="00037DA8">
        <w:rPr>
          <w:rFonts w:ascii="Times New Roman" w:eastAsia="Times New Roman" w:hAnsi="Times New Roman"/>
          <w:snapToGrid w:val="0"/>
        </w:rPr>
        <w:t xml:space="preserve"> AUC </w:t>
      </w:r>
      <w:r w:rsidR="00674F8E" w:rsidRPr="00037DA8">
        <w:rPr>
          <w:rFonts w:ascii="Times New Roman" w:eastAsia="Times New Roman" w:hAnsi="Times New Roman"/>
          <w:snapToGrid w:val="0"/>
        </w:rPr>
        <w:t xml:space="preserve">padidėjimą </w:t>
      </w:r>
      <w:r w:rsidRPr="00037DA8">
        <w:rPr>
          <w:rFonts w:ascii="Times New Roman" w:eastAsia="Times New Roman" w:hAnsi="Times New Roman"/>
          <w:snapToGrid w:val="0"/>
        </w:rPr>
        <w:t>17</w:t>
      </w:r>
      <w:r w:rsidR="00010370">
        <w:rPr>
          <w:rFonts w:ascii="Times New Roman" w:eastAsia="Times New Roman" w:hAnsi="Times New Roman"/>
          <w:snapToGrid w:val="0"/>
        </w:rPr>
        <w:t> </w:t>
      </w:r>
      <w:r w:rsidRPr="00037DA8">
        <w:rPr>
          <w:rFonts w:ascii="Times New Roman" w:eastAsia="Times New Roman" w:hAnsi="Times New Roman"/>
          <w:snapToGrid w:val="0"/>
        </w:rPr>
        <w:t>%.</w:t>
      </w:r>
      <w:r w:rsidR="00674F8E"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Dėl šios priežasties stiprių CYP3A </w:t>
      </w:r>
      <w:proofErr w:type="spellStart"/>
      <w:r w:rsidRPr="00037DA8">
        <w:rPr>
          <w:rFonts w:ascii="Times New Roman" w:eastAsia="Times New Roman" w:hAnsi="Times New Roman"/>
          <w:snapToGrid w:val="0"/>
        </w:rPr>
        <w:t>induktorių</w:t>
      </w:r>
      <w:proofErr w:type="spellEnd"/>
      <w:r w:rsidRPr="00037DA8">
        <w:rPr>
          <w:rFonts w:ascii="Times New Roman" w:eastAsia="Times New Roman" w:hAnsi="Times New Roman"/>
          <w:snapToGrid w:val="0"/>
        </w:rPr>
        <w:t xml:space="preserve"> (pvz., </w:t>
      </w:r>
      <w:proofErr w:type="spellStart"/>
      <w:r w:rsidRPr="00037DA8">
        <w:rPr>
          <w:rFonts w:ascii="Times New Roman" w:eastAsia="Times New Roman" w:hAnsi="Times New Roman"/>
          <w:snapToGrid w:val="0"/>
        </w:rPr>
        <w:t>fenitoino</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karbamazepino</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rifampino</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rifabutino</w:t>
      </w:r>
      <w:proofErr w:type="spellEnd"/>
      <w:r w:rsidRPr="00037DA8">
        <w:rPr>
          <w:rFonts w:ascii="Times New Roman" w:eastAsia="Times New Roman" w:hAnsi="Times New Roman"/>
          <w:snapToGrid w:val="0"/>
        </w:rPr>
        <w:t>,</w:t>
      </w:r>
      <w:r w:rsidR="00674F8E"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rifapentino</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fenobarbitalio</w:t>
      </w:r>
      <w:proofErr w:type="spellEnd"/>
      <w:r w:rsidRPr="00037DA8">
        <w:rPr>
          <w:rFonts w:ascii="Times New Roman" w:eastAsia="Times New Roman" w:hAnsi="Times New Roman"/>
          <w:snapToGrid w:val="0"/>
        </w:rPr>
        <w:t xml:space="preserve">) kartu skirti turi būti vengiama, kadangi gali mažėti </w:t>
      </w:r>
      <w:proofErr w:type="spellStart"/>
      <w:r w:rsidRPr="00037DA8">
        <w:rPr>
          <w:rFonts w:ascii="Times New Roman" w:eastAsia="Times New Roman" w:hAnsi="Times New Roman"/>
          <w:snapToGrid w:val="0"/>
        </w:rPr>
        <w:t>kabazitakselio</w:t>
      </w:r>
      <w:proofErr w:type="spellEnd"/>
      <w:r w:rsidR="00674F8E" w:rsidRPr="00037DA8">
        <w:rPr>
          <w:rFonts w:ascii="Times New Roman" w:eastAsia="Times New Roman" w:hAnsi="Times New Roman"/>
          <w:snapToGrid w:val="0"/>
        </w:rPr>
        <w:t xml:space="preserve"> </w:t>
      </w:r>
      <w:r w:rsidRPr="00037DA8">
        <w:rPr>
          <w:rFonts w:ascii="Times New Roman" w:eastAsia="Times New Roman" w:hAnsi="Times New Roman"/>
          <w:snapToGrid w:val="0"/>
        </w:rPr>
        <w:t>koncentracija plazmoje (žr. 4.2 ir 4.4</w:t>
      </w:r>
      <w:r w:rsidR="00C65EF4">
        <w:rPr>
          <w:rFonts w:ascii="Times New Roman" w:eastAsia="Times New Roman" w:hAnsi="Times New Roman"/>
          <w:snapToGrid w:val="0"/>
        </w:rPr>
        <w:t> </w:t>
      </w:r>
      <w:r w:rsidRPr="00037DA8">
        <w:rPr>
          <w:rFonts w:ascii="Times New Roman" w:eastAsia="Times New Roman" w:hAnsi="Times New Roman"/>
          <w:snapToGrid w:val="0"/>
        </w:rPr>
        <w:t xml:space="preserve">skyrius). Be to, pacientai turi </w:t>
      </w:r>
      <w:r w:rsidR="00674F8E" w:rsidRPr="00037DA8">
        <w:rPr>
          <w:rFonts w:ascii="Times New Roman" w:eastAsia="Times New Roman" w:hAnsi="Times New Roman"/>
          <w:snapToGrid w:val="0"/>
        </w:rPr>
        <w:t xml:space="preserve">susilaikyti nuo paprastosios jonažolės </w:t>
      </w:r>
      <w:r w:rsidR="005A6D57">
        <w:rPr>
          <w:rFonts w:ascii="Times New Roman" w:eastAsia="Times New Roman" w:hAnsi="Times New Roman"/>
          <w:snapToGrid w:val="0"/>
        </w:rPr>
        <w:t xml:space="preserve">vaistinių </w:t>
      </w:r>
      <w:r w:rsidR="00F159B6">
        <w:rPr>
          <w:rFonts w:ascii="Times New Roman" w:eastAsia="Times New Roman" w:hAnsi="Times New Roman"/>
          <w:snapToGrid w:val="0"/>
        </w:rPr>
        <w:t xml:space="preserve">preparatų </w:t>
      </w:r>
      <w:r w:rsidR="00674F8E" w:rsidRPr="00F159B6">
        <w:rPr>
          <w:rFonts w:ascii="Times New Roman" w:eastAsia="Times New Roman" w:hAnsi="Times New Roman"/>
          <w:snapToGrid w:val="0"/>
        </w:rPr>
        <w:t>vartojimo</w:t>
      </w:r>
      <w:r w:rsidRPr="00F159B6">
        <w:rPr>
          <w:rFonts w:ascii="Times New Roman" w:eastAsia="Times New Roman" w:hAnsi="Times New Roman"/>
          <w:snapToGrid w:val="0"/>
        </w:rPr>
        <w:t>.</w:t>
      </w:r>
    </w:p>
    <w:p w14:paraId="07A6C708" w14:textId="77777777" w:rsidR="00674F8E" w:rsidRPr="0085406C" w:rsidRDefault="00674F8E" w:rsidP="001F0F9B">
      <w:pPr>
        <w:tabs>
          <w:tab w:val="left" w:pos="567"/>
        </w:tabs>
        <w:spacing w:after="0" w:line="260" w:lineRule="exact"/>
        <w:rPr>
          <w:rFonts w:ascii="Times New Roman" w:eastAsia="Times New Roman" w:hAnsi="Times New Roman"/>
          <w:snapToGrid w:val="0"/>
        </w:rPr>
      </w:pPr>
    </w:p>
    <w:p w14:paraId="242E283E" w14:textId="77777777" w:rsidR="001F0F9B" w:rsidRPr="004200DB" w:rsidRDefault="001F0F9B" w:rsidP="001F0F9B">
      <w:pPr>
        <w:tabs>
          <w:tab w:val="left" w:pos="567"/>
        </w:tabs>
        <w:spacing w:after="0" w:line="260" w:lineRule="exact"/>
        <w:rPr>
          <w:rFonts w:ascii="Times New Roman" w:eastAsia="Times New Roman" w:hAnsi="Times New Roman"/>
          <w:snapToGrid w:val="0"/>
          <w:u w:val="single"/>
        </w:rPr>
      </w:pPr>
      <w:r w:rsidRPr="004200DB">
        <w:rPr>
          <w:rFonts w:ascii="Times New Roman" w:eastAsia="Times New Roman" w:hAnsi="Times New Roman"/>
          <w:snapToGrid w:val="0"/>
          <w:u w:val="single"/>
        </w:rPr>
        <w:t>OAPP1B1</w:t>
      </w:r>
    </w:p>
    <w:p w14:paraId="19CA9E0E" w14:textId="37479DF0" w:rsidR="001F0F9B" w:rsidRPr="00037DA8" w:rsidRDefault="001F0F9B" w:rsidP="001F0F9B">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Nustatyta, kad </w:t>
      </w:r>
      <w:proofErr w:type="spellStart"/>
      <w:r w:rsidRPr="00037DA8">
        <w:rPr>
          <w:rFonts w:ascii="Times New Roman" w:eastAsia="Times New Roman" w:hAnsi="Times New Roman"/>
          <w:i/>
          <w:iCs/>
          <w:snapToGrid w:val="0"/>
        </w:rPr>
        <w:t>in</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vitro</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xml:space="preserve"> slopina organini</w:t>
      </w:r>
      <w:r w:rsidR="00674F8E" w:rsidRPr="00037DA8">
        <w:rPr>
          <w:rFonts w:ascii="Times New Roman" w:eastAsia="Times New Roman" w:hAnsi="Times New Roman"/>
          <w:snapToGrid w:val="0"/>
        </w:rPr>
        <w:t>o</w:t>
      </w:r>
      <w:r w:rsidRPr="00037DA8">
        <w:rPr>
          <w:rFonts w:ascii="Times New Roman" w:eastAsia="Times New Roman" w:hAnsi="Times New Roman"/>
          <w:snapToGrid w:val="0"/>
        </w:rPr>
        <w:t xml:space="preserve"> anijon</w:t>
      </w:r>
      <w:r w:rsidR="00674F8E" w:rsidRPr="00037DA8">
        <w:rPr>
          <w:rFonts w:ascii="Times New Roman" w:eastAsia="Times New Roman" w:hAnsi="Times New Roman"/>
          <w:snapToGrid w:val="0"/>
        </w:rPr>
        <w:t>o</w:t>
      </w:r>
      <w:r w:rsidRPr="00037DA8">
        <w:rPr>
          <w:rFonts w:ascii="Times New Roman" w:eastAsia="Times New Roman" w:hAnsi="Times New Roman"/>
          <w:snapToGrid w:val="0"/>
        </w:rPr>
        <w:t xml:space="preserve"> pernašos </w:t>
      </w:r>
      <w:proofErr w:type="spellStart"/>
      <w:r w:rsidRPr="00037DA8">
        <w:rPr>
          <w:rFonts w:ascii="Times New Roman" w:eastAsia="Times New Roman" w:hAnsi="Times New Roman"/>
          <w:snapToGrid w:val="0"/>
        </w:rPr>
        <w:t>polipeptidų</w:t>
      </w:r>
      <w:proofErr w:type="spellEnd"/>
      <w:r w:rsidRPr="00037DA8">
        <w:rPr>
          <w:rFonts w:ascii="Times New Roman" w:eastAsia="Times New Roman" w:hAnsi="Times New Roman"/>
          <w:snapToGrid w:val="0"/>
        </w:rPr>
        <w:t xml:space="preserve"> (angl. </w:t>
      </w:r>
      <w:proofErr w:type="spellStart"/>
      <w:r w:rsidRPr="00037DA8">
        <w:rPr>
          <w:rFonts w:ascii="Times New Roman" w:eastAsia="Times New Roman" w:hAnsi="Times New Roman"/>
          <w:i/>
          <w:snapToGrid w:val="0"/>
        </w:rPr>
        <w:t>Organic</w:t>
      </w:r>
      <w:proofErr w:type="spellEnd"/>
      <w:r w:rsidR="00DE7D4B">
        <w:rPr>
          <w:rFonts w:ascii="Times New Roman" w:eastAsia="Times New Roman" w:hAnsi="Times New Roman"/>
          <w:i/>
          <w:snapToGrid w:val="0"/>
        </w:rPr>
        <w:t xml:space="preserve"> </w:t>
      </w:r>
      <w:proofErr w:type="spellStart"/>
      <w:r w:rsidRPr="00037DA8">
        <w:rPr>
          <w:rFonts w:ascii="Times New Roman" w:eastAsia="Times New Roman" w:hAnsi="Times New Roman"/>
          <w:i/>
          <w:snapToGrid w:val="0"/>
        </w:rPr>
        <w:t>Anion</w:t>
      </w:r>
      <w:proofErr w:type="spellEnd"/>
      <w:r w:rsidRPr="00037DA8">
        <w:rPr>
          <w:rFonts w:ascii="Times New Roman" w:eastAsia="Times New Roman" w:hAnsi="Times New Roman"/>
          <w:i/>
          <w:snapToGrid w:val="0"/>
        </w:rPr>
        <w:t xml:space="preserve"> </w:t>
      </w:r>
      <w:proofErr w:type="spellStart"/>
      <w:r w:rsidRPr="00037DA8">
        <w:rPr>
          <w:rFonts w:ascii="Times New Roman" w:eastAsia="Times New Roman" w:hAnsi="Times New Roman"/>
          <w:i/>
          <w:snapToGrid w:val="0"/>
        </w:rPr>
        <w:t>Transport</w:t>
      </w:r>
      <w:proofErr w:type="spellEnd"/>
      <w:r w:rsidRPr="00037DA8">
        <w:rPr>
          <w:rFonts w:ascii="Times New Roman" w:eastAsia="Times New Roman" w:hAnsi="Times New Roman"/>
          <w:i/>
          <w:snapToGrid w:val="0"/>
        </w:rPr>
        <w:t xml:space="preserve"> </w:t>
      </w:r>
      <w:proofErr w:type="spellStart"/>
      <w:r w:rsidRPr="00037DA8">
        <w:rPr>
          <w:rFonts w:ascii="Times New Roman" w:eastAsia="Times New Roman" w:hAnsi="Times New Roman"/>
          <w:i/>
          <w:snapToGrid w:val="0"/>
        </w:rPr>
        <w:t>Polypeptides</w:t>
      </w:r>
      <w:proofErr w:type="spellEnd"/>
      <w:r w:rsidRPr="00037DA8">
        <w:rPr>
          <w:rFonts w:ascii="Times New Roman" w:eastAsia="Times New Roman" w:hAnsi="Times New Roman"/>
          <w:snapToGrid w:val="0"/>
        </w:rPr>
        <w:t>) OAPP1B1 pernašos baltymus. Galima sąveika su OAPP1B1</w:t>
      </w:r>
      <w:r w:rsidR="00167EAB"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substratais (pvz., </w:t>
      </w:r>
      <w:proofErr w:type="spellStart"/>
      <w:r w:rsidRPr="00037DA8">
        <w:rPr>
          <w:rFonts w:ascii="Times New Roman" w:eastAsia="Times New Roman" w:hAnsi="Times New Roman"/>
          <w:snapToGrid w:val="0"/>
        </w:rPr>
        <w:t>statinais</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valsartanu</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repaglinidu</w:t>
      </w:r>
      <w:proofErr w:type="spellEnd"/>
      <w:r w:rsidRPr="00037DA8">
        <w:rPr>
          <w:rFonts w:ascii="Times New Roman" w:eastAsia="Times New Roman" w:hAnsi="Times New Roman"/>
          <w:snapToGrid w:val="0"/>
        </w:rPr>
        <w:t>), ypač infuzijos metu (1</w:t>
      </w:r>
      <w:r w:rsidR="00010370">
        <w:rPr>
          <w:rFonts w:ascii="Times New Roman" w:eastAsia="Times New Roman" w:hAnsi="Times New Roman"/>
          <w:snapToGrid w:val="0"/>
        </w:rPr>
        <w:t> </w:t>
      </w:r>
      <w:r w:rsidRPr="00037DA8">
        <w:rPr>
          <w:rFonts w:ascii="Times New Roman" w:eastAsia="Times New Roman" w:hAnsi="Times New Roman"/>
          <w:snapToGrid w:val="0"/>
        </w:rPr>
        <w:t>valandą) ir laikotarpiu iki</w:t>
      </w:r>
      <w:r w:rsidR="00167EAB" w:rsidRPr="00037DA8">
        <w:rPr>
          <w:rFonts w:ascii="Times New Roman" w:eastAsia="Times New Roman" w:hAnsi="Times New Roman"/>
          <w:snapToGrid w:val="0"/>
        </w:rPr>
        <w:t xml:space="preserve"> </w:t>
      </w:r>
      <w:r w:rsidRPr="00037DA8">
        <w:rPr>
          <w:rFonts w:ascii="Times New Roman" w:eastAsia="Times New Roman" w:hAnsi="Times New Roman"/>
          <w:snapToGrid w:val="0"/>
        </w:rPr>
        <w:t>20</w:t>
      </w:r>
      <w:r w:rsidR="00010370">
        <w:rPr>
          <w:rFonts w:ascii="Times New Roman" w:eastAsia="Times New Roman" w:hAnsi="Times New Roman"/>
          <w:snapToGrid w:val="0"/>
        </w:rPr>
        <w:t> </w:t>
      </w:r>
      <w:r w:rsidRPr="00037DA8">
        <w:rPr>
          <w:rFonts w:ascii="Times New Roman" w:eastAsia="Times New Roman" w:hAnsi="Times New Roman"/>
          <w:snapToGrid w:val="0"/>
        </w:rPr>
        <w:t>minučių po infuzijos pabaigos. OAPP1B1 substratų rekomenduojama vartoti likus 12</w:t>
      </w:r>
      <w:r w:rsidR="00010370">
        <w:rPr>
          <w:rFonts w:ascii="Times New Roman" w:eastAsia="Times New Roman" w:hAnsi="Times New Roman"/>
          <w:snapToGrid w:val="0"/>
        </w:rPr>
        <w:t> </w:t>
      </w:r>
      <w:r w:rsidRPr="00037DA8">
        <w:rPr>
          <w:rFonts w:ascii="Times New Roman" w:eastAsia="Times New Roman" w:hAnsi="Times New Roman"/>
          <w:snapToGrid w:val="0"/>
        </w:rPr>
        <w:t>valandų iki</w:t>
      </w:r>
      <w:r w:rsidR="00167EAB" w:rsidRPr="00037DA8">
        <w:rPr>
          <w:rFonts w:ascii="Times New Roman" w:eastAsia="Times New Roman" w:hAnsi="Times New Roman"/>
          <w:snapToGrid w:val="0"/>
        </w:rPr>
        <w:t xml:space="preserve"> </w:t>
      </w:r>
      <w:r w:rsidRPr="00037DA8">
        <w:rPr>
          <w:rFonts w:ascii="Times New Roman" w:eastAsia="Times New Roman" w:hAnsi="Times New Roman"/>
          <w:snapToGrid w:val="0"/>
        </w:rPr>
        <w:t>infuzijos ar praėjus ne mažiau kaip 3</w:t>
      </w:r>
      <w:r w:rsidR="00010370">
        <w:rPr>
          <w:rFonts w:ascii="Times New Roman" w:eastAsia="Times New Roman" w:hAnsi="Times New Roman"/>
          <w:snapToGrid w:val="0"/>
        </w:rPr>
        <w:t> </w:t>
      </w:r>
      <w:r w:rsidRPr="00037DA8">
        <w:rPr>
          <w:rFonts w:ascii="Times New Roman" w:eastAsia="Times New Roman" w:hAnsi="Times New Roman"/>
          <w:snapToGrid w:val="0"/>
        </w:rPr>
        <w:t>valandoms po jos.</w:t>
      </w:r>
    </w:p>
    <w:p w14:paraId="0D1E3629" w14:textId="77777777" w:rsidR="00167EAB" w:rsidRPr="00037DA8" w:rsidRDefault="00167EAB" w:rsidP="001F0F9B">
      <w:pPr>
        <w:tabs>
          <w:tab w:val="left" w:pos="567"/>
        </w:tabs>
        <w:spacing w:after="0" w:line="260" w:lineRule="exact"/>
        <w:rPr>
          <w:rFonts w:ascii="Times New Roman" w:eastAsia="Times New Roman" w:hAnsi="Times New Roman"/>
          <w:snapToGrid w:val="0"/>
        </w:rPr>
      </w:pPr>
    </w:p>
    <w:p w14:paraId="5B1089C6" w14:textId="77777777" w:rsidR="001F0F9B" w:rsidRPr="00037DA8" w:rsidRDefault="00167EAB" w:rsidP="001F0F9B">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Skiepijimai</w:t>
      </w:r>
    </w:p>
    <w:p w14:paraId="24826AB1" w14:textId="77777777" w:rsidR="001F0F9B" w:rsidRPr="00037DA8" w:rsidRDefault="001F0F9B" w:rsidP="001F0F9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Pacientų, kurių imuninė sistema dėl gydymo chemoterapin</w:t>
      </w:r>
      <w:r w:rsidR="00167EAB" w:rsidRPr="00037DA8">
        <w:rPr>
          <w:rFonts w:ascii="Times New Roman" w:eastAsia="Times New Roman" w:hAnsi="Times New Roman"/>
          <w:snapToGrid w:val="0"/>
        </w:rPr>
        <w:t>ėmis medžiagomis</w:t>
      </w:r>
      <w:r w:rsidRPr="00037DA8">
        <w:rPr>
          <w:rFonts w:ascii="Times New Roman" w:eastAsia="Times New Roman" w:hAnsi="Times New Roman"/>
          <w:snapToGrid w:val="0"/>
        </w:rPr>
        <w:t xml:space="preserve"> yra nusilpusi, skiepijimas</w:t>
      </w:r>
      <w:r w:rsidR="00167EAB"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gyvomis ar gyvomis </w:t>
      </w:r>
      <w:proofErr w:type="spellStart"/>
      <w:r w:rsidRPr="00037DA8">
        <w:rPr>
          <w:rFonts w:ascii="Times New Roman" w:eastAsia="Times New Roman" w:hAnsi="Times New Roman"/>
          <w:snapToGrid w:val="0"/>
        </w:rPr>
        <w:t>susilpnintomis</w:t>
      </w:r>
      <w:proofErr w:type="spellEnd"/>
      <w:r w:rsidRPr="00037DA8">
        <w:rPr>
          <w:rFonts w:ascii="Times New Roman" w:eastAsia="Times New Roman" w:hAnsi="Times New Roman"/>
          <w:snapToGrid w:val="0"/>
        </w:rPr>
        <w:t xml:space="preserve"> vakcinomis gali sukelti sunkių ar mirtinų infekcinių ligų.</w:t>
      </w:r>
      <w:r w:rsidR="00167EAB"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Kabazitakseliu</w:t>
      </w:r>
      <w:proofErr w:type="spellEnd"/>
      <w:r w:rsidRPr="00037DA8">
        <w:rPr>
          <w:rFonts w:ascii="Times New Roman" w:eastAsia="Times New Roman" w:hAnsi="Times New Roman"/>
          <w:snapToGrid w:val="0"/>
        </w:rPr>
        <w:t xml:space="preserve"> gydomų pacientų gyvomis </w:t>
      </w:r>
      <w:proofErr w:type="spellStart"/>
      <w:r w:rsidRPr="00037DA8">
        <w:rPr>
          <w:rFonts w:ascii="Times New Roman" w:eastAsia="Times New Roman" w:hAnsi="Times New Roman"/>
          <w:snapToGrid w:val="0"/>
        </w:rPr>
        <w:t>susilpnintomis</w:t>
      </w:r>
      <w:proofErr w:type="spellEnd"/>
      <w:r w:rsidRPr="00037DA8">
        <w:rPr>
          <w:rFonts w:ascii="Times New Roman" w:eastAsia="Times New Roman" w:hAnsi="Times New Roman"/>
          <w:snapToGrid w:val="0"/>
        </w:rPr>
        <w:t xml:space="preserve"> vakcinomis skiepyti turi būti vengiama.</w:t>
      </w:r>
      <w:r w:rsidR="00167EAB" w:rsidRPr="00037DA8">
        <w:rPr>
          <w:rFonts w:ascii="Times New Roman" w:eastAsia="Times New Roman" w:hAnsi="Times New Roman"/>
          <w:snapToGrid w:val="0"/>
        </w:rPr>
        <w:t xml:space="preserve"> </w:t>
      </w:r>
      <w:r w:rsidRPr="00037DA8">
        <w:rPr>
          <w:rFonts w:ascii="Times New Roman" w:eastAsia="Times New Roman" w:hAnsi="Times New Roman"/>
          <w:snapToGrid w:val="0"/>
        </w:rPr>
        <w:t>Vakcinomis, kuriose yra žuvusių ar neaktyvių sukėlėjų, skiepyti galima, tačiau reakcija į jas gali būti</w:t>
      </w:r>
      <w:r w:rsidR="00167EAB" w:rsidRPr="00037DA8">
        <w:rPr>
          <w:rFonts w:ascii="Times New Roman" w:eastAsia="Times New Roman" w:hAnsi="Times New Roman"/>
          <w:snapToGrid w:val="0"/>
        </w:rPr>
        <w:t xml:space="preserve"> </w:t>
      </w:r>
      <w:r w:rsidRPr="00037DA8">
        <w:rPr>
          <w:rFonts w:ascii="Times New Roman" w:eastAsia="Times New Roman" w:hAnsi="Times New Roman"/>
          <w:snapToGrid w:val="0"/>
        </w:rPr>
        <w:t>susilpnėjusi.</w:t>
      </w:r>
    </w:p>
    <w:p w14:paraId="3A43C225" w14:textId="77777777" w:rsidR="00167EAB" w:rsidRPr="00037DA8" w:rsidRDefault="00167EAB" w:rsidP="001F0F9B">
      <w:pPr>
        <w:tabs>
          <w:tab w:val="left" w:pos="567"/>
        </w:tabs>
        <w:spacing w:after="0" w:line="260" w:lineRule="exact"/>
        <w:rPr>
          <w:rFonts w:ascii="Times New Roman" w:eastAsia="Times New Roman" w:hAnsi="Times New Roman"/>
          <w:b/>
          <w:bCs/>
          <w:snapToGrid w:val="0"/>
        </w:rPr>
      </w:pPr>
    </w:p>
    <w:p w14:paraId="547BE7F9" w14:textId="77777777" w:rsidR="001F0F9B" w:rsidRPr="00037DA8" w:rsidRDefault="001F0F9B" w:rsidP="001F0F9B">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4.6</w:t>
      </w:r>
      <w:r w:rsidR="00167EAB" w:rsidRPr="00037DA8">
        <w:rPr>
          <w:rFonts w:ascii="Times New Roman" w:eastAsia="Times New Roman" w:hAnsi="Times New Roman"/>
          <w:b/>
          <w:bCs/>
          <w:snapToGrid w:val="0"/>
        </w:rPr>
        <w:tab/>
      </w:r>
      <w:r w:rsidRPr="00037DA8">
        <w:rPr>
          <w:rFonts w:ascii="Times New Roman" w:eastAsia="Times New Roman" w:hAnsi="Times New Roman"/>
          <w:b/>
          <w:bCs/>
          <w:snapToGrid w:val="0"/>
        </w:rPr>
        <w:t>Vaisingumas, nėštumo ir žindymo laikotarpis</w:t>
      </w:r>
    </w:p>
    <w:p w14:paraId="307F0FD4" w14:textId="77777777" w:rsidR="00167EAB" w:rsidRPr="00037DA8" w:rsidRDefault="00167EAB" w:rsidP="001F0F9B">
      <w:pPr>
        <w:tabs>
          <w:tab w:val="left" w:pos="567"/>
        </w:tabs>
        <w:spacing w:after="0" w:line="260" w:lineRule="exact"/>
        <w:rPr>
          <w:rFonts w:ascii="Times New Roman" w:eastAsia="Times New Roman" w:hAnsi="Times New Roman"/>
          <w:snapToGrid w:val="0"/>
        </w:rPr>
      </w:pPr>
    </w:p>
    <w:p w14:paraId="49DBFF12" w14:textId="77777777" w:rsidR="00867ACF" w:rsidRPr="00A1477B" w:rsidRDefault="00867ACF" w:rsidP="00867ACF">
      <w:pPr>
        <w:tabs>
          <w:tab w:val="left" w:pos="567"/>
        </w:tabs>
        <w:spacing w:after="0" w:line="260" w:lineRule="exact"/>
        <w:rPr>
          <w:rFonts w:ascii="Times New Roman" w:eastAsia="Times New Roman" w:hAnsi="Times New Roman"/>
          <w:snapToGrid w:val="0"/>
          <w:u w:val="single"/>
        </w:rPr>
      </w:pPr>
      <w:r w:rsidRPr="00A1477B">
        <w:rPr>
          <w:rFonts w:ascii="Times New Roman" w:eastAsia="Times New Roman" w:hAnsi="Times New Roman"/>
          <w:snapToGrid w:val="0"/>
          <w:u w:val="single"/>
        </w:rPr>
        <w:t>Kontracepcijos priemonės</w:t>
      </w:r>
    </w:p>
    <w:p w14:paraId="6656E720" w14:textId="75CB91BB" w:rsidR="00867ACF" w:rsidRPr="00A1477B" w:rsidRDefault="00867ACF" w:rsidP="00867ACF">
      <w:pPr>
        <w:tabs>
          <w:tab w:val="left" w:pos="567"/>
        </w:tabs>
        <w:spacing w:after="0" w:line="260" w:lineRule="exact"/>
        <w:rPr>
          <w:rFonts w:ascii="Times New Roman" w:eastAsia="Times New Roman" w:hAnsi="Times New Roman"/>
          <w:snapToGrid w:val="0"/>
        </w:rPr>
      </w:pPr>
      <w:r w:rsidRPr="00A1477B">
        <w:rPr>
          <w:rFonts w:ascii="Times New Roman" w:eastAsia="Times New Roman" w:hAnsi="Times New Roman"/>
          <w:snapToGrid w:val="0"/>
        </w:rPr>
        <w:t xml:space="preserve">Dėl </w:t>
      </w:r>
      <w:proofErr w:type="spellStart"/>
      <w:r w:rsidRPr="00A1477B">
        <w:rPr>
          <w:rFonts w:ascii="Times New Roman" w:eastAsia="Times New Roman" w:hAnsi="Times New Roman"/>
          <w:snapToGrid w:val="0"/>
        </w:rPr>
        <w:t>genotoksinio</w:t>
      </w:r>
      <w:proofErr w:type="spellEnd"/>
      <w:r w:rsidRPr="00A1477B">
        <w:rPr>
          <w:rFonts w:ascii="Times New Roman" w:eastAsia="Times New Roman" w:hAnsi="Times New Roman"/>
          <w:snapToGrid w:val="0"/>
        </w:rPr>
        <w:t xml:space="preserve"> </w:t>
      </w:r>
      <w:proofErr w:type="spellStart"/>
      <w:r w:rsidRPr="00A1477B">
        <w:rPr>
          <w:rFonts w:ascii="Times New Roman" w:eastAsia="Times New Roman" w:hAnsi="Times New Roman"/>
          <w:snapToGrid w:val="0"/>
        </w:rPr>
        <w:t>kabazitakselio</w:t>
      </w:r>
      <w:proofErr w:type="spellEnd"/>
      <w:r w:rsidRPr="00A1477B">
        <w:rPr>
          <w:rFonts w:ascii="Times New Roman" w:eastAsia="Times New Roman" w:hAnsi="Times New Roman"/>
          <w:snapToGrid w:val="0"/>
        </w:rPr>
        <w:t xml:space="preserve"> poveikio pavojaus (žr.</w:t>
      </w:r>
      <w:r w:rsidR="00890115" w:rsidRPr="00A1477B">
        <w:rPr>
          <w:rFonts w:ascii="Times New Roman" w:eastAsia="Times New Roman" w:hAnsi="Times New Roman"/>
          <w:snapToGrid w:val="0"/>
        </w:rPr>
        <w:t> </w:t>
      </w:r>
      <w:r w:rsidRPr="00A1477B">
        <w:rPr>
          <w:rFonts w:ascii="Times New Roman" w:eastAsia="Times New Roman" w:hAnsi="Times New Roman"/>
          <w:snapToGrid w:val="0"/>
        </w:rPr>
        <w:t>5.3</w:t>
      </w:r>
      <w:r w:rsidR="00890115" w:rsidRPr="00A1477B">
        <w:rPr>
          <w:rFonts w:ascii="Times New Roman" w:eastAsia="Times New Roman" w:hAnsi="Times New Roman"/>
          <w:snapToGrid w:val="0"/>
        </w:rPr>
        <w:t> </w:t>
      </w:r>
      <w:r w:rsidRPr="00A1477B">
        <w:rPr>
          <w:rFonts w:ascii="Times New Roman" w:eastAsia="Times New Roman" w:hAnsi="Times New Roman"/>
          <w:snapToGrid w:val="0"/>
        </w:rPr>
        <w:t xml:space="preserve">skyrių) vyrai gydymo </w:t>
      </w:r>
      <w:proofErr w:type="spellStart"/>
      <w:r w:rsidRPr="00A1477B">
        <w:rPr>
          <w:rFonts w:ascii="Times New Roman" w:eastAsia="Times New Roman" w:hAnsi="Times New Roman"/>
          <w:snapToGrid w:val="0"/>
        </w:rPr>
        <w:t>kabazitakseliu</w:t>
      </w:r>
      <w:proofErr w:type="spellEnd"/>
      <w:r w:rsidRPr="00A1477B">
        <w:rPr>
          <w:rFonts w:ascii="Times New Roman" w:eastAsia="Times New Roman" w:hAnsi="Times New Roman"/>
          <w:snapToGrid w:val="0"/>
        </w:rPr>
        <w:t xml:space="preserve"> metu</w:t>
      </w:r>
      <w:r w:rsidR="00890115" w:rsidRPr="00A1477B">
        <w:rPr>
          <w:rFonts w:ascii="Times New Roman" w:eastAsia="Times New Roman" w:hAnsi="Times New Roman"/>
          <w:snapToGrid w:val="0"/>
        </w:rPr>
        <w:t xml:space="preserve"> </w:t>
      </w:r>
      <w:r w:rsidRPr="00A1477B">
        <w:rPr>
          <w:rFonts w:ascii="Times New Roman" w:eastAsia="Times New Roman" w:hAnsi="Times New Roman"/>
          <w:snapToGrid w:val="0"/>
        </w:rPr>
        <w:t>ir 4</w:t>
      </w:r>
      <w:r w:rsidR="00727E79" w:rsidRPr="00A1477B">
        <w:rPr>
          <w:rFonts w:ascii="Times New Roman" w:eastAsia="Times New Roman" w:hAnsi="Times New Roman"/>
          <w:snapToGrid w:val="0"/>
        </w:rPr>
        <w:t> </w:t>
      </w:r>
      <w:r w:rsidRPr="00A1477B">
        <w:rPr>
          <w:rFonts w:ascii="Times New Roman" w:eastAsia="Times New Roman" w:hAnsi="Times New Roman"/>
          <w:snapToGrid w:val="0"/>
        </w:rPr>
        <w:t>mėnesius po gydymo nutraukimo turi naudoti veiksmingą kontracepcijos metodą.</w:t>
      </w:r>
    </w:p>
    <w:p w14:paraId="44F4E539" w14:textId="77777777" w:rsidR="00867ACF" w:rsidRPr="00A1477B" w:rsidRDefault="00867ACF" w:rsidP="00867ACF">
      <w:pPr>
        <w:tabs>
          <w:tab w:val="left" w:pos="567"/>
        </w:tabs>
        <w:spacing w:after="0" w:line="260" w:lineRule="exact"/>
        <w:rPr>
          <w:rFonts w:ascii="Times New Roman" w:eastAsia="Times New Roman" w:hAnsi="Times New Roman"/>
          <w:snapToGrid w:val="0"/>
        </w:rPr>
      </w:pPr>
    </w:p>
    <w:p w14:paraId="158EFFBA" w14:textId="4DA4E417" w:rsidR="001F0F9B" w:rsidRPr="00037DA8" w:rsidRDefault="001F0F9B" w:rsidP="001F0F9B">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Nėštumas</w:t>
      </w:r>
    </w:p>
    <w:p w14:paraId="29F52F87" w14:textId="7ED5B64B" w:rsidR="001F0F9B" w:rsidRPr="00F159B6" w:rsidRDefault="001F0F9B" w:rsidP="001F0F9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lastRenderedPageBreak/>
        <w:t xml:space="preserve">Duomenų apie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vartojimą nėštumo metu nėra. Su gyvūnais atlikti tyrimai parodė toksinį</w:t>
      </w:r>
      <w:r w:rsidR="0042038C" w:rsidRPr="00037DA8">
        <w:rPr>
          <w:rFonts w:ascii="Times New Roman" w:eastAsia="Times New Roman" w:hAnsi="Times New Roman"/>
          <w:snapToGrid w:val="0"/>
        </w:rPr>
        <w:t xml:space="preserve"> </w:t>
      </w:r>
      <w:r w:rsidRPr="00037DA8">
        <w:rPr>
          <w:rFonts w:ascii="Times New Roman" w:eastAsia="Times New Roman" w:hAnsi="Times New Roman"/>
          <w:snapToGrid w:val="0"/>
        </w:rPr>
        <w:t>poveikį reprodukcijai, jei</w:t>
      </w:r>
      <w:r w:rsidR="0042038C" w:rsidRPr="00037DA8">
        <w:rPr>
          <w:rFonts w:ascii="Times New Roman" w:eastAsia="Times New Roman" w:hAnsi="Times New Roman"/>
          <w:snapToGrid w:val="0"/>
        </w:rPr>
        <w:t>gu</w:t>
      </w:r>
      <w:r w:rsidRPr="00037DA8">
        <w:rPr>
          <w:rFonts w:ascii="Times New Roman" w:eastAsia="Times New Roman" w:hAnsi="Times New Roman"/>
          <w:snapToGrid w:val="0"/>
        </w:rPr>
        <w:t xml:space="preserve"> vartojamos patelei toksinį poveikį sukeliančios dozės (žr.</w:t>
      </w:r>
      <w:r w:rsidR="00727E79">
        <w:rPr>
          <w:rFonts w:ascii="Times New Roman" w:eastAsia="Times New Roman" w:hAnsi="Times New Roman"/>
          <w:snapToGrid w:val="0"/>
        </w:rPr>
        <w:t> </w:t>
      </w:r>
      <w:r w:rsidRPr="00037DA8">
        <w:rPr>
          <w:rFonts w:ascii="Times New Roman" w:eastAsia="Times New Roman" w:hAnsi="Times New Roman"/>
          <w:snapToGrid w:val="0"/>
        </w:rPr>
        <w:t>5.3</w:t>
      </w:r>
      <w:r w:rsidR="00727E79">
        <w:rPr>
          <w:rFonts w:ascii="Times New Roman" w:eastAsia="Times New Roman" w:hAnsi="Times New Roman"/>
          <w:snapToGrid w:val="0"/>
        </w:rPr>
        <w:t> </w:t>
      </w:r>
      <w:r w:rsidRPr="00037DA8">
        <w:rPr>
          <w:rFonts w:ascii="Times New Roman" w:eastAsia="Times New Roman" w:hAnsi="Times New Roman"/>
          <w:snapToGrid w:val="0"/>
        </w:rPr>
        <w:t>skyrių), ir kad</w:t>
      </w:r>
      <w:r w:rsidR="0042038C"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xml:space="preserve"> prasiskverbia </w:t>
      </w:r>
      <w:r w:rsidR="008D29BE">
        <w:rPr>
          <w:rFonts w:ascii="Times New Roman" w:eastAsia="Times New Roman" w:hAnsi="Times New Roman"/>
          <w:snapToGrid w:val="0"/>
        </w:rPr>
        <w:t xml:space="preserve">pro </w:t>
      </w:r>
      <w:r w:rsidRPr="00037DA8">
        <w:rPr>
          <w:rFonts w:ascii="Times New Roman" w:eastAsia="Times New Roman" w:hAnsi="Times New Roman"/>
          <w:snapToGrid w:val="0"/>
        </w:rPr>
        <w:t>placentos barjerą (žr.</w:t>
      </w:r>
      <w:r w:rsidR="00727E79">
        <w:rPr>
          <w:rFonts w:ascii="Times New Roman" w:eastAsia="Times New Roman" w:hAnsi="Times New Roman"/>
          <w:snapToGrid w:val="0"/>
        </w:rPr>
        <w:t> </w:t>
      </w:r>
      <w:r w:rsidRPr="00037DA8">
        <w:rPr>
          <w:rFonts w:ascii="Times New Roman" w:eastAsia="Times New Roman" w:hAnsi="Times New Roman"/>
          <w:snapToGrid w:val="0"/>
        </w:rPr>
        <w:t>5.3</w:t>
      </w:r>
      <w:r w:rsidR="00727E79">
        <w:rPr>
          <w:rFonts w:ascii="Times New Roman" w:eastAsia="Times New Roman" w:hAnsi="Times New Roman"/>
          <w:snapToGrid w:val="0"/>
        </w:rPr>
        <w:t> </w:t>
      </w:r>
      <w:r w:rsidRPr="00037DA8">
        <w:rPr>
          <w:rFonts w:ascii="Times New Roman" w:eastAsia="Times New Roman" w:hAnsi="Times New Roman"/>
          <w:snapToGrid w:val="0"/>
        </w:rPr>
        <w:t>skyrių). Nėščių moterų ekspozicija</w:t>
      </w:r>
      <w:r w:rsidR="0042038C"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kabazitakseliu</w:t>
      </w:r>
      <w:proofErr w:type="spellEnd"/>
      <w:r w:rsidRPr="00037DA8">
        <w:rPr>
          <w:rFonts w:ascii="Times New Roman" w:eastAsia="Times New Roman" w:hAnsi="Times New Roman"/>
          <w:snapToGrid w:val="0"/>
        </w:rPr>
        <w:t xml:space="preserve">, kaip ir kitokiais </w:t>
      </w:r>
      <w:proofErr w:type="spellStart"/>
      <w:r w:rsidRPr="00037DA8">
        <w:rPr>
          <w:rFonts w:ascii="Times New Roman" w:eastAsia="Times New Roman" w:hAnsi="Times New Roman"/>
          <w:snapToGrid w:val="0"/>
        </w:rPr>
        <w:t>citotoksiniais</w:t>
      </w:r>
      <w:proofErr w:type="spellEnd"/>
      <w:r w:rsidRPr="00037DA8">
        <w:rPr>
          <w:rFonts w:ascii="Times New Roman" w:eastAsia="Times New Roman" w:hAnsi="Times New Roman"/>
          <w:snapToGrid w:val="0"/>
        </w:rPr>
        <w:t xml:space="preserve"> </w:t>
      </w:r>
      <w:r w:rsidR="00F159B6">
        <w:rPr>
          <w:rFonts w:ascii="Times New Roman" w:eastAsia="Times New Roman" w:hAnsi="Times New Roman"/>
          <w:snapToGrid w:val="0"/>
        </w:rPr>
        <w:t xml:space="preserve">vaistiniais </w:t>
      </w:r>
      <w:r w:rsidRPr="00F159B6">
        <w:rPr>
          <w:rFonts w:ascii="Times New Roman" w:eastAsia="Times New Roman" w:hAnsi="Times New Roman"/>
          <w:snapToGrid w:val="0"/>
        </w:rPr>
        <w:t>preparatais, gali sukelti vaisiaus pažaidą.</w:t>
      </w:r>
    </w:p>
    <w:p w14:paraId="3E2D2748" w14:textId="643B16FC" w:rsidR="001F0F9B" w:rsidRPr="00037DA8" w:rsidRDefault="001F0F9B" w:rsidP="001F0F9B">
      <w:pPr>
        <w:tabs>
          <w:tab w:val="left" w:pos="567"/>
        </w:tabs>
        <w:spacing w:after="0" w:line="260" w:lineRule="exact"/>
        <w:rPr>
          <w:rFonts w:ascii="Times New Roman" w:eastAsia="Times New Roman" w:hAnsi="Times New Roman"/>
          <w:snapToGrid w:val="0"/>
        </w:rPr>
      </w:pPr>
      <w:proofErr w:type="spellStart"/>
      <w:r w:rsidRPr="0085406C">
        <w:rPr>
          <w:rFonts w:ascii="Times New Roman" w:eastAsia="Times New Roman" w:hAnsi="Times New Roman"/>
          <w:snapToGrid w:val="0"/>
        </w:rPr>
        <w:t>Kabazitakseli</w:t>
      </w:r>
      <w:r w:rsidR="00CF373C">
        <w:rPr>
          <w:rFonts w:ascii="Times New Roman" w:eastAsia="Times New Roman" w:hAnsi="Times New Roman"/>
          <w:snapToGrid w:val="0"/>
        </w:rPr>
        <w:t>s</w:t>
      </w:r>
      <w:proofErr w:type="spellEnd"/>
      <w:r w:rsidRPr="0085406C">
        <w:rPr>
          <w:rFonts w:ascii="Times New Roman" w:eastAsia="Times New Roman" w:hAnsi="Times New Roman"/>
          <w:snapToGrid w:val="0"/>
        </w:rPr>
        <w:t xml:space="preserve"> </w:t>
      </w:r>
      <w:r w:rsidR="00CF373C">
        <w:rPr>
          <w:rFonts w:ascii="Times New Roman" w:eastAsia="Times New Roman" w:hAnsi="Times New Roman"/>
          <w:snapToGrid w:val="0"/>
        </w:rPr>
        <w:t>nėra skirtas</w:t>
      </w:r>
      <w:r w:rsidR="00CF373C" w:rsidRPr="0085406C">
        <w:rPr>
          <w:rFonts w:ascii="Times New Roman" w:eastAsia="Times New Roman" w:hAnsi="Times New Roman"/>
          <w:snapToGrid w:val="0"/>
        </w:rPr>
        <w:t xml:space="preserve"> </w:t>
      </w:r>
      <w:r w:rsidRPr="0085406C">
        <w:rPr>
          <w:rFonts w:ascii="Times New Roman" w:eastAsia="Times New Roman" w:hAnsi="Times New Roman"/>
          <w:snapToGrid w:val="0"/>
        </w:rPr>
        <w:t>vartoti moterims</w:t>
      </w:r>
      <w:r w:rsidRPr="00037DA8">
        <w:rPr>
          <w:rFonts w:ascii="Times New Roman" w:eastAsia="Times New Roman" w:hAnsi="Times New Roman"/>
          <w:snapToGrid w:val="0"/>
        </w:rPr>
        <w:t>.</w:t>
      </w:r>
    </w:p>
    <w:p w14:paraId="6548DBCE" w14:textId="77777777" w:rsidR="0042038C" w:rsidRPr="00037DA8" w:rsidRDefault="0042038C" w:rsidP="001F0F9B">
      <w:pPr>
        <w:tabs>
          <w:tab w:val="left" w:pos="567"/>
        </w:tabs>
        <w:spacing w:after="0" w:line="260" w:lineRule="exact"/>
        <w:rPr>
          <w:rFonts w:ascii="Times New Roman" w:eastAsia="Times New Roman" w:hAnsi="Times New Roman"/>
          <w:snapToGrid w:val="0"/>
        </w:rPr>
      </w:pPr>
    </w:p>
    <w:p w14:paraId="37256832" w14:textId="77777777" w:rsidR="001F0F9B" w:rsidRPr="00037DA8" w:rsidRDefault="001F0F9B" w:rsidP="001F0F9B">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Žindymas</w:t>
      </w:r>
    </w:p>
    <w:p w14:paraId="311B1165" w14:textId="4CBFE757" w:rsidR="001F0F9B" w:rsidRPr="00037DA8" w:rsidRDefault="001F0F9B" w:rsidP="001F0F9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Turimi farmakokinetikos gyvūnų organizme duomenys rodo, kad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ir jo metabolitų</w:t>
      </w:r>
      <w:r w:rsidR="0042038C" w:rsidRPr="00037DA8">
        <w:rPr>
          <w:rFonts w:ascii="Times New Roman" w:eastAsia="Times New Roman" w:hAnsi="Times New Roman"/>
          <w:snapToGrid w:val="0"/>
        </w:rPr>
        <w:t xml:space="preserve"> </w:t>
      </w:r>
      <w:r w:rsidRPr="00037DA8">
        <w:rPr>
          <w:rFonts w:ascii="Times New Roman" w:eastAsia="Times New Roman" w:hAnsi="Times New Roman"/>
          <w:snapToGrid w:val="0"/>
        </w:rPr>
        <w:t>išsiskiria į pieną (žr.</w:t>
      </w:r>
      <w:r w:rsidR="00F21F82">
        <w:rPr>
          <w:rFonts w:ascii="Times New Roman" w:eastAsia="Times New Roman" w:hAnsi="Times New Roman"/>
          <w:snapToGrid w:val="0"/>
        </w:rPr>
        <w:t> </w:t>
      </w:r>
      <w:r w:rsidRPr="00037DA8">
        <w:rPr>
          <w:rFonts w:ascii="Times New Roman" w:eastAsia="Times New Roman" w:hAnsi="Times New Roman"/>
          <w:snapToGrid w:val="0"/>
        </w:rPr>
        <w:t>5.3</w:t>
      </w:r>
      <w:r w:rsidR="00F21F82">
        <w:rPr>
          <w:rFonts w:ascii="Times New Roman" w:eastAsia="Times New Roman" w:hAnsi="Times New Roman"/>
          <w:snapToGrid w:val="0"/>
        </w:rPr>
        <w:t> </w:t>
      </w:r>
      <w:r w:rsidRPr="00037DA8">
        <w:rPr>
          <w:rFonts w:ascii="Times New Roman" w:eastAsia="Times New Roman" w:hAnsi="Times New Roman"/>
          <w:snapToGrid w:val="0"/>
        </w:rPr>
        <w:t xml:space="preserve">skyrių). </w:t>
      </w:r>
    </w:p>
    <w:p w14:paraId="76771140" w14:textId="77777777" w:rsidR="0042038C" w:rsidRPr="00037DA8" w:rsidRDefault="0042038C" w:rsidP="001F0F9B">
      <w:pPr>
        <w:tabs>
          <w:tab w:val="left" w:pos="567"/>
        </w:tabs>
        <w:spacing w:after="0" w:line="260" w:lineRule="exact"/>
        <w:rPr>
          <w:rFonts w:ascii="Times New Roman" w:eastAsia="Times New Roman" w:hAnsi="Times New Roman"/>
          <w:snapToGrid w:val="0"/>
        </w:rPr>
      </w:pPr>
    </w:p>
    <w:p w14:paraId="50DDC1FB" w14:textId="77777777" w:rsidR="001F0F9B" w:rsidRPr="00037DA8" w:rsidRDefault="001F0F9B" w:rsidP="001F0F9B">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Vaisingumas</w:t>
      </w:r>
    </w:p>
    <w:p w14:paraId="66678C3A" w14:textId="15D8ECCB" w:rsidR="001F0F9B" w:rsidRPr="00037DA8" w:rsidRDefault="001F0F9B" w:rsidP="005862BF">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Tyrimai su gyvūnais parodė, kad </w:t>
      </w: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xml:space="preserve"> sukelia poveikį žiurkių ir šunų patinų reprodukcinei</w:t>
      </w:r>
      <w:r w:rsidR="0042038C"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sistemai, tačiau </w:t>
      </w:r>
      <w:r w:rsidR="0042038C" w:rsidRPr="00037DA8">
        <w:rPr>
          <w:rFonts w:ascii="Times New Roman" w:eastAsia="Times New Roman" w:hAnsi="Times New Roman"/>
          <w:snapToGrid w:val="0"/>
        </w:rPr>
        <w:t xml:space="preserve">jokio </w:t>
      </w:r>
      <w:r w:rsidRPr="00037DA8">
        <w:rPr>
          <w:rFonts w:ascii="Times New Roman" w:eastAsia="Times New Roman" w:hAnsi="Times New Roman"/>
          <w:snapToGrid w:val="0"/>
        </w:rPr>
        <w:t>funkcinio poveikio vaisingumui nebūna (žr.</w:t>
      </w:r>
      <w:r w:rsidR="005066F2">
        <w:rPr>
          <w:rFonts w:ascii="Times New Roman" w:eastAsia="Times New Roman" w:hAnsi="Times New Roman"/>
          <w:snapToGrid w:val="0"/>
        </w:rPr>
        <w:t> </w:t>
      </w:r>
      <w:r w:rsidRPr="00037DA8">
        <w:rPr>
          <w:rFonts w:ascii="Times New Roman" w:eastAsia="Times New Roman" w:hAnsi="Times New Roman"/>
          <w:snapToGrid w:val="0"/>
        </w:rPr>
        <w:t>5.3</w:t>
      </w:r>
      <w:r w:rsidR="005066F2">
        <w:rPr>
          <w:rFonts w:ascii="Times New Roman" w:eastAsia="Times New Roman" w:hAnsi="Times New Roman"/>
          <w:snapToGrid w:val="0"/>
        </w:rPr>
        <w:t> </w:t>
      </w:r>
      <w:r w:rsidRPr="00037DA8">
        <w:rPr>
          <w:rFonts w:ascii="Times New Roman" w:eastAsia="Times New Roman" w:hAnsi="Times New Roman"/>
          <w:snapToGrid w:val="0"/>
        </w:rPr>
        <w:t>skyrių). Vis dėlto</w:t>
      </w:r>
      <w:r w:rsidR="009E132E">
        <w:rPr>
          <w:rFonts w:ascii="Times New Roman" w:eastAsia="Times New Roman" w:hAnsi="Times New Roman"/>
          <w:snapToGrid w:val="0"/>
        </w:rPr>
        <w:t>,</w:t>
      </w:r>
      <w:r w:rsidRPr="00037DA8">
        <w:rPr>
          <w:rFonts w:ascii="Times New Roman" w:eastAsia="Times New Roman" w:hAnsi="Times New Roman"/>
          <w:snapToGrid w:val="0"/>
        </w:rPr>
        <w:t xml:space="preserve"> atsižvelgiant į</w:t>
      </w:r>
      <w:r w:rsidR="0042038C"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farmakologinį </w:t>
      </w:r>
      <w:proofErr w:type="spellStart"/>
      <w:r w:rsidRPr="00037DA8">
        <w:rPr>
          <w:rFonts w:ascii="Times New Roman" w:eastAsia="Times New Roman" w:hAnsi="Times New Roman"/>
          <w:snapToGrid w:val="0"/>
        </w:rPr>
        <w:t>taksanų</w:t>
      </w:r>
      <w:proofErr w:type="spellEnd"/>
      <w:r w:rsidRPr="00037DA8">
        <w:rPr>
          <w:rFonts w:ascii="Times New Roman" w:eastAsia="Times New Roman" w:hAnsi="Times New Roman"/>
          <w:snapToGrid w:val="0"/>
        </w:rPr>
        <w:t xml:space="preserve"> aktyvumą, jų </w:t>
      </w:r>
      <w:r w:rsidR="009E132E">
        <w:rPr>
          <w:rFonts w:ascii="Times New Roman" w:eastAsia="Times New Roman" w:hAnsi="Times New Roman"/>
          <w:snapToGrid w:val="0"/>
        </w:rPr>
        <w:t xml:space="preserve">galimą </w:t>
      </w:r>
      <w:proofErr w:type="spellStart"/>
      <w:r w:rsidRPr="00037DA8">
        <w:rPr>
          <w:rFonts w:ascii="Times New Roman" w:eastAsia="Times New Roman" w:hAnsi="Times New Roman"/>
          <w:snapToGrid w:val="0"/>
        </w:rPr>
        <w:t>genotoksinį</w:t>
      </w:r>
      <w:proofErr w:type="spellEnd"/>
      <w:r w:rsidRPr="00037DA8">
        <w:rPr>
          <w:rFonts w:ascii="Times New Roman" w:eastAsia="Times New Roman" w:hAnsi="Times New Roman"/>
          <w:snapToGrid w:val="0"/>
        </w:rPr>
        <w:t xml:space="preserve"> poveik</w:t>
      </w:r>
      <w:r w:rsidRPr="005066F2">
        <w:rPr>
          <w:rFonts w:ascii="Times New Roman" w:eastAsia="Times New Roman" w:hAnsi="Times New Roman"/>
          <w:snapToGrid w:val="0"/>
        </w:rPr>
        <w:t>į</w:t>
      </w:r>
      <w:r w:rsidR="00CF373C" w:rsidRPr="005066F2">
        <w:rPr>
          <w:rFonts w:ascii="Times New Roman" w:eastAsia="Times New Roman" w:hAnsi="Times New Roman"/>
          <w:snapToGrid w:val="0"/>
        </w:rPr>
        <w:t xml:space="preserve">, </w:t>
      </w:r>
      <w:r w:rsidR="00CF373C" w:rsidRPr="00A1477B">
        <w:rPr>
          <w:rFonts w:ascii="Times New Roman" w:eastAsia="Times New Roman" w:hAnsi="Times New Roman"/>
          <w:snapToGrid w:val="0"/>
        </w:rPr>
        <w:t xml:space="preserve">pasireiškiantį </w:t>
      </w:r>
      <w:proofErr w:type="spellStart"/>
      <w:r w:rsidR="00CF373C" w:rsidRPr="00A1477B">
        <w:rPr>
          <w:rFonts w:ascii="Times New Roman" w:eastAsia="Times New Roman" w:hAnsi="Times New Roman"/>
          <w:snapToGrid w:val="0"/>
        </w:rPr>
        <w:t>aneugeniniu</w:t>
      </w:r>
      <w:proofErr w:type="spellEnd"/>
      <w:r w:rsidR="00CF373C" w:rsidRPr="00A1477B">
        <w:rPr>
          <w:rFonts w:ascii="Times New Roman" w:eastAsia="Times New Roman" w:hAnsi="Times New Roman"/>
          <w:snapToGrid w:val="0"/>
        </w:rPr>
        <w:t xml:space="preserve"> mechanizmu,</w:t>
      </w:r>
      <w:r w:rsidRPr="005066F2">
        <w:rPr>
          <w:rFonts w:ascii="Times New Roman" w:eastAsia="Times New Roman" w:hAnsi="Times New Roman"/>
          <w:snapToGrid w:val="0"/>
        </w:rPr>
        <w:t xml:space="preserve"> bei </w:t>
      </w:r>
      <w:r w:rsidRPr="00037DA8">
        <w:rPr>
          <w:rFonts w:ascii="Times New Roman" w:eastAsia="Times New Roman" w:hAnsi="Times New Roman"/>
          <w:snapToGrid w:val="0"/>
        </w:rPr>
        <w:t>tyrimų su gyvūnais metu nustatytą kelių</w:t>
      </w:r>
      <w:r w:rsidR="0042038C" w:rsidRPr="00037DA8">
        <w:rPr>
          <w:rFonts w:ascii="Times New Roman" w:eastAsia="Times New Roman" w:hAnsi="Times New Roman"/>
          <w:snapToGrid w:val="0"/>
        </w:rPr>
        <w:t xml:space="preserve"> </w:t>
      </w:r>
      <w:r w:rsidRPr="00037DA8">
        <w:rPr>
          <w:rFonts w:ascii="Times New Roman" w:eastAsia="Times New Roman" w:hAnsi="Times New Roman"/>
          <w:snapToGrid w:val="0"/>
        </w:rPr>
        <w:t>šios klasės darinių poveikį v</w:t>
      </w:r>
      <w:r w:rsidR="0042038C" w:rsidRPr="00037DA8">
        <w:rPr>
          <w:rFonts w:ascii="Times New Roman" w:eastAsia="Times New Roman" w:hAnsi="Times New Roman"/>
          <w:snapToGrid w:val="0"/>
        </w:rPr>
        <w:t>aisingumui</w:t>
      </w:r>
      <w:r w:rsidRPr="00037DA8">
        <w:rPr>
          <w:rFonts w:ascii="Times New Roman" w:eastAsia="Times New Roman" w:hAnsi="Times New Roman"/>
          <w:snapToGrid w:val="0"/>
        </w:rPr>
        <w:t xml:space="preserve">, poveikio vyrų vaisingumui </w:t>
      </w:r>
      <w:r w:rsidR="0042038C" w:rsidRPr="00037DA8">
        <w:rPr>
          <w:rFonts w:ascii="Times New Roman" w:eastAsia="Times New Roman" w:hAnsi="Times New Roman"/>
          <w:snapToGrid w:val="0"/>
        </w:rPr>
        <w:t>paneigti</w:t>
      </w:r>
      <w:r w:rsidRPr="00037DA8">
        <w:rPr>
          <w:rFonts w:ascii="Times New Roman" w:eastAsia="Times New Roman" w:hAnsi="Times New Roman"/>
          <w:snapToGrid w:val="0"/>
        </w:rPr>
        <w:t xml:space="preserve"> negalima.</w:t>
      </w:r>
    </w:p>
    <w:p w14:paraId="774F2EF4" w14:textId="341DB005" w:rsidR="0042038C" w:rsidRPr="00037DA8" w:rsidRDefault="0042038C" w:rsidP="0042038C">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Kabazitakseliu</w:t>
      </w:r>
      <w:proofErr w:type="spellEnd"/>
      <w:r w:rsidRPr="00037DA8">
        <w:rPr>
          <w:rFonts w:ascii="Times New Roman" w:eastAsia="Times New Roman" w:hAnsi="Times New Roman"/>
          <w:snapToGrid w:val="0"/>
        </w:rPr>
        <w:t xml:space="preserve"> gydomiems vyrams patariama prieš pradedant gydymą pasi</w:t>
      </w:r>
      <w:r w:rsidR="009A1511" w:rsidRPr="00037DA8">
        <w:rPr>
          <w:rFonts w:ascii="Times New Roman" w:eastAsia="Times New Roman" w:hAnsi="Times New Roman"/>
          <w:snapToGrid w:val="0"/>
        </w:rPr>
        <w:t>konsultuoti</w:t>
      </w:r>
      <w:r w:rsidRPr="00037DA8">
        <w:rPr>
          <w:rFonts w:ascii="Times New Roman" w:eastAsia="Times New Roman" w:hAnsi="Times New Roman"/>
          <w:snapToGrid w:val="0"/>
        </w:rPr>
        <w:t xml:space="preserve"> dėl spermos </w:t>
      </w:r>
      <w:r w:rsidR="009A1511" w:rsidRPr="00037DA8">
        <w:rPr>
          <w:rFonts w:ascii="Times New Roman" w:eastAsia="Times New Roman" w:hAnsi="Times New Roman"/>
          <w:snapToGrid w:val="0"/>
        </w:rPr>
        <w:t>konservavimo</w:t>
      </w:r>
      <w:r w:rsidRPr="00037DA8">
        <w:rPr>
          <w:rFonts w:ascii="Times New Roman" w:eastAsia="Times New Roman" w:hAnsi="Times New Roman"/>
          <w:snapToGrid w:val="0"/>
        </w:rPr>
        <w:t>.</w:t>
      </w:r>
    </w:p>
    <w:p w14:paraId="33C93AA1" w14:textId="77777777" w:rsidR="0042038C" w:rsidRPr="00037DA8" w:rsidRDefault="0042038C" w:rsidP="0042038C">
      <w:pPr>
        <w:tabs>
          <w:tab w:val="left" w:pos="567"/>
        </w:tabs>
        <w:spacing w:after="0" w:line="260" w:lineRule="exact"/>
        <w:rPr>
          <w:rFonts w:ascii="Times New Roman" w:eastAsia="Times New Roman" w:hAnsi="Times New Roman"/>
          <w:snapToGrid w:val="0"/>
        </w:rPr>
      </w:pPr>
    </w:p>
    <w:p w14:paraId="49DB1338" w14:textId="77777777" w:rsidR="0042038C" w:rsidRPr="00037DA8" w:rsidRDefault="0042038C" w:rsidP="0042038C">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4.7</w:t>
      </w:r>
      <w:r w:rsidRPr="00037DA8">
        <w:rPr>
          <w:rFonts w:ascii="Times New Roman" w:eastAsia="Times New Roman" w:hAnsi="Times New Roman"/>
          <w:b/>
          <w:bCs/>
          <w:snapToGrid w:val="0"/>
        </w:rPr>
        <w:tab/>
        <w:t>Poveikis gebėjimui vairuoti ir valdyti mechanizmus</w:t>
      </w:r>
    </w:p>
    <w:p w14:paraId="747D3849" w14:textId="77777777" w:rsidR="0042038C" w:rsidRPr="00037DA8" w:rsidRDefault="0042038C" w:rsidP="0042038C">
      <w:pPr>
        <w:tabs>
          <w:tab w:val="left" w:pos="567"/>
        </w:tabs>
        <w:spacing w:after="0" w:line="260" w:lineRule="exact"/>
        <w:rPr>
          <w:rFonts w:ascii="Times New Roman" w:eastAsia="Times New Roman" w:hAnsi="Times New Roman"/>
          <w:snapToGrid w:val="0"/>
        </w:rPr>
      </w:pPr>
    </w:p>
    <w:p w14:paraId="02E54CC6" w14:textId="23D65183" w:rsidR="0042038C" w:rsidRPr="00037DA8" w:rsidRDefault="0042038C" w:rsidP="0042038C">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xml:space="preserve"> </w:t>
      </w:r>
      <w:r w:rsidR="006729C4" w:rsidRPr="006729C4">
        <w:rPr>
          <w:rFonts w:ascii="Times New Roman" w:eastAsia="Times New Roman" w:hAnsi="Times New Roman"/>
          <w:snapToGrid w:val="0"/>
        </w:rPr>
        <w:t>gebėjimą vairuoti ir valdyti mechanizmus veikia vidutiniškai</w:t>
      </w:r>
      <w:r w:rsidRPr="00037DA8">
        <w:rPr>
          <w:rFonts w:ascii="Times New Roman" w:eastAsia="Times New Roman" w:hAnsi="Times New Roman"/>
          <w:snapToGrid w:val="0"/>
        </w:rPr>
        <w:t>, kadangi gali sukelti nuovargį ir</w:t>
      </w:r>
      <w:r w:rsidR="009A1511" w:rsidRPr="00037DA8">
        <w:rPr>
          <w:rFonts w:ascii="Times New Roman" w:eastAsia="Times New Roman" w:hAnsi="Times New Roman"/>
          <w:snapToGrid w:val="0"/>
        </w:rPr>
        <w:t xml:space="preserve"> </w:t>
      </w:r>
      <w:r w:rsidRPr="00037DA8">
        <w:rPr>
          <w:rFonts w:ascii="Times New Roman" w:eastAsia="Times New Roman" w:hAnsi="Times New Roman"/>
          <w:snapToGrid w:val="0"/>
        </w:rPr>
        <w:t>galvos svaigimą. Pacienta</w:t>
      </w:r>
      <w:r w:rsidR="009A1511" w:rsidRPr="00037DA8">
        <w:rPr>
          <w:rFonts w:ascii="Times New Roman" w:eastAsia="Times New Roman" w:hAnsi="Times New Roman"/>
          <w:snapToGrid w:val="0"/>
        </w:rPr>
        <w:t>i turi būti informuoti</w:t>
      </w:r>
      <w:r w:rsidRPr="00037DA8">
        <w:rPr>
          <w:rFonts w:ascii="Times New Roman" w:eastAsia="Times New Roman" w:hAnsi="Times New Roman"/>
          <w:snapToGrid w:val="0"/>
        </w:rPr>
        <w:t xml:space="preserve"> nevairuoti ir nevaldyti mechanizmų, jei</w:t>
      </w:r>
      <w:r w:rsidR="009A1511" w:rsidRPr="00037DA8">
        <w:rPr>
          <w:rFonts w:ascii="Times New Roman" w:eastAsia="Times New Roman" w:hAnsi="Times New Roman"/>
          <w:snapToGrid w:val="0"/>
        </w:rPr>
        <w:t>gu</w:t>
      </w:r>
      <w:r w:rsidRPr="00037DA8">
        <w:rPr>
          <w:rFonts w:ascii="Times New Roman" w:eastAsia="Times New Roman" w:hAnsi="Times New Roman"/>
          <w:snapToGrid w:val="0"/>
        </w:rPr>
        <w:t xml:space="preserve"> gydymo metu</w:t>
      </w:r>
      <w:r w:rsidR="009A1511" w:rsidRPr="00037DA8">
        <w:rPr>
          <w:rFonts w:ascii="Times New Roman" w:eastAsia="Times New Roman" w:hAnsi="Times New Roman"/>
          <w:snapToGrid w:val="0"/>
        </w:rPr>
        <w:t xml:space="preserve"> jiems pasireiškia</w:t>
      </w:r>
      <w:r w:rsidRPr="00037DA8">
        <w:rPr>
          <w:rFonts w:ascii="Times New Roman" w:eastAsia="Times New Roman" w:hAnsi="Times New Roman"/>
          <w:snapToGrid w:val="0"/>
        </w:rPr>
        <w:t xml:space="preserve"> minėtų reakcijų.</w:t>
      </w:r>
    </w:p>
    <w:p w14:paraId="31BEEBF9" w14:textId="77777777" w:rsidR="009A1511" w:rsidRPr="00037DA8" w:rsidRDefault="009A1511" w:rsidP="0042038C">
      <w:pPr>
        <w:tabs>
          <w:tab w:val="left" w:pos="567"/>
        </w:tabs>
        <w:spacing w:after="0" w:line="260" w:lineRule="exact"/>
        <w:rPr>
          <w:rFonts w:ascii="Times New Roman" w:eastAsia="Times New Roman" w:hAnsi="Times New Roman"/>
          <w:b/>
          <w:bCs/>
          <w:snapToGrid w:val="0"/>
        </w:rPr>
      </w:pPr>
    </w:p>
    <w:p w14:paraId="046F711A" w14:textId="77777777" w:rsidR="0042038C" w:rsidRPr="00037DA8" w:rsidRDefault="0042038C" w:rsidP="0042038C">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4.8</w:t>
      </w:r>
      <w:r w:rsidR="009A1511" w:rsidRPr="00037DA8">
        <w:rPr>
          <w:rFonts w:ascii="Times New Roman" w:eastAsia="Times New Roman" w:hAnsi="Times New Roman"/>
          <w:b/>
          <w:bCs/>
          <w:snapToGrid w:val="0"/>
        </w:rPr>
        <w:tab/>
      </w:r>
      <w:r w:rsidRPr="00037DA8">
        <w:rPr>
          <w:rFonts w:ascii="Times New Roman" w:eastAsia="Times New Roman" w:hAnsi="Times New Roman"/>
          <w:b/>
          <w:bCs/>
          <w:snapToGrid w:val="0"/>
        </w:rPr>
        <w:t>Nepageidaujamas poveikis</w:t>
      </w:r>
    </w:p>
    <w:p w14:paraId="42529B0E" w14:textId="77777777" w:rsidR="009A1511" w:rsidRPr="00037DA8" w:rsidRDefault="009A1511" w:rsidP="0042038C">
      <w:pPr>
        <w:tabs>
          <w:tab w:val="left" w:pos="567"/>
        </w:tabs>
        <w:spacing w:after="0" w:line="260" w:lineRule="exact"/>
        <w:rPr>
          <w:rFonts w:ascii="Times New Roman" w:eastAsia="Times New Roman" w:hAnsi="Times New Roman"/>
          <w:snapToGrid w:val="0"/>
        </w:rPr>
      </w:pPr>
    </w:p>
    <w:p w14:paraId="76135328" w14:textId="77777777" w:rsidR="0042038C" w:rsidRPr="00037DA8" w:rsidRDefault="0042038C" w:rsidP="0042038C">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 xml:space="preserve">Saugumo </w:t>
      </w:r>
      <w:r w:rsidR="009A1511" w:rsidRPr="00037DA8">
        <w:rPr>
          <w:rFonts w:ascii="Times New Roman" w:eastAsia="Times New Roman" w:hAnsi="Times New Roman"/>
          <w:snapToGrid w:val="0"/>
          <w:u w:val="single"/>
        </w:rPr>
        <w:t>duomenų santrauka</w:t>
      </w:r>
    </w:p>
    <w:p w14:paraId="5E6A1506" w14:textId="71F6903F" w:rsidR="0042038C" w:rsidRPr="00037DA8" w:rsidRDefault="00F159B6" w:rsidP="0042038C">
      <w:pPr>
        <w:tabs>
          <w:tab w:val="left" w:pos="567"/>
        </w:tabs>
        <w:spacing w:after="0" w:line="260" w:lineRule="exact"/>
        <w:rPr>
          <w:rFonts w:ascii="Times New Roman" w:eastAsia="Times New Roman" w:hAnsi="Times New Roman"/>
          <w:snapToGrid w:val="0"/>
        </w:rPr>
      </w:pPr>
      <w:proofErr w:type="spellStart"/>
      <w:r>
        <w:rPr>
          <w:rFonts w:ascii="Times New Roman" w:eastAsia="Times New Roman" w:hAnsi="Times New Roman"/>
          <w:snapToGrid w:val="0"/>
        </w:rPr>
        <w:t>Kabazitakselio</w:t>
      </w:r>
      <w:proofErr w:type="spellEnd"/>
      <w:r w:rsidR="009A1511" w:rsidRPr="00F159B6">
        <w:rPr>
          <w:rFonts w:ascii="Times New Roman" w:eastAsia="Times New Roman" w:hAnsi="Times New Roman"/>
          <w:snapToGrid w:val="0"/>
        </w:rPr>
        <w:t xml:space="preserve"> derinyje su</w:t>
      </w:r>
      <w:r w:rsidR="0042038C" w:rsidRPr="00F159B6">
        <w:rPr>
          <w:rFonts w:ascii="Times New Roman" w:eastAsia="Times New Roman" w:hAnsi="Times New Roman"/>
          <w:snapToGrid w:val="0"/>
        </w:rPr>
        <w:t xml:space="preserve"> prednizonu ar prednizolonu saugumas </w:t>
      </w:r>
      <w:r w:rsidR="009A1511" w:rsidRPr="00F159B6">
        <w:rPr>
          <w:rFonts w:ascii="Times New Roman" w:eastAsia="Times New Roman" w:hAnsi="Times New Roman"/>
          <w:snapToGrid w:val="0"/>
        </w:rPr>
        <w:t>buvo į</w:t>
      </w:r>
      <w:r w:rsidR="0042038C" w:rsidRPr="00F159B6">
        <w:rPr>
          <w:rFonts w:ascii="Times New Roman" w:eastAsia="Times New Roman" w:hAnsi="Times New Roman"/>
          <w:snapToGrid w:val="0"/>
        </w:rPr>
        <w:t xml:space="preserve">vertintas </w:t>
      </w:r>
      <w:r w:rsidR="000A2DA2">
        <w:rPr>
          <w:rFonts w:ascii="Times New Roman" w:eastAsia="Times New Roman" w:hAnsi="Times New Roman"/>
          <w:snapToGrid w:val="0"/>
        </w:rPr>
        <w:t xml:space="preserve">3 </w:t>
      </w:r>
      <w:r w:rsidR="0042038C" w:rsidRPr="00F159B6">
        <w:rPr>
          <w:rFonts w:ascii="Times New Roman" w:eastAsia="Times New Roman" w:hAnsi="Times New Roman"/>
          <w:snapToGrid w:val="0"/>
        </w:rPr>
        <w:t>atsitiktinių imčių</w:t>
      </w:r>
      <w:r w:rsidR="009A1511" w:rsidRPr="00F159B6">
        <w:rPr>
          <w:rFonts w:ascii="Times New Roman" w:eastAsia="Times New Roman" w:hAnsi="Times New Roman"/>
          <w:snapToGrid w:val="0"/>
        </w:rPr>
        <w:t>,</w:t>
      </w:r>
      <w:r w:rsidR="0042038C" w:rsidRPr="00F159B6">
        <w:rPr>
          <w:rFonts w:ascii="Times New Roman" w:eastAsia="Times New Roman" w:hAnsi="Times New Roman"/>
          <w:snapToGrid w:val="0"/>
        </w:rPr>
        <w:t xml:space="preserve"> </w:t>
      </w:r>
      <w:r w:rsidR="000A2DA2" w:rsidRPr="00F159B6">
        <w:rPr>
          <w:rFonts w:ascii="Times New Roman" w:eastAsia="Times New Roman" w:hAnsi="Times New Roman"/>
          <w:snapToGrid w:val="0"/>
        </w:rPr>
        <w:t>atvir</w:t>
      </w:r>
      <w:r w:rsidR="000A2DA2">
        <w:rPr>
          <w:rFonts w:ascii="Times New Roman" w:eastAsia="Times New Roman" w:hAnsi="Times New Roman"/>
          <w:snapToGrid w:val="0"/>
        </w:rPr>
        <w:t>uose</w:t>
      </w:r>
      <w:r w:rsidR="009A1511" w:rsidRPr="00F159B6">
        <w:rPr>
          <w:rFonts w:ascii="Times New Roman" w:eastAsia="Times New Roman" w:hAnsi="Times New Roman"/>
          <w:snapToGrid w:val="0"/>
        </w:rPr>
        <w:t xml:space="preserve">, </w:t>
      </w:r>
      <w:r w:rsidR="000A2DA2" w:rsidRPr="00F159B6">
        <w:rPr>
          <w:rFonts w:ascii="Times New Roman" w:eastAsia="Times New Roman" w:hAnsi="Times New Roman"/>
          <w:snapToGrid w:val="0"/>
        </w:rPr>
        <w:t>kontroliuojam</w:t>
      </w:r>
      <w:r w:rsidR="000A2DA2">
        <w:rPr>
          <w:rFonts w:ascii="Times New Roman" w:eastAsia="Times New Roman" w:hAnsi="Times New Roman"/>
          <w:snapToGrid w:val="0"/>
        </w:rPr>
        <w:t>uose</w:t>
      </w:r>
      <w:r w:rsidR="000A2DA2" w:rsidRPr="00F159B6">
        <w:rPr>
          <w:rFonts w:ascii="Times New Roman" w:eastAsia="Times New Roman" w:hAnsi="Times New Roman"/>
          <w:snapToGrid w:val="0"/>
        </w:rPr>
        <w:t xml:space="preserve"> </w:t>
      </w:r>
      <w:r w:rsidR="0042038C" w:rsidRPr="00F159B6">
        <w:rPr>
          <w:rFonts w:ascii="Times New Roman" w:eastAsia="Times New Roman" w:hAnsi="Times New Roman"/>
          <w:snapToGrid w:val="0"/>
        </w:rPr>
        <w:t>III</w:t>
      </w:r>
      <w:r w:rsidR="00C23E30">
        <w:rPr>
          <w:rFonts w:ascii="Times New Roman" w:eastAsia="Times New Roman" w:hAnsi="Times New Roman"/>
          <w:snapToGrid w:val="0"/>
        </w:rPr>
        <w:t> </w:t>
      </w:r>
      <w:r w:rsidR="0042038C" w:rsidRPr="00F159B6">
        <w:rPr>
          <w:rFonts w:ascii="Times New Roman" w:eastAsia="Times New Roman" w:hAnsi="Times New Roman"/>
          <w:snapToGrid w:val="0"/>
        </w:rPr>
        <w:t xml:space="preserve">fazės </w:t>
      </w:r>
      <w:r w:rsidR="000A2DA2" w:rsidRPr="00F159B6">
        <w:rPr>
          <w:rFonts w:ascii="Times New Roman" w:eastAsia="Times New Roman" w:hAnsi="Times New Roman"/>
          <w:snapToGrid w:val="0"/>
        </w:rPr>
        <w:t>tyrim</w:t>
      </w:r>
      <w:r w:rsidR="000A2DA2">
        <w:rPr>
          <w:rFonts w:ascii="Times New Roman" w:eastAsia="Times New Roman" w:hAnsi="Times New Roman"/>
          <w:snapToGrid w:val="0"/>
        </w:rPr>
        <w:t>uose</w:t>
      </w:r>
      <w:r w:rsidR="003C132B" w:rsidRPr="003C132B">
        <w:t xml:space="preserve"> </w:t>
      </w:r>
      <w:r w:rsidR="003C132B">
        <w:t>(</w:t>
      </w:r>
      <w:r w:rsidR="003C132B" w:rsidRPr="002642B8">
        <w:rPr>
          <w:rFonts w:ascii="Times New Roman" w:eastAsia="Times New Roman" w:hAnsi="Times New Roman"/>
          <w:i/>
          <w:iCs/>
          <w:snapToGrid w:val="0"/>
        </w:rPr>
        <w:t>TROPIC</w:t>
      </w:r>
      <w:r w:rsidR="003C132B" w:rsidRPr="003C132B">
        <w:rPr>
          <w:rFonts w:ascii="Times New Roman" w:eastAsia="Times New Roman" w:hAnsi="Times New Roman"/>
          <w:snapToGrid w:val="0"/>
        </w:rPr>
        <w:t xml:space="preserve">, </w:t>
      </w:r>
      <w:r w:rsidR="003C132B" w:rsidRPr="002642B8">
        <w:rPr>
          <w:rFonts w:ascii="Times New Roman" w:eastAsia="Times New Roman" w:hAnsi="Times New Roman"/>
          <w:i/>
          <w:iCs/>
          <w:snapToGrid w:val="0"/>
        </w:rPr>
        <w:t>PROSELICA</w:t>
      </w:r>
      <w:r w:rsidR="003C132B" w:rsidRPr="003C132B">
        <w:rPr>
          <w:rFonts w:ascii="Times New Roman" w:eastAsia="Times New Roman" w:hAnsi="Times New Roman"/>
          <w:snapToGrid w:val="0"/>
        </w:rPr>
        <w:t xml:space="preserve"> ir </w:t>
      </w:r>
      <w:r w:rsidR="003C132B" w:rsidRPr="002642B8">
        <w:rPr>
          <w:rFonts w:ascii="Times New Roman" w:eastAsia="Times New Roman" w:hAnsi="Times New Roman"/>
          <w:i/>
          <w:iCs/>
          <w:snapToGrid w:val="0"/>
        </w:rPr>
        <w:t>CARD</w:t>
      </w:r>
      <w:r w:rsidR="003C132B" w:rsidRPr="003C132B">
        <w:rPr>
          <w:rFonts w:ascii="Times New Roman" w:eastAsia="Times New Roman" w:hAnsi="Times New Roman"/>
          <w:snapToGrid w:val="0"/>
        </w:rPr>
        <w:t>)</w:t>
      </w:r>
      <w:r w:rsidR="0042038C" w:rsidRPr="00F159B6">
        <w:rPr>
          <w:rFonts w:ascii="Times New Roman" w:eastAsia="Times New Roman" w:hAnsi="Times New Roman"/>
          <w:snapToGrid w:val="0"/>
        </w:rPr>
        <w:t xml:space="preserve">, </w:t>
      </w:r>
      <w:r w:rsidR="003C132B" w:rsidRPr="00F159B6">
        <w:rPr>
          <w:rFonts w:ascii="Times New Roman" w:eastAsia="Times New Roman" w:hAnsi="Times New Roman"/>
          <w:snapToGrid w:val="0"/>
        </w:rPr>
        <w:t>kuri</w:t>
      </w:r>
      <w:r w:rsidR="003C132B">
        <w:rPr>
          <w:rFonts w:ascii="Times New Roman" w:eastAsia="Times New Roman" w:hAnsi="Times New Roman"/>
          <w:snapToGrid w:val="0"/>
        </w:rPr>
        <w:t>uose</w:t>
      </w:r>
      <w:r w:rsidR="003C132B" w:rsidRPr="00F159B6">
        <w:rPr>
          <w:rFonts w:ascii="Times New Roman" w:eastAsia="Times New Roman" w:hAnsi="Times New Roman"/>
          <w:snapToGrid w:val="0"/>
        </w:rPr>
        <w:t xml:space="preserve"> </w:t>
      </w:r>
      <w:r w:rsidR="0014077B" w:rsidRPr="00F159B6">
        <w:rPr>
          <w:rFonts w:ascii="Times New Roman" w:eastAsia="Times New Roman" w:hAnsi="Times New Roman"/>
          <w:snapToGrid w:val="0"/>
        </w:rPr>
        <w:t>dalyvav</w:t>
      </w:r>
      <w:r w:rsidR="0014077B">
        <w:rPr>
          <w:rFonts w:ascii="Times New Roman" w:eastAsia="Times New Roman" w:hAnsi="Times New Roman"/>
          <w:snapToGrid w:val="0"/>
        </w:rPr>
        <w:t>usieji</w:t>
      </w:r>
      <w:r w:rsidR="0014077B" w:rsidRPr="00F159B6">
        <w:rPr>
          <w:rFonts w:ascii="Times New Roman" w:eastAsia="Times New Roman" w:hAnsi="Times New Roman"/>
          <w:snapToGrid w:val="0"/>
        </w:rPr>
        <w:t xml:space="preserve"> </w:t>
      </w:r>
      <w:r w:rsidR="0014077B">
        <w:rPr>
          <w:rFonts w:ascii="Times New Roman" w:eastAsia="Times New Roman" w:hAnsi="Times New Roman"/>
          <w:snapToGrid w:val="0"/>
        </w:rPr>
        <w:t>1</w:t>
      </w:r>
      <w:r w:rsidR="00C23E30">
        <w:rPr>
          <w:rFonts w:ascii="Times New Roman" w:eastAsia="Times New Roman" w:hAnsi="Times New Roman"/>
          <w:snapToGrid w:val="0"/>
        </w:rPr>
        <w:t> </w:t>
      </w:r>
      <w:r w:rsidR="0014077B">
        <w:rPr>
          <w:rFonts w:ascii="Times New Roman" w:eastAsia="Times New Roman" w:hAnsi="Times New Roman"/>
          <w:snapToGrid w:val="0"/>
        </w:rPr>
        <w:t>092</w:t>
      </w:r>
      <w:r w:rsidR="0042038C" w:rsidRPr="00F159B6">
        <w:rPr>
          <w:rFonts w:ascii="Times New Roman" w:eastAsia="Times New Roman" w:hAnsi="Times New Roman"/>
          <w:snapToGrid w:val="0"/>
        </w:rPr>
        <w:t xml:space="preserve"> </w:t>
      </w:r>
      <w:r w:rsidR="0014077B" w:rsidRPr="00F159B6">
        <w:rPr>
          <w:rFonts w:ascii="Times New Roman" w:eastAsia="Times New Roman" w:hAnsi="Times New Roman"/>
          <w:snapToGrid w:val="0"/>
        </w:rPr>
        <w:t>pacienta</w:t>
      </w:r>
      <w:r w:rsidR="0014077B">
        <w:rPr>
          <w:rFonts w:ascii="Times New Roman" w:eastAsia="Times New Roman" w:hAnsi="Times New Roman"/>
          <w:snapToGrid w:val="0"/>
        </w:rPr>
        <w:t>i</w:t>
      </w:r>
      <w:r w:rsidR="0042038C" w:rsidRPr="00F159B6">
        <w:rPr>
          <w:rFonts w:ascii="Times New Roman" w:eastAsia="Times New Roman" w:hAnsi="Times New Roman"/>
          <w:snapToGrid w:val="0"/>
        </w:rPr>
        <w:t xml:space="preserve">, </w:t>
      </w:r>
      <w:r w:rsidR="0014077B" w:rsidRPr="00F159B6">
        <w:rPr>
          <w:rFonts w:ascii="Times New Roman" w:eastAsia="Times New Roman" w:hAnsi="Times New Roman"/>
          <w:snapToGrid w:val="0"/>
        </w:rPr>
        <w:t>sergant</w:t>
      </w:r>
      <w:r w:rsidR="0014077B">
        <w:rPr>
          <w:rFonts w:ascii="Times New Roman" w:eastAsia="Times New Roman" w:hAnsi="Times New Roman"/>
          <w:snapToGrid w:val="0"/>
        </w:rPr>
        <w:t>y</w:t>
      </w:r>
      <w:r w:rsidR="0014077B" w:rsidRPr="00F159B6">
        <w:rPr>
          <w:rFonts w:ascii="Times New Roman" w:eastAsia="Times New Roman" w:hAnsi="Times New Roman"/>
          <w:snapToGrid w:val="0"/>
        </w:rPr>
        <w:t xml:space="preserve">s </w:t>
      </w:r>
      <w:r w:rsidR="0042038C" w:rsidRPr="00F159B6">
        <w:rPr>
          <w:rFonts w:ascii="Times New Roman" w:eastAsia="Times New Roman" w:hAnsi="Times New Roman"/>
          <w:snapToGrid w:val="0"/>
        </w:rPr>
        <w:t>į kastraciją ner</w:t>
      </w:r>
      <w:r w:rsidR="0042038C" w:rsidRPr="0085406C">
        <w:rPr>
          <w:rFonts w:ascii="Times New Roman" w:eastAsia="Times New Roman" w:hAnsi="Times New Roman"/>
          <w:snapToGrid w:val="0"/>
        </w:rPr>
        <w:t>eaguojančiu</w:t>
      </w:r>
      <w:r w:rsidR="009A1511" w:rsidRPr="0085406C">
        <w:rPr>
          <w:rFonts w:ascii="Times New Roman" w:eastAsia="Times New Roman" w:hAnsi="Times New Roman"/>
          <w:snapToGrid w:val="0"/>
        </w:rPr>
        <w:t xml:space="preserve"> </w:t>
      </w:r>
      <w:proofErr w:type="spellStart"/>
      <w:r w:rsidR="0042038C" w:rsidRPr="004200DB">
        <w:rPr>
          <w:rFonts w:ascii="Times New Roman" w:eastAsia="Times New Roman" w:hAnsi="Times New Roman"/>
          <w:snapToGrid w:val="0"/>
        </w:rPr>
        <w:t>metastazavusiu</w:t>
      </w:r>
      <w:proofErr w:type="spellEnd"/>
      <w:r w:rsidR="0042038C" w:rsidRPr="004200DB">
        <w:rPr>
          <w:rFonts w:ascii="Times New Roman" w:eastAsia="Times New Roman" w:hAnsi="Times New Roman"/>
          <w:snapToGrid w:val="0"/>
        </w:rPr>
        <w:t xml:space="preserve"> prostatos vėžiu, kartą kas tris savaites vartojo 25</w:t>
      </w:r>
      <w:r w:rsidR="009A1511" w:rsidRPr="004200DB">
        <w:rPr>
          <w:rFonts w:ascii="Times New Roman" w:eastAsia="Times New Roman" w:hAnsi="Times New Roman"/>
          <w:snapToGrid w:val="0"/>
        </w:rPr>
        <w:t> </w:t>
      </w:r>
      <w:r w:rsidR="0042038C" w:rsidRPr="004200DB">
        <w:rPr>
          <w:rFonts w:ascii="Times New Roman" w:eastAsia="Times New Roman" w:hAnsi="Times New Roman"/>
          <w:snapToGrid w:val="0"/>
        </w:rPr>
        <w:t>mg/m</w:t>
      </w:r>
      <w:r w:rsidR="0042038C" w:rsidRPr="00037DA8">
        <w:rPr>
          <w:rFonts w:ascii="Times New Roman" w:eastAsia="Times New Roman" w:hAnsi="Times New Roman"/>
          <w:snapToGrid w:val="0"/>
          <w:vertAlign w:val="superscript"/>
        </w:rPr>
        <w:t>2</w:t>
      </w:r>
      <w:r w:rsidR="0042038C" w:rsidRPr="00037DA8">
        <w:rPr>
          <w:rFonts w:ascii="Times New Roman" w:eastAsia="Times New Roman" w:hAnsi="Times New Roman"/>
          <w:snapToGrid w:val="0"/>
        </w:rPr>
        <w:t xml:space="preserve"> </w:t>
      </w:r>
      <w:proofErr w:type="spellStart"/>
      <w:r w:rsidR="0042038C" w:rsidRPr="00037DA8">
        <w:rPr>
          <w:rFonts w:ascii="Times New Roman" w:eastAsia="Times New Roman" w:hAnsi="Times New Roman"/>
          <w:snapToGrid w:val="0"/>
        </w:rPr>
        <w:t>kabazitakselio</w:t>
      </w:r>
      <w:proofErr w:type="spellEnd"/>
      <w:r w:rsidR="0042038C" w:rsidRPr="00037DA8">
        <w:rPr>
          <w:rFonts w:ascii="Times New Roman" w:eastAsia="Times New Roman" w:hAnsi="Times New Roman"/>
          <w:snapToGrid w:val="0"/>
        </w:rPr>
        <w:t>.</w:t>
      </w:r>
      <w:r w:rsidR="009A1511" w:rsidRPr="00037DA8">
        <w:rPr>
          <w:rFonts w:ascii="Times New Roman" w:eastAsia="Times New Roman" w:hAnsi="Times New Roman"/>
          <w:snapToGrid w:val="0"/>
        </w:rPr>
        <w:t xml:space="preserve"> </w:t>
      </w:r>
      <w:r w:rsidR="0042038C" w:rsidRPr="00037DA8">
        <w:rPr>
          <w:rFonts w:ascii="Times New Roman" w:eastAsia="Times New Roman" w:hAnsi="Times New Roman"/>
          <w:snapToGrid w:val="0"/>
        </w:rPr>
        <w:t>Pacientams taikyt</w:t>
      </w:r>
      <w:r w:rsidR="00F9600C" w:rsidRPr="00037DA8">
        <w:rPr>
          <w:rFonts w:ascii="Times New Roman" w:eastAsia="Times New Roman" w:hAnsi="Times New Roman"/>
          <w:snapToGrid w:val="0"/>
        </w:rPr>
        <w:t>o</w:t>
      </w:r>
      <w:r w:rsidR="0042038C" w:rsidRPr="00037DA8">
        <w:rPr>
          <w:rFonts w:ascii="Times New Roman" w:eastAsia="Times New Roman" w:hAnsi="Times New Roman"/>
          <w:snapToGrid w:val="0"/>
        </w:rPr>
        <w:t xml:space="preserve"> gydymo </w:t>
      </w:r>
      <w:r w:rsidR="00F9600C" w:rsidRPr="00037DA8">
        <w:rPr>
          <w:rFonts w:ascii="Times New Roman" w:eastAsia="Times New Roman" w:hAnsi="Times New Roman"/>
          <w:snapToGrid w:val="0"/>
        </w:rPr>
        <w:t xml:space="preserve">trukmės mediana buvo 6 </w:t>
      </w:r>
      <w:r w:rsidR="0014077B">
        <w:rPr>
          <w:rFonts w:ascii="Times New Roman" w:eastAsia="Times New Roman" w:hAnsi="Times New Roman"/>
          <w:snapToGrid w:val="0"/>
        </w:rPr>
        <w:t xml:space="preserve">ar 7 </w:t>
      </w:r>
      <w:r w:rsidR="00F9600C" w:rsidRPr="00037DA8">
        <w:rPr>
          <w:rFonts w:ascii="Times New Roman" w:eastAsia="Times New Roman" w:hAnsi="Times New Roman"/>
          <w:snapToGrid w:val="0"/>
        </w:rPr>
        <w:t xml:space="preserve">gydymo </w:t>
      </w:r>
      <w:proofErr w:type="spellStart"/>
      <w:r w:rsidR="0042038C" w:rsidRPr="00037DA8">
        <w:rPr>
          <w:rFonts w:ascii="Times New Roman" w:eastAsia="Times New Roman" w:hAnsi="Times New Roman"/>
          <w:snapToGrid w:val="0"/>
        </w:rPr>
        <w:t>kabazitakseliu</w:t>
      </w:r>
      <w:proofErr w:type="spellEnd"/>
      <w:r w:rsidR="0042038C" w:rsidRPr="00037DA8">
        <w:rPr>
          <w:rFonts w:ascii="Times New Roman" w:eastAsia="Times New Roman" w:hAnsi="Times New Roman"/>
          <w:snapToGrid w:val="0"/>
        </w:rPr>
        <w:t xml:space="preserve"> kurs</w:t>
      </w:r>
      <w:r w:rsidR="00F9600C" w:rsidRPr="00037DA8">
        <w:rPr>
          <w:rFonts w:ascii="Times New Roman" w:eastAsia="Times New Roman" w:hAnsi="Times New Roman"/>
          <w:snapToGrid w:val="0"/>
        </w:rPr>
        <w:t>ai.</w:t>
      </w:r>
    </w:p>
    <w:p w14:paraId="26B56BCF" w14:textId="77777777" w:rsidR="00F9600C" w:rsidRPr="00037DA8" w:rsidRDefault="00F9600C" w:rsidP="0042038C">
      <w:pPr>
        <w:tabs>
          <w:tab w:val="left" w:pos="567"/>
        </w:tabs>
        <w:spacing w:after="0" w:line="260" w:lineRule="exact"/>
        <w:rPr>
          <w:rFonts w:ascii="Times New Roman" w:eastAsia="Times New Roman" w:hAnsi="Times New Roman"/>
          <w:snapToGrid w:val="0"/>
        </w:rPr>
      </w:pPr>
    </w:p>
    <w:p w14:paraId="20D9E053" w14:textId="77777777" w:rsidR="004F7C98" w:rsidRPr="004F7C98" w:rsidRDefault="004F7C98" w:rsidP="004F7C98">
      <w:pPr>
        <w:tabs>
          <w:tab w:val="left" w:pos="567"/>
        </w:tabs>
        <w:spacing w:after="0" w:line="260" w:lineRule="exact"/>
        <w:rPr>
          <w:rFonts w:ascii="Times New Roman" w:eastAsia="Times New Roman" w:hAnsi="Times New Roman"/>
          <w:snapToGrid w:val="0"/>
        </w:rPr>
      </w:pPr>
      <w:r w:rsidRPr="004F7C98">
        <w:rPr>
          <w:rFonts w:ascii="Times New Roman" w:eastAsia="Times New Roman" w:hAnsi="Times New Roman"/>
          <w:snapToGrid w:val="0"/>
        </w:rPr>
        <w:t>Šių 3 tyrimų apibendrintos analizės metu nustatytas dažnis yra nurodomas toliau lentelės forma.</w:t>
      </w:r>
    </w:p>
    <w:p w14:paraId="617FA0D9" w14:textId="77777777" w:rsidR="004F7C98" w:rsidRPr="004F7C98" w:rsidRDefault="004F7C98" w:rsidP="004F7C98">
      <w:pPr>
        <w:tabs>
          <w:tab w:val="left" w:pos="567"/>
        </w:tabs>
        <w:spacing w:after="0" w:line="260" w:lineRule="exact"/>
        <w:rPr>
          <w:rFonts w:ascii="Times New Roman" w:eastAsia="Times New Roman" w:hAnsi="Times New Roman"/>
          <w:snapToGrid w:val="0"/>
        </w:rPr>
      </w:pPr>
    </w:p>
    <w:p w14:paraId="18F5BBDE" w14:textId="0C01F439" w:rsidR="0042038C" w:rsidRPr="00F159B6" w:rsidRDefault="004F7C98" w:rsidP="004F7C98">
      <w:pPr>
        <w:tabs>
          <w:tab w:val="left" w:pos="567"/>
        </w:tabs>
        <w:spacing w:after="0" w:line="260" w:lineRule="exact"/>
        <w:rPr>
          <w:rFonts w:ascii="Times New Roman" w:eastAsia="Times New Roman" w:hAnsi="Times New Roman"/>
          <w:snapToGrid w:val="0"/>
        </w:rPr>
      </w:pPr>
      <w:r w:rsidRPr="004F7C98">
        <w:rPr>
          <w:rFonts w:ascii="Times New Roman" w:eastAsia="Times New Roman" w:hAnsi="Times New Roman"/>
          <w:snapToGrid w:val="0"/>
        </w:rPr>
        <w:t>Dažniausios visų laipsnių nepageidaujamos reakcijos buvo anemija (99,0</w:t>
      </w:r>
      <w:r w:rsidR="000A12FE">
        <w:rPr>
          <w:rFonts w:ascii="Times New Roman" w:eastAsia="Times New Roman" w:hAnsi="Times New Roman"/>
          <w:snapToGrid w:val="0"/>
        </w:rPr>
        <w:t> </w:t>
      </w:r>
      <w:r w:rsidRPr="004F7C98">
        <w:rPr>
          <w:rFonts w:ascii="Times New Roman" w:eastAsia="Times New Roman" w:hAnsi="Times New Roman"/>
          <w:snapToGrid w:val="0"/>
        </w:rPr>
        <w:t xml:space="preserve">%), </w:t>
      </w:r>
      <w:proofErr w:type="spellStart"/>
      <w:r w:rsidRPr="004F7C98">
        <w:rPr>
          <w:rFonts w:ascii="Times New Roman" w:eastAsia="Times New Roman" w:hAnsi="Times New Roman"/>
          <w:snapToGrid w:val="0"/>
        </w:rPr>
        <w:t>leukopenija</w:t>
      </w:r>
      <w:proofErr w:type="spellEnd"/>
      <w:r w:rsidRPr="004F7C98">
        <w:rPr>
          <w:rFonts w:ascii="Times New Roman" w:eastAsia="Times New Roman" w:hAnsi="Times New Roman"/>
          <w:snapToGrid w:val="0"/>
        </w:rPr>
        <w:t xml:space="preserve"> (93,0</w:t>
      </w:r>
      <w:r w:rsidR="000A12FE">
        <w:rPr>
          <w:rFonts w:ascii="Times New Roman" w:eastAsia="Times New Roman" w:hAnsi="Times New Roman"/>
          <w:snapToGrid w:val="0"/>
        </w:rPr>
        <w:t> </w:t>
      </w:r>
      <w:r w:rsidRPr="004F7C98">
        <w:rPr>
          <w:rFonts w:ascii="Times New Roman" w:eastAsia="Times New Roman" w:hAnsi="Times New Roman"/>
          <w:snapToGrid w:val="0"/>
        </w:rPr>
        <w:t xml:space="preserve">%), </w:t>
      </w:r>
      <w:proofErr w:type="spellStart"/>
      <w:r w:rsidRPr="004F7C98">
        <w:rPr>
          <w:rFonts w:ascii="Times New Roman" w:eastAsia="Times New Roman" w:hAnsi="Times New Roman"/>
          <w:snapToGrid w:val="0"/>
        </w:rPr>
        <w:t>neutropenija</w:t>
      </w:r>
      <w:proofErr w:type="spellEnd"/>
      <w:r w:rsidRPr="004F7C98">
        <w:rPr>
          <w:rFonts w:ascii="Times New Roman" w:eastAsia="Times New Roman" w:hAnsi="Times New Roman"/>
          <w:snapToGrid w:val="0"/>
        </w:rPr>
        <w:t xml:space="preserve"> (87,9</w:t>
      </w:r>
      <w:r w:rsidR="000A12FE">
        <w:rPr>
          <w:rFonts w:ascii="Times New Roman" w:eastAsia="Times New Roman" w:hAnsi="Times New Roman"/>
          <w:snapToGrid w:val="0"/>
        </w:rPr>
        <w:t> </w:t>
      </w:r>
      <w:r w:rsidRPr="004F7C98">
        <w:rPr>
          <w:rFonts w:ascii="Times New Roman" w:eastAsia="Times New Roman" w:hAnsi="Times New Roman"/>
          <w:snapToGrid w:val="0"/>
        </w:rPr>
        <w:t xml:space="preserve">%), </w:t>
      </w:r>
      <w:proofErr w:type="spellStart"/>
      <w:r w:rsidRPr="004F7C98">
        <w:rPr>
          <w:rFonts w:ascii="Times New Roman" w:eastAsia="Times New Roman" w:hAnsi="Times New Roman"/>
          <w:snapToGrid w:val="0"/>
        </w:rPr>
        <w:t>trombocitopenija</w:t>
      </w:r>
      <w:proofErr w:type="spellEnd"/>
      <w:r w:rsidRPr="004F7C98">
        <w:rPr>
          <w:rFonts w:ascii="Times New Roman" w:eastAsia="Times New Roman" w:hAnsi="Times New Roman"/>
          <w:snapToGrid w:val="0"/>
        </w:rPr>
        <w:t xml:space="preserve"> (41,1</w:t>
      </w:r>
      <w:r w:rsidR="000A12FE">
        <w:rPr>
          <w:rFonts w:ascii="Times New Roman" w:eastAsia="Times New Roman" w:hAnsi="Times New Roman"/>
          <w:snapToGrid w:val="0"/>
        </w:rPr>
        <w:t> </w:t>
      </w:r>
      <w:r w:rsidRPr="004F7C98">
        <w:rPr>
          <w:rFonts w:ascii="Times New Roman" w:eastAsia="Times New Roman" w:hAnsi="Times New Roman"/>
          <w:snapToGrid w:val="0"/>
        </w:rPr>
        <w:t>%), viduriavimas (42,1</w:t>
      </w:r>
      <w:r w:rsidR="000A12FE">
        <w:rPr>
          <w:rFonts w:ascii="Times New Roman" w:eastAsia="Times New Roman" w:hAnsi="Times New Roman"/>
          <w:snapToGrid w:val="0"/>
        </w:rPr>
        <w:t> </w:t>
      </w:r>
      <w:r w:rsidRPr="004F7C98">
        <w:rPr>
          <w:rFonts w:ascii="Times New Roman" w:eastAsia="Times New Roman" w:hAnsi="Times New Roman"/>
          <w:snapToGrid w:val="0"/>
        </w:rPr>
        <w:t>%), nuovargis (25,0</w:t>
      </w:r>
      <w:r w:rsidR="000A12FE">
        <w:rPr>
          <w:rFonts w:ascii="Times New Roman" w:eastAsia="Times New Roman" w:hAnsi="Times New Roman"/>
          <w:snapToGrid w:val="0"/>
        </w:rPr>
        <w:t> </w:t>
      </w:r>
      <w:r w:rsidRPr="004F7C98">
        <w:rPr>
          <w:rFonts w:ascii="Times New Roman" w:eastAsia="Times New Roman" w:hAnsi="Times New Roman"/>
          <w:snapToGrid w:val="0"/>
        </w:rPr>
        <w:t xml:space="preserve">%) ir </w:t>
      </w:r>
      <w:proofErr w:type="spellStart"/>
      <w:r w:rsidRPr="004F7C98">
        <w:rPr>
          <w:rFonts w:ascii="Times New Roman" w:eastAsia="Times New Roman" w:hAnsi="Times New Roman"/>
          <w:snapToGrid w:val="0"/>
        </w:rPr>
        <w:t>astenija</w:t>
      </w:r>
      <w:proofErr w:type="spellEnd"/>
      <w:r w:rsidRPr="004F7C98">
        <w:rPr>
          <w:rFonts w:ascii="Times New Roman" w:eastAsia="Times New Roman" w:hAnsi="Times New Roman"/>
          <w:snapToGrid w:val="0"/>
        </w:rPr>
        <w:t xml:space="preserve"> (15,4</w:t>
      </w:r>
      <w:r w:rsidR="000A12FE">
        <w:rPr>
          <w:rFonts w:ascii="Times New Roman" w:eastAsia="Times New Roman" w:hAnsi="Times New Roman"/>
          <w:snapToGrid w:val="0"/>
        </w:rPr>
        <w:t> </w:t>
      </w:r>
      <w:r w:rsidRPr="004F7C98">
        <w:rPr>
          <w:rFonts w:ascii="Times New Roman" w:eastAsia="Times New Roman" w:hAnsi="Times New Roman"/>
          <w:snapToGrid w:val="0"/>
        </w:rPr>
        <w:t>%). Dažniausios ≥</w:t>
      </w:r>
      <w:r w:rsidR="000A12FE">
        <w:rPr>
          <w:rFonts w:ascii="Times New Roman" w:eastAsia="Times New Roman" w:hAnsi="Times New Roman"/>
          <w:snapToGrid w:val="0"/>
        </w:rPr>
        <w:t> </w:t>
      </w:r>
      <w:r w:rsidRPr="004F7C98">
        <w:rPr>
          <w:rFonts w:ascii="Times New Roman" w:eastAsia="Times New Roman" w:hAnsi="Times New Roman"/>
          <w:snapToGrid w:val="0"/>
        </w:rPr>
        <w:t>3</w:t>
      </w:r>
      <w:r w:rsidR="000A12FE">
        <w:rPr>
          <w:rFonts w:ascii="Times New Roman" w:eastAsia="Times New Roman" w:hAnsi="Times New Roman"/>
          <w:snapToGrid w:val="0"/>
        </w:rPr>
        <w:t> </w:t>
      </w:r>
      <w:r w:rsidRPr="004F7C98">
        <w:rPr>
          <w:rFonts w:ascii="Times New Roman" w:eastAsia="Times New Roman" w:hAnsi="Times New Roman"/>
          <w:snapToGrid w:val="0"/>
        </w:rPr>
        <w:t>laipsnio nepageidaujamos reakcijos, pasireiškusios ne mažiau kaip 5</w:t>
      </w:r>
      <w:r w:rsidR="000A12FE">
        <w:rPr>
          <w:rFonts w:ascii="Times New Roman" w:eastAsia="Times New Roman" w:hAnsi="Times New Roman"/>
          <w:snapToGrid w:val="0"/>
        </w:rPr>
        <w:t> </w:t>
      </w:r>
      <w:r w:rsidRPr="004F7C98">
        <w:rPr>
          <w:rFonts w:ascii="Times New Roman" w:eastAsia="Times New Roman" w:hAnsi="Times New Roman"/>
          <w:snapToGrid w:val="0"/>
        </w:rPr>
        <w:t xml:space="preserve">% pacientų, buvo </w:t>
      </w:r>
      <w:proofErr w:type="spellStart"/>
      <w:r w:rsidRPr="004F7C98">
        <w:rPr>
          <w:rFonts w:ascii="Times New Roman" w:eastAsia="Times New Roman" w:hAnsi="Times New Roman"/>
          <w:snapToGrid w:val="0"/>
        </w:rPr>
        <w:t>neutropenija</w:t>
      </w:r>
      <w:proofErr w:type="spellEnd"/>
      <w:r w:rsidRPr="004F7C98">
        <w:rPr>
          <w:rFonts w:ascii="Times New Roman" w:eastAsia="Times New Roman" w:hAnsi="Times New Roman"/>
          <w:snapToGrid w:val="0"/>
        </w:rPr>
        <w:t xml:space="preserve"> (73,1</w:t>
      </w:r>
      <w:r w:rsidR="000A12FE">
        <w:rPr>
          <w:rFonts w:ascii="Times New Roman" w:eastAsia="Times New Roman" w:hAnsi="Times New Roman"/>
          <w:snapToGrid w:val="0"/>
        </w:rPr>
        <w:t> </w:t>
      </w:r>
      <w:r w:rsidRPr="004F7C98">
        <w:rPr>
          <w:rFonts w:ascii="Times New Roman" w:eastAsia="Times New Roman" w:hAnsi="Times New Roman"/>
          <w:snapToGrid w:val="0"/>
        </w:rPr>
        <w:t xml:space="preserve">%), </w:t>
      </w:r>
      <w:proofErr w:type="spellStart"/>
      <w:r w:rsidRPr="004F7C98">
        <w:rPr>
          <w:rFonts w:ascii="Times New Roman" w:eastAsia="Times New Roman" w:hAnsi="Times New Roman"/>
          <w:snapToGrid w:val="0"/>
        </w:rPr>
        <w:t>leukopenija</w:t>
      </w:r>
      <w:proofErr w:type="spellEnd"/>
      <w:r w:rsidRPr="004F7C98">
        <w:rPr>
          <w:rFonts w:ascii="Times New Roman" w:eastAsia="Times New Roman" w:hAnsi="Times New Roman"/>
          <w:snapToGrid w:val="0"/>
        </w:rPr>
        <w:t xml:space="preserve"> (59,5</w:t>
      </w:r>
      <w:r w:rsidR="000A12FE">
        <w:rPr>
          <w:rFonts w:ascii="Times New Roman" w:eastAsia="Times New Roman" w:hAnsi="Times New Roman"/>
          <w:snapToGrid w:val="0"/>
        </w:rPr>
        <w:t> </w:t>
      </w:r>
      <w:r w:rsidRPr="004F7C98">
        <w:rPr>
          <w:rFonts w:ascii="Times New Roman" w:eastAsia="Times New Roman" w:hAnsi="Times New Roman"/>
          <w:snapToGrid w:val="0"/>
        </w:rPr>
        <w:t>%), anemija (12,0</w:t>
      </w:r>
      <w:r w:rsidR="000A12FE">
        <w:rPr>
          <w:rFonts w:ascii="Times New Roman" w:eastAsia="Times New Roman" w:hAnsi="Times New Roman"/>
          <w:snapToGrid w:val="0"/>
        </w:rPr>
        <w:t> </w:t>
      </w:r>
      <w:r w:rsidRPr="004F7C98">
        <w:rPr>
          <w:rFonts w:ascii="Times New Roman" w:eastAsia="Times New Roman" w:hAnsi="Times New Roman"/>
          <w:snapToGrid w:val="0"/>
        </w:rPr>
        <w:t xml:space="preserve">%), </w:t>
      </w:r>
      <w:proofErr w:type="spellStart"/>
      <w:r w:rsidRPr="004F7C98">
        <w:rPr>
          <w:rFonts w:ascii="Times New Roman" w:eastAsia="Times New Roman" w:hAnsi="Times New Roman"/>
          <w:snapToGrid w:val="0"/>
        </w:rPr>
        <w:t>febrili</w:t>
      </w:r>
      <w:proofErr w:type="spellEnd"/>
      <w:r w:rsidRPr="004F7C98">
        <w:rPr>
          <w:rFonts w:ascii="Times New Roman" w:eastAsia="Times New Roman" w:hAnsi="Times New Roman"/>
          <w:snapToGrid w:val="0"/>
        </w:rPr>
        <w:t xml:space="preserve"> </w:t>
      </w:r>
      <w:proofErr w:type="spellStart"/>
      <w:r w:rsidRPr="004F7C98">
        <w:rPr>
          <w:rFonts w:ascii="Times New Roman" w:eastAsia="Times New Roman" w:hAnsi="Times New Roman"/>
          <w:snapToGrid w:val="0"/>
        </w:rPr>
        <w:t>neutropenija</w:t>
      </w:r>
      <w:proofErr w:type="spellEnd"/>
      <w:r w:rsidRPr="004F7C98">
        <w:rPr>
          <w:rFonts w:ascii="Times New Roman" w:eastAsia="Times New Roman" w:hAnsi="Times New Roman"/>
          <w:snapToGrid w:val="0"/>
        </w:rPr>
        <w:t xml:space="preserve"> (8,0</w:t>
      </w:r>
      <w:r w:rsidR="000A12FE">
        <w:rPr>
          <w:rFonts w:ascii="Times New Roman" w:eastAsia="Times New Roman" w:hAnsi="Times New Roman"/>
          <w:snapToGrid w:val="0"/>
        </w:rPr>
        <w:t> </w:t>
      </w:r>
      <w:r w:rsidRPr="004F7C98">
        <w:rPr>
          <w:rFonts w:ascii="Times New Roman" w:eastAsia="Times New Roman" w:hAnsi="Times New Roman"/>
          <w:snapToGrid w:val="0"/>
        </w:rPr>
        <w:t>%) ir viduriavimas (4,7</w:t>
      </w:r>
      <w:r w:rsidR="000A12FE">
        <w:rPr>
          <w:rFonts w:ascii="Times New Roman" w:eastAsia="Times New Roman" w:hAnsi="Times New Roman"/>
          <w:snapToGrid w:val="0"/>
        </w:rPr>
        <w:t> </w:t>
      </w:r>
      <w:r w:rsidRPr="004F7C98">
        <w:rPr>
          <w:rFonts w:ascii="Times New Roman" w:eastAsia="Times New Roman" w:hAnsi="Times New Roman"/>
          <w:snapToGrid w:val="0"/>
        </w:rPr>
        <w:t>%).</w:t>
      </w:r>
    </w:p>
    <w:p w14:paraId="2634FB0F" w14:textId="77777777" w:rsidR="00F9600C" w:rsidRPr="0085406C" w:rsidRDefault="00F9600C" w:rsidP="0042038C">
      <w:pPr>
        <w:tabs>
          <w:tab w:val="left" w:pos="567"/>
        </w:tabs>
        <w:spacing w:after="0" w:line="260" w:lineRule="exact"/>
        <w:rPr>
          <w:rFonts w:ascii="Times New Roman" w:eastAsia="Times New Roman" w:hAnsi="Times New Roman"/>
          <w:snapToGrid w:val="0"/>
        </w:rPr>
      </w:pPr>
    </w:p>
    <w:p w14:paraId="599025E5" w14:textId="541E4691" w:rsidR="0042038C" w:rsidRPr="004200DB" w:rsidRDefault="007C1CB7" w:rsidP="0042038C">
      <w:pPr>
        <w:tabs>
          <w:tab w:val="left" w:pos="567"/>
        </w:tabs>
        <w:spacing w:after="0" w:line="260" w:lineRule="exact"/>
        <w:rPr>
          <w:rFonts w:ascii="Times New Roman" w:eastAsia="Times New Roman" w:hAnsi="Times New Roman"/>
          <w:snapToGrid w:val="0"/>
        </w:rPr>
      </w:pPr>
      <w:r w:rsidRPr="007C1CB7">
        <w:rPr>
          <w:rFonts w:ascii="Times New Roman" w:eastAsia="Times New Roman" w:hAnsi="Times New Roman"/>
          <w:snapToGrid w:val="0"/>
        </w:rPr>
        <w:t xml:space="preserve">Gydymo nutraukimo dėl nepageidaujamų reakcijų dažnis </w:t>
      </w:r>
      <w:proofErr w:type="spellStart"/>
      <w:r w:rsidRPr="007C1CB7">
        <w:rPr>
          <w:rFonts w:ascii="Times New Roman" w:eastAsia="Times New Roman" w:hAnsi="Times New Roman"/>
          <w:snapToGrid w:val="0"/>
        </w:rPr>
        <w:t>kabazitakselio</w:t>
      </w:r>
      <w:proofErr w:type="spellEnd"/>
      <w:r w:rsidRPr="007C1CB7">
        <w:rPr>
          <w:rFonts w:ascii="Times New Roman" w:eastAsia="Times New Roman" w:hAnsi="Times New Roman"/>
          <w:snapToGrid w:val="0"/>
        </w:rPr>
        <w:t xml:space="preserve"> vartojantiems pacientams visų 3 tyrimų metu buvo panašus (18,3</w:t>
      </w:r>
      <w:r w:rsidR="000A12FE">
        <w:rPr>
          <w:rFonts w:ascii="Times New Roman" w:eastAsia="Times New Roman" w:hAnsi="Times New Roman"/>
          <w:snapToGrid w:val="0"/>
        </w:rPr>
        <w:t> </w:t>
      </w:r>
      <w:r w:rsidRPr="007C1CB7">
        <w:rPr>
          <w:rFonts w:ascii="Times New Roman" w:eastAsia="Times New Roman" w:hAnsi="Times New Roman"/>
          <w:snapToGrid w:val="0"/>
        </w:rPr>
        <w:t>% TROPIC, 19,5</w:t>
      </w:r>
      <w:r w:rsidR="000A12FE">
        <w:rPr>
          <w:rFonts w:ascii="Times New Roman" w:eastAsia="Times New Roman" w:hAnsi="Times New Roman"/>
          <w:snapToGrid w:val="0"/>
        </w:rPr>
        <w:t> </w:t>
      </w:r>
      <w:r w:rsidRPr="007C1CB7">
        <w:rPr>
          <w:rFonts w:ascii="Times New Roman" w:eastAsia="Times New Roman" w:hAnsi="Times New Roman"/>
          <w:snapToGrid w:val="0"/>
        </w:rPr>
        <w:t>% PROSELICA ir 19,8</w:t>
      </w:r>
      <w:r w:rsidR="000A12FE">
        <w:rPr>
          <w:rFonts w:ascii="Times New Roman" w:eastAsia="Times New Roman" w:hAnsi="Times New Roman"/>
          <w:snapToGrid w:val="0"/>
        </w:rPr>
        <w:t> </w:t>
      </w:r>
      <w:r w:rsidRPr="007C1CB7">
        <w:rPr>
          <w:rFonts w:ascii="Times New Roman" w:eastAsia="Times New Roman" w:hAnsi="Times New Roman"/>
          <w:snapToGrid w:val="0"/>
        </w:rPr>
        <w:t>% CARD tyrimų metu). Dažniausios (&gt;</w:t>
      </w:r>
      <w:r w:rsidR="000A12FE">
        <w:rPr>
          <w:rFonts w:ascii="Times New Roman" w:eastAsia="Times New Roman" w:hAnsi="Times New Roman"/>
          <w:snapToGrid w:val="0"/>
        </w:rPr>
        <w:t> </w:t>
      </w:r>
      <w:r w:rsidRPr="007C1CB7">
        <w:rPr>
          <w:rFonts w:ascii="Times New Roman" w:eastAsia="Times New Roman" w:hAnsi="Times New Roman"/>
          <w:snapToGrid w:val="0"/>
        </w:rPr>
        <w:t>1,0</w:t>
      </w:r>
      <w:r w:rsidR="000A12FE">
        <w:rPr>
          <w:rFonts w:ascii="Times New Roman" w:eastAsia="Times New Roman" w:hAnsi="Times New Roman"/>
          <w:snapToGrid w:val="0"/>
        </w:rPr>
        <w:t> </w:t>
      </w:r>
      <w:r w:rsidRPr="007C1CB7">
        <w:rPr>
          <w:rFonts w:ascii="Times New Roman" w:eastAsia="Times New Roman" w:hAnsi="Times New Roman"/>
          <w:snapToGrid w:val="0"/>
        </w:rPr>
        <w:t xml:space="preserve">%) nepageidaujamos reakcijos, dėl kurių nutrauktas </w:t>
      </w:r>
      <w:proofErr w:type="spellStart"/>
      <w:r w:rsidRPr="007C1CB7">
        <w:rPr>
          <w:rFonts w:ascii="Times New Roman" w:eastAsia="Times New Roman" w:hAnsi="Times New Roman"/>
          <w:snapToGrid w:val="0"/>
        </w:rPr>
        <w:t>kabazitakselio</w:t>
      </w:r>
      <w:proofErr w:type="spellEnd"/>
      <w:r w:rsidRPr="007C1CB7">
        <w:rPr>
          <w:rFonts w:ascii="Times New Roman" w:eastAsia="Times New Roman" w:hAnsi="Times New Roman"/>
          <w:snapToGrid w:val="0"/>
        </w:rPr>
        <w:t xml:space="preserve"> vartojimas, buvo </w:t>
      </w:r>
      <w:proofErr w:type="spellStart"/>
      <w:r w:rsidRPr="007C1CB7">
        <w:rPr>
          <w:rFonts w:ascii="Times New Roman" w:eastAsia="Times New Roman" w:hAnsi="Times New Roman"/>
          <w:snapToGrid w:val="0"/>
        </w:rPr>
        <w:t>hematurija</w:t>
      </w:r>
      <w:proofErr w:type="spellEnd"/>
      <w:r w:rsidRPr="007C1CB7">
        <w:rPr>
          <w:rFonts w:ascii="Times New Roman" w:eastAsia="Times New Roman" w:hAnsi="Times New Roman"/>
          <w:snapToGrid w:val="0"/>
        </w:rPr>
        <w:t xml:space="preserve">, nuovargis ir </w:t>
      </w:r>
      <w:proofErr w:type="spellStart"/>
      <w:r w:rsidRPr="007C1CB7">
        <w:rPr>
          <w:rFonts w:ascii="Times New Roman" w:eastAsia="Times New Roman" w:hAnsi="Times New Roman"/>
          <w:snapToGrid w:val="0"/>
        </w:rPr>
        <w:t>neutropenija</w:t>
      </w:r>
      <w:proofErr w:type="spellEnd"/>
      <w:r>
        <w:rPr>
          <w:rFonts w:ascii="Times New Roman" w:eastAsia="Times New Roman" w:hAnsi="Times New Roman"/>
          <w:snapToGrid w:val="0"/>
        </w:rPr>
        <w:t>.</w:t>
      </w:r>
    </w:p>
    <w:p w14:paraId="0A0AABEB" w14:textId="77777777" w:rsidR="00F9600C" w:rsidRPr="004200DB" w:rsidRDefault="00F9600C" w:rsidP="0042038C">
      <w:pPr>
        <w:tabs>
          <w:tab w:val="left" w:pos="567"/>
        </w:tabs>
        <w:spacing w:after="0" w:line="260" w:lineRule="exact"/>
        <w:rPr>
          <w:rFonts w:ascii="Times New Roman" w:eastAsia="Times New Roman" w:hAnsi="Times New Roman"/>
          <w:snapToGrid w:val="0"/>
        </w:rPr>
      </w:pPr>
    </w:p>
    <w:p w14:paraId="56721529" w14:textId="77777777" w:rsidR="0042038C" w:rsidRPr="00037DA8" w:rsidRDefault="0042038C" w:rsidP="0042038C">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Nepageidaujamų reakcijų santrauka lentelėje</w:t>
      </w:r>
    </w:p>
    <w:p w14:paraId="71A2A7F9" w14:textId="77777777" w:rsidR="0042038C" w:rsidRPr="00037DA8" w:rsidRDefault="0042038C" w:rsidP="0042038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2 lentelėje išvardytos reakcijos suskirstytos pagal </w:t>
      </w:r>
      <w:proofErr w:type="spellStart"/>
      <w:r w:rsidRPr="00037DA8">
        <w:rPr>
          <w:rFonts w:ascii="Times New Roman" w:eastAsia="Times New Roman" w:hAnsi="Times New Roman"/>
          <w:snapToGrid w:val="0"/>
        </w:rPr>
        <w:t>MedDRA</w:t>
      </w:r>
      <w:proofErr w:type="spellEnd"/>
      <w:r w:rsidRPr="00037DA8">
        <w:rPr>
          <w:rFonts w:ascii="Times New Roman" w:eastAsia="Times New Roman" w:hAnsi="Times New Roman"/>
          <w:snapToGrid w:val="0"/>
        </w:rPr>
        <w:t xml:space="preserve"> organų sistemų klases ir </w:t>
      </w:r>
      <w:r w:rsidR="00F9600C" w:rsidRPr="00037DA8">
        <w:rPr>
          <w:rFonts w:ascii="Times New Roman" w:eastAsia="Times New Roman" w:hAnsi="Times New Roman"/>
          <w:snapToGrid w:val="0"/>
        </w:rPr>
        <w:t xml:space="preserve">pasireiškimo </w:t>
      </w:r>
      <w:r w:rsidRPr="00037DA8">
        <w:rPr>
          <w:rFonts w:ascii="Times New Roman" w:eastAsia="Times New Roman" w:hAnsi="Times New Roman"/>
          <w:snapToGrid w:val="0"/>
        </w:rPr>
        <w:t>dažn</w:t>
      </w:r>
      <w:r w:rsidR="00F9600C" w:rsidRPr="00037DA8">
        <w:rPr>
          <w:rFonts w:ascii="Times New Roman" w:eastAsia="Times New Roman" w:hAnsi="Times New Roman"/>
          <w:snapToGrid w:val="0"/>
        </w:rPr>
        <w:t>į</w:t>
      </w:r>
      <w:r w:rsidRPr="00037DA8">
        <w:rPr>
          <w:rFonts w:ascii="Times New Roman" w:eastAsia="Times New Roman" w:hAnsi="Times New Roman"/>
          <w:snapToGrid w:val="0"/>
        </w:rPr>
        <w:t>. Kiekvienoje dažnio grupėje nepageidaujamas poveikis pateikiamas mažėjančio sunkumo</w:t>
      </w:r>
    </w:p>
    <w:p w14:paraId="0812F2BF" w14:textId="3B3A6FAC" w:rsidR="0042038C" w:rsidRPr="00037DA8" w:rsidRDefault="0042038C" w:rsidP="0042038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tvarka. Nepageidaujamų reakcijų sunkumas suskirstytas pagal CTCAE 4.0 (≥</w:t>
      </w:r>
      <w:r w:rsidR="000A12FE">
        <w:rPr>
          <w:rFonts w:ascii="Times New Roman" w:eastAsia="Times New Roman" w:hAnsi="Times New Roman"/>
          <w:snapToGrid w:val="0"/>
        </w:rPr>
        <w:t> </w:t>
      </w:r>
      <w:r w:rsidRPr="00037DA8">
        <w:rPr>
          <w:rFonts w:ascii="Times New Roman" w:eastAsia="Times New Roman" w:hAnsi="Times New Roman"/>
          <w:snapToGrid w:val="0"/>
        </w:rPr>
        <w:t>3 laipsnis = G≥</w:t>
      </w:r>
      <w:r w:rsidR="007C72B7">
        <w:rPr>
          <w:rFonts w:ascii="Times New Roman" w:eastAsia="Times New Roman" w:hAnsi="Times New Roman"/>
          <w:snapToGrid w:val="0"/>
        </w:rPr>
        <w:t> </w:t>
      </w:r>
      <w:r w:rsidRPr="00037DA8">
        <w:rPr>
          <w:rFonts w:ascii="Times New Roman" w:eastAsia="Times New Roman" w:hAnsi="Times New Roman"/>
          <w:snapToGrid w:val="0"/>
        </w:rPr>
        <w:t>3).</w:t>
      </w:r>
    </w:p>
    <w:p w14:paraId="59F74374" w14:textId="06B52306" w:rsidR="0042038C" w:rsidRPr="00037DA8" w:rsidRDefault="00F9600C" w:rsidP="0042038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Nepageidaujamo poveikio d</w:t>
      </w:r>
      <w:r w:rsidR="0042038C" w:rsidRPr="00037DA8">
        <w:rPr>
          <w:rFonts w:ascii="Times New Roman" w:eastAsia="Times New Roman" w:hAnsi="Times New Roman"/>
          <w:snapToGrid w:val="0"/>
        </w:rPr>
        <w:t>ažni</w:t>
      </w:r>
      <w:r w:rsidRPr="00037DA8">
        <w:rPr>
          <w:rFonts w:ascii="Times New Roman" w:eastAsia="Times New Roman" w:hAnsi="Times New Roman"/>
          <w:snapToGrid w:val="0"/>
        </w:rPr>
        <w:t>s</w:t>
      </w:r>
      <w:r w:rsidR="0042038C" w:rsidRPr="00037DA8">
        <w:rPr>
          <w:rFonts w:ascii="Times New Roman" w:eastAsia="Times New Roman" w:hAnsi="Times New Roman"/>
          <w:snapToGrid w:val="0"/>
        </w:rPr>
        <w:t>, apskaičiuot</w:t>
      </w:r>
      <w:r w:rsidRPr="00037DA8">
        <w:rPr>
          <w:rFonts w:ascii="Times New Roman" w:eastAsia="Times New Roman" w:hAnsi="Times New Roman"/>
          <w:snapToGrid w:val="0"/>
        </w:rPr>
        <w:t>as</w:t>
      </w:r>
      <w:r w:rsidR="0042038C" w:rsidRPr="00037DA8">
        <w:rPr>
          <w:rFonts w:ascii="Times New Roman" w:eastAsia="Times New Roman" w:hAnsi="Times New Roman"/>
          <w:snapToGrid w:val="0"/>
        </w:rPr>
        <w:t xml:space="preserve"> įvertinus visų sunkumo laipsnių reakcijas</w:t>
      </w:r>
      <w:r w:rsidRPr="00037DA8">
        <w:rPr>
          <w:rFonts w:ascii="Times New Roman" w:eastAsia="Times New Roman" w:hAnsi="Times New Roman"/>
          <w:snapToGrid w:val="0"/>
        </w:rPr>
        <w:t>,</w:t>
      </w:r>
      <w:r w:rsidR="0042038C" w:rsidRPr="00037DA8">
        <w:rPr>
          <w:rFonts w:ascii="Times New Roman" w:eastAsia="Times New Roman" w:hAnsi="Times New Roman"/>
          <w:snapToGrid w:val="0"/>
        </w:rPr>
        <w:t xml:space="preserve"> ir apibūdinami taip: labai dažn</w:t>
      </w:r>
      <w:r w:rsidRPr="00037DA8">
        <w:rPr>
          <w:rFonts w:ascii="Times New Roman" w:eastAsia="Times New Roman" w:hAnsi="Times New Roman"/>
          <w:snapToGrid w:val="0"/>
        </w:rPr>
        <w:t xml:space="preserve">as </w:t>
      </w:r>
      <w:r w:rsidR="0042038C" w:rsidRPr="00037DA8">
        <w:rPr>
          <w:rFonts w:ascii="Times New Roman" w:eastAsia="Times New Roman" w:hAnsi="Times New Roman"/>
          <w:snapToGrid w:val="0"/>
        </w:rPr>
        <w:t>(≥</w:t>
      </w:r>
      <w:r w:rsidR="007C72B7">
        <w:rPr>
          <w:rFonts w:ascii="Times New Roman" w:eastAsia="Times New Roman" w:hAnsi="Times New Roman"/>
          <w:snapToGrid w:val="0"/>
        </w:rPr>
        <w:t> </w:t>
      </w:r>
      <w:r w:rsidR="0042038C" w:rsidRPr="00037DA8">
        <w:rPr>
          <w:rFonts w:ascii="Times New Roman" w:eastAsia="Times New Roman" w:hAnsi="Times New Roman"/>
          <w:snapToGrid w:val="0"/>
        </w:rPr>
        <w:t>1/10), dažn</w:t>
      </w:r>
      <w:r w:rsidR="00F159B6">
        <w:rPr>
          <w:rFonts w:ascii="Times New Roman" w:eastAsia="Times New Roman" w:hAnsi="Times New Roman"/>
          <w:snapToGrid w:val="0"/>
        </w:rPr>
        <w:t>as</w:t>
      </w:r>
      <w:r w:rsidR="0042038C" w:rsidRPr="00F159B6">
        <w:rPr>
          <w:rFonts w:ascii="Times New Roman" w:eastAsia="Times New Roman" w:hAnsi="Times New Roman"/>
          <w:snapToGrid w:val="0"/>
        </w:rPr>
        <w:t xml:space="preserve"> (nuo ≥</w:t>
      </w:r>
      <w:r w:rsidR="007C72B7">
        <w:rPr>
          <w:rFonts w:ascii="Times New Roman" w:eastAsia="Times New Roman" w:hAnsi="Times New Roman"/>
          <w:snapToGrid w:val="0"/>
        </w:rPr>
        <w:t> </w:t>
      </w:r>
      <w:r w:rsidR="0042038C" w:rsidRPr="00F159B6">
        <w:rPr>
          <w:rFonts w:ascii="Times New Roman" w:eastAsia="Times New Roman" w:hAnsi="Times New Roman"/>
          <w:snapToGrid w:val="0"/>
        </w:rPr>
        <w:t>1/100 iki &lt;</w:t>
      </w:r>
      <w:r w:rsidR="007C72B7">
        <w:rPr>
          <w:rFonts w:ascii="Times New Roman" w:eastAsia="Times New Roman" w:hAnsi="Times New Roman"/>
          <w:snapToGrid w:val="0"/>
        </w:rPr>
        <w:t> </w:t>
      </w:r>
      <w:r w:rsidR="0042038C" w:rsidRPr="00F159B6">
        <w:rPr>
          <w:rFonts w:ascii="Times New Roman" w:eastAsia="Times New Roman" w:hAnsi="Times New Roman"/>
          <w:snapToGrid w:val="0"/>
        </w:rPr>
        <w:t>1/10), nedažn</w:t>
      </w:r>
      <w:r w:rsidRPr="00F159B6">
        <w:rPr>
          <w:rFonts w:ascii="Times New Roman" w:eastAsia="Times New Roman" w:hAnsi="Times New Roman"/>
          <w:snapToGrid w:val="0"/>
        </w:rPr>
        <w:t>as</w:t>
      </w:r>
      <w:r w:rsidR="0042038C" w:rsidRPr="00BC3E54">
        <w:rPr>
          <w:rFonts w:ascii="Times New Roman" w:eastAsia="Times New Roman" w:hAnsi="Times New Roman"/>
          <w:snapToGrid w:val="0"/>
        </w:rPr>
        <w:t xml:space="preserve"> (nuo ≥</w:t>
      </w:r>
      <w:r w:rsidR="007C72B7">
        <w:rPr>
          <w:rFonts w:ascii="Times New Roman" w:eastAsia="Times New Roman" w:hAnsi="Times New Roman"/>
          <w:snapToGrid w:val="0"/>
        </w:rPr>
        <w:t> </w:t>
      </w:r>
      <w:r w:rsidR="0042038C" w:rsidRPr="00BC3E54">
        <w:rPr>
          <w:rFonts w:ascii="Times New Roman" w:eastAsia="Times New Roman" w:hAnsi="Times New Roman"/>
          <w:snapToGrid w:val="0"/>
        </w:rPr>
        <w:t>1/1</w:t>
      </w:r>
      <w:r w:rsidR="007C72B7">
        <w:rPr>
          <w:rFonts w:ascii="Times New Roman" w:eastAsia="Times New Roman" w:hAnsi="Times New Roman"/>
          <w:snapToGrid w:val="0"/>
        </w:rPr>
        <w:t> </w:t>
      </w:r>
      <w:r w:rsidR="0042038C" w:rsidRPr="00BC3E54">
        <w:rPr>
          <w:rFonts w:ascii="Times New Roman" w:eastAsia="Times New Roman" w:hAnsi="Times New Roman"/>
          <w:snapToGrid w:val="0"/>
        </w:rPr>
        <w:t>000 iki &lt;</w:t>
      </w:r>
      <w:r w:rsidR="007C72B7">
        <w:rPr>
          <w:rFonts w:ascii="Times New Roman" w:eastAsia="Times New Roman" w:hAnsi="Times New Roman"/>
          <w:snapToGrid w:val="0"/>
        </w:rPr>
        <w:t> </w:t>
      </w:r>
      <w:r w:rsidR="0042038C" w:rsidRPr="00BC3E54">
        <w:rPr>
          <w:rFonts w:ascii="Times New Roman" w:eastAsia="Times New Roman" w:hAnsi="Times New Roman"/>
          <w:snapToGrid w:val="0"/>
        </w:rPr>
        <w:t>1/100), ret</w:t>
      </w:r>
      <w:r w:rsidRPr="0085406C">
        <w:rPr>
          <w:rFonts w:ascii="Times New Roman" w:eastAsia="Times New Roman" w:hAnsi="Times New Roman"/>
          <w:snapToGrid w:val="0"/>
        </w:rPr>
        <w:t>as</w:t>
      </w:r>
      <w:r w:rsidR="0042038C" w:rsidRPr="0085406C">
        <w:rPr>
          <w:rFonts w:ascii="Times New Roman" w:eastAsia="Times New Roman" w:hAnsi="Times New Roman"/>
          <w:snapToGrid w:val="0"/>
        </w:rPr>
        <w:t xml:space="preserve"> (nuo ≥</w:t>
      </w:r>
      <w:r w:rsidR="007C72B7">
        <w:rPr>
          <w:rFonts w:ascii="Times New Roman" w:eastAsia="Times New Roman" w:hAnsi="Times New Roman"/>
          <w:snapToGrid w:val="0"/>
        </w:rPr>
        <w:t> </w:t>
      </w:r>
      <w:r w:rsidR="0042038C" w:rsidRPr="0085406C">
        <w:rPr>
          <w:rFonts w:ascii="Times New Roman" w:eastAsia="Times New Roman" w:hAnsi="Times New Roman"/>
          <w:snapToGrid w:val="0"/>
        </w:rPr>
        <w:t>1/10</w:t>
      </w:r>
      <w:r w:rsidR="007C72B7">
        <w:rPr>
          <w:rFonts w:ascii="Times New Roman" w:eastAsia="Times New Roman" w:hAnsi="Times New Roman"/>
          <w:snapToGrid w:val="0"/>
        </w:rPr>
        <w:t> </w:t>
      </w:r>
      <w:r w:rsidR="0042038C" w:rsidRPr="0085406C">
        <w:rPr>
          <w:rFonts w:ascii="Times New Roman" w:eastAsia="Times New Roman" w:hAnsi="Times New Roman"/>
          <w:snapToGrid w:val="0"/>
        </w:rPr>
        <w:t>000 iki</w:t>
      </w:r>
      <w:r w:rsidRPr="004200DB">
        <w:rPr>
          <w:rFonts w:ascii="Times New Roman" w:eastAsia="Times New Roman" w:hAnsi="Times New Roman"/>
          <w:snapToGrid w:val="0"/>
        </w:rPr>
        <w:t xml:space="preserve"> </w:t>
      </w:r>
      <w:r w:rsidR="0042038C" w:rsidRPr="004200DB">
        <w:rPr>
          <w:rFonts w:ascii="Times New Roman" w:eastAsia="Times New Roman" w:hAnsi="Times New Roman"/>
          <w:snapToGrid w:val="0"/>
        </w:rPr>
        <w:t>&lt;</w:t>
      </w:r>
      <w:r w:rsidR="007C72B7">
        <w:rPr>
          <w:rFonts w:ascii="Times New Roman" w:eastAsia="Times New Roman" w:hAnsi="Times New Roman"/>
          <w:snapToGrid w:val="0"/>
        </w:rPr>
        <w:t> </w:t>
      </w:r>
      <w:r w:rsidR="0042038C" w:rsidRPr="004200DB">
        <w:rPr>
          <w:rFonts w:ascii="Times New Roman" w:eastAsia="Times New Roman" w:hAnsi="Times New Roman"/>
          <w:snapToGrid w:val="0"/>
        </w:rPr>
        <w:t>1/1</w:t>
      </w:r>
      <w:r w:rsidR="007C72B7">
        <w:rPr>
          <w:rFonts w:ascii="Times New Roman" w:eastAsia="Times New Roman" w:hAnsi="Times New Roman"/>
          <w:snapToGrid w:val="0"/>
        </w:rPr>
        <w:t> </w:t>
      </w:r>
      <w:r w:rsidR="0042038C" w:rsidRPr="004200DB">
        <w:rPr>
          <w:rFonts w:ascii="Times New Roman" w:eastAsia="Times New Roman" w:hAnsi="Times New Roman"/>
          <w:snapToGrid w:val="0"/>
        </w:rPr>
        <w:t>000), labai ret</w:t>
      </w:r>
      <w:r w:rsidRPr="004200DB">
        <w:rPr>
          <w:rFonts w:ascii="Times New Roman" w:eastAsia="Times New Roman" w:hAnsi="Times New Roman"/>
          <w:snapToGrid w:val="0"/>
        </w:rPr>
        <w:t>as</w:t>
      </w:r>
      <w:r w:rsidR="0042038C" w:rsidRPr="00037DA8">
        <w:rPr>
          <w:rFonts w:ascii="Times New Roman" w:eastAsia="Times New Roman" w:hAnsi="Times New Roman"/>
          <w:snapToGrid w:val="0"/>
        </w:rPr>
        <w:t xml:space="preserve"> (&lt;</w:t>
      </w:r>
      <w:r w:rsidR="007C72B7">
        <w:rPr>
          <w:rFonts w:ascii="Times New Roman" w:eastAsia="Times New Roman" w:hAnsi="Times New Roman"/>
          <w:snapToGrid w:val="0"/>
        </w:rPr>
        <w:t> </w:t>
      </w:r>
      <w:r w:rsidR="0042038C" w:rsidRPr="00037DA8">
        <w:rPr>
          <w:rFonts w:ascii="Times New Roman" w:eastAsia="Times New Roman" w:hAnsi="Times New Roman"/>
          <w:snapToGrid w:val="0"/>
        </w:rPr>
        <w:t>1/10</w:t>
      </w:r>
      <w:r w:rsidR="007C72B7">
        <w:rPr>
          <w:rFonts w:ascii="Times New Roman" w:eastAsia="Times New Roman" w:hAnsi="Times New Roman"/>
          <w:snapToGrid w:val="0"/>
        </w:rPr>
        <w:t> </w:t>
      </w:r>
      <w:r w:rsidR="0042038C" w:rsidRPr="00037DA8">
        <w:rPr>
          <w:rFonts w:ascii="Times New Roman" w:eastAsia="Times New Roman" w:hAnsi="Times New Roman"/>
          <w:snapToGrid w:val="0"/>
        </w:rPr>
        <w:t xml:space="preserve">000), dažnis nežinomas (negali būti </w:t>
      </w:r>
      <w:r w:rsidRPr="00037DA8">
        <w:rPr>
          <w:rFonts w:ascii="Times New Roman" w:eastAsia="Times New Roman" w:hAnsi="Times New Roman"/>
          <w:snapToGrid w:val="0"/>
        </w:rPr>
        <w:t>apskaičiuotas</w:t>
      </w:r>
      <w:r w:rsidR="0042038C" w:rsidRPr="00037DA8">
        <w:rPr>
          <w:rFonts w:ascii="Times New Roman" w:eastAsia="Times New Roman" w:hAnsi="Times New Roman"/>
          <w:snapToGrid w:val="0"/>
        </w:rPr>
        <w:t xml:space="preserve"> pagal turimus duomenis).</w:t>
      </w:r>
    </w:p>
    <w:p w14:paraId="7DE3B093" w14:textId="77777777" w:rsidR="00F9600C" w:rsidRPr="00037DA8" w:rsidRDefault="00F9600C" w:rsidP="0042038C">
      <w:pPr>
        <w:tabs>
          <w:tab w:val="left" w:pos="567"/>
        </w:tabs>
        <w:spacing w:after="0" w:line="260" w:lineRule="exact"/>
        <w:rPr>
          <w:rFonts w:ascii="Times New Roman" w:eastAsia="Times New Roman" w:hAnsi="Times New Roman"/>
          <w:snapToGrid w:val="0"/>
        </w:rPr>
      </w:pPr>
    </w:p>
    <w:p w14:paraId="22F9E5C6" w14:textId="1B08B853" w:rsidR="001F0F9B" w:rsidRPr="00037DA8" w:rsidRDefault="0042038C" w:rsidP="00BA2175">
      <w:pPr>
        <w:tabs>
          <w:tab w:val="left" w:pos="567"/>
        </w:tabs>
        <w:spacing w:after="0" w:line="260" w:lineRule="exact"/>
        <w:ind w:left="851" w:hanging="851"/>
        <w:rPr>
          <w:rFonts w:ascii="Times New Roman" w:eastAsia="Times New Roman" w:hAnsi="Times New Roman"/>
          <w:snapToGrid w:val="0"/>
        </w:rPr>
      </w:pPr>
      <w:r w:rsidRPr="00037DA8">
        <w:rPr>
          <w:rFonts w:ascii="Times New Roman" w:eastAsia="Times New Roman" w:hAnsi="Times New Roman"/>
          <w:snapToGrid w:val="0"/>
        </w:rPr>
        <w:t>2</w:t>
      </w:r>
      <w:r w:rsidR="002C2B24">
        <w:rPr>
          <w:rFonts w:ascii="Times New Roman" w:eastAsia="Times New Roman" w:hAnsi="Times New Roman"/>
          <w:snapToGrid w:val="0"/>
        </w:rPr>
        <w:t> </w:t>
      </w:r>
      <w:r w:rsidRPr="00037DA8">
        <w:rPr>
          <w:rFonts w:ascii="Times New Roman" w:eastAsia="Times New Roman" w:hAnsi="Times New Roman"/>
          <w:snapToGrid w:val="0"/>
        </w:rPr>
        <w:t>lentelė. Nepageidaujamos reakcijos ir hematologiniai</w:t>
      </w:r>
      <w:r w:rsidR="00622FE9">
        <w:rPr>
          <w:rFonts w:ascii="Times New Roman" w:eastAsia="Times New Roman" w:hAnsi="Times New Roman"/>
          <w:snapToGrid w:val="0"/>
        </w:rPr>
        <w:t xml:space="preserve"> pokyčiai</w:t>
      </w:r>
      <w:r w:rsidRPr="00037DA8">
        <w:rPr>
          <w:rFonts w:ascii="Times New Roman" w:eastAsia="Times New Roman" w:hAnsi="Times New Roman"/>
          <w:snapToGrid w:val="0"/>
        </w:rPr>
        <w:t xml:space="preserve">, </w:t>
      </w:r>
      <w:r w:rsidR="00BA2175" w:rsidRPr="00037DA8">
        <w:rPr>
          <w:rFonts w:ascii="Times New Roman" w:eastAsia="Times New Roman" w:hAnsi="Times New Roman"/>
          <w:snapToGrid w:val="0"/>
        </w:rPr>
        <w:t xml:space="preserve">nustatyti </w:t>
      </w:r>
      <w:r w:rsidRPr="00037DA8">
        <w:rPr>
          <w:rFonts w:ascii="Times New Roman" w:eastAsia="Times New Roman" w:hAnsi="Times New Roman"/>
          <w:snapToGrid w:val="0"/>
        </w:rPr>
        <w:t xml:space="preserve">vartojant </w:t>
      </w:r>
      <w:proofErr w:type="spellStart"/>
      <w:r w:rsidRPr="00037DA8">
        <w:rPr>
          <w:rFonts w:ascii="Times New Roman" w:eastAsia="Times New Roman" w:hAnsi="Times New Roman"/>
          <w:snapToGrid w:val="0"/>
        </w:rPr>
        <w:t>kabazitakselio</w:t>
      </w:r>
      <w:proofErr w:type="spellEnd"/>
      <w:r w:rsidR="00BA2175" w:rsidRPr="00037DA8">
        <w:rPr>
          <w:rFonts w:ascii="Times New Roman" w:eastAsia="Times New Roman" w:hAnsi="Times New Roman"/>
          <w:snapToGrid w:val="0"/>
        </w:rPr>
        <w:t xml:space="preserve"> derinyje</w:t>
      </w:r>
      <w:r w:rsidRPr="00037DA8">
        <w:rPr>
          <w:rFonts w:ascii="Times New Roman" w:eastAsia="Times New Roman" w:hAnsi="Times New Roman"/>
          <w:snapToGrid w:val="0"/>
        </w:rPr>
        <w:t xml:space="preserve"> su prednizonu ar prednizolonu</w:t>
      </w:r>
      <w:r w:rsidR="00925008">
        <w:rPr>
          <w:rFonts w:ascii="Times New Roman" w:eastAsia="Times New Roman" w:hAnsi="Times New Roman"/>
          <w:snapToGrid w:val="0"/>
        </w:rPr>
        <w:t>,</w:t>
      </w:r>
      <w:r w:rsidR="00925008" w:rsidRPr="00037DA8">
        <w:rPr>
          <w:rFonts w:ascii="Times New Roman" w:eastAsia="Times New Roman" w:hAnsi="Times New Roman"/>
          <w:snapToGrid w:val="0"/>
        </w:rPr>
        <w:t xml:space="preserve"> </w:t>
      </w:r>
      <w:r w:rsidR="00925008">
        <w:rPr>
          <w:rFonts w:ascii="Times New Roman" w:eastAsia="Times New Roman" w:hAnsi="Times New Roman"/>
          <w:snapToGrid w:val="0"/>
        </w:rPr>
        <w:t>remiantis apibendrintos analizės duomenimis</w:t>
      </w:r>
      <w:r w:rsidRPr="00037DA8">
        <w:rPr>
          <w:rFonts w:ascii="Times New Roman" w:eastAsia="Times New Roman" w:hAnsi="Times New Roman"/>
          <w:snapToGrid w:val="0"/>
        </w:rPr>
        <w:t xml:space="preserve"> (n=</w:t>
      </w:r>
      <w:r w:rsidR="00925008">
        <w:rPr>
          <w:rFonts w:ascii="Times New Roman" w:eastAsia="Times New Roman" w:hAnsi="Times New Roman"/>
          <w:snapToGrid w:val="0"/>
        </w:rPr>
        <w:t>1092</w:t>
      </w:r>
      <w:r w:rsidRPr="00037DA8">
        <w:rPr>
          <w:rFonts w:ascii="Times New Roman" w:eastAsia="Times New Roman" w:hAnsi="Times New Roman"/>
          <w:snapToGrid w:val="0"/>
        </w:rPr>
        <w:t>)</w:t>
      </w:r>
    </w:p>
    <w:p w14:paraId="67F0A5D5" w14:textId="77777777" w:rsidR="001F0F9B" w:rsidRPr="00037DA8" w:rsidRDefault="001F0F9B" w:rsidP="00267DDB">
      <w:pPr>
        <w:tabs>
          <w:tab w:val="left" w:pos="567"/>
        </w:tabs>
        <w:spacing w:after="0" w:line="260" w:lineRule="exact"/>
        <w:rPr>
          <w:rFonts w:ascii="Times New Roman" w:eastAsia="Times New Roman" w:hAnsi="Times New Roman"/>
          <w:snapToGrid w:val="0"/>
        </w:rPr>
      </w:pPr>
    </w:p>
    <w:tbl>
      <w:tblPr>
        <w:tblW w:w="9702" w:type="dxa"/>
        <w:tblInd w:w="-68" w:type="dxa"/>
        <w:tblCellMar>
          <w:left w:w="70" w:type="dxa"/>
          <w:right w:w="118" w:type="dxa"/>
        </w:tblCellMar>
        <w:tblLook w:val="04A0" w:firstRow="1" w:lastRow="0" w:firstColumn="1" w:lastColumn="0" w:noHBand="0" w:noVBand="1"/>
      </w:tblPr>
      <w:tblGrid>
        <w:gridCol w:w="2159"/>
        <w:gridCol w:w="1978"/>
        <w:gridCol w:w="1455"/>
        <w:gridCol w:w="1275"/>
        <w:gridCol w:w="1134"/>
        <w:gridCol w:w="1701"/>
      </w:tblGrid>
      <w:tr w:rsidR="000E3AD7" w:rsidRPr="00074768" w14:paraId="54BF4DF2" w14:textId="77777777" w:rsidTr="002642B8">
        <w:trPr>
          <w:trHeight w:val="530"/>
        </w:trPr>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1616D278" w14:textId="77777777" w:rsidR="000E3AD7" w:rsidRPr="00037DA8" w:rsidRDefault="000E3AD7" w:rsidP="00BA2175">
            <w:pPr>
              <w:tabs>
                <w:tab w:val="left" w:pos="567"/>
              </w:tabs>
              <w:spacing w:after="0" w:line="260" w:lineRule="exact"/>
              <w:jc w:val="center"/>
              <w:rPr>
                <w:rFonts w:ascii="Times New Roman" w:eastAsia="Times New Roman" w:hAnsi="Times New Roman"/>
                <w:b/>
                <w:snapToGrid w:val="0"/>
              </w:rPr>
            </w:pPr>
            <w:r w:rsidRPr="00037DA8">
              <w:rPr>
                <w:rFonts w:ascii="Times New Roman" w:eastAsia="Times New Roman" w:hAnsi="Times New Roman"/>
                <w:b/>
                <w:snapToGrid w:val="0"/>
              </w:rPr>
              <w:t>Organų sistemų klasė</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4950344" w14:textId="77777777" w:rsidR="000E3AD7" w:rsidRPr="00037DA8" w:rsidRDefault="000E3AD7" w:rsidP="00BA2175">
            <w:pPr>
              <w:tabs>
                <w:tab w:val="left" w:pos="567"/>
              </w:tabs>
              <w:spacing w:after="0" w:line="260" w:lineRule="exact"/>
              <w:jc w:val="center"/>
              <w:rPr>
                <w:rFonts w:ascii="Times New Roman" w:eastAsia="Times New Roman" w:hAnsi="Times New Roman"/>
                <w:b/>
                <w:snapToGrid w:val="0"/>
              </w:rPr>
            </w:pPr>
            <w:r w:rsidRPr="00037DA8">
              <w:rPr>
                <w:rFonts w:ascii="Times New Roman" w:eastAsia="Times New Roman" w:hAnsi="Times New Roman"/>
                <w:b/>
                <w:snapToGrid w:val="0"/>
              </w:rPr>
              <w:t>Nepageidaujama reakcija</w:t>
            </w:r>
          </w:p>
          <w:p w14:paraId="63AAE79F" w14:textId="77777777" w:rsidR="000E3AD7" w:rsidRPr="00037DA8" w:rsidRDefault="000E3AD7" w:rsidP="00BA2175">
            <w:pPr>
              <w:tabs>
                <w:tab w:val="left" w:pos="567"/>
              </w:tabs>
              <w:spacing w:after="0" w:line="260" w:lineRule="exact"/>
              <w:rPr>
                <w:rFonts w:ascii="Times New Roman" w:eastAsia="Times New Roman" w:hAnsi="Times New Roman"/>
                <w:b/>
                <w:snapToGrid w:val="0"/>
              </w:rPr>
            </w:pPr>
            <w:r w:rsidRPr="00037DA8">
              <w:rPr>
                <w:rFonts w:ascii="Times New Roman" w:eastAsia="Times New Roman" w:hAnsi="Times New Roman"/>
                <w:b/>
                <w:snapToGrid w:val="0"/>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auto" w:fill="auto"/>
          </w:tcPr>
          <w:p w14:paraId="48916A3D" w14:textId="3C8CF155" w:rsidR="000E3AD7" w:rsidRPr="00037DA8" w:rsidRDefault="000E3AD7" w:rsidP="002642B8">
            <w:pPr>
              <w:tabs>
                <w:tab w:val="left" w:pos="567"/>
              </w:tabs>
              <w:spacing w:after="0" w:line="260" w:lineRule="exact"/>
              <w:jc w:val="center"/>
              <w:rPr>
                <w:rFonts w:ascii="Times New Roman" w:eastAsia="Times New Roman" w:hAnsi="Times New Roman"/>
                <w:b/>
                <w:snapToGrid w:val="0"/>
              </w:rPr>
            </w:pPr>
            <w:r w:rsidRPr="00037DA8">
              <w:rPr>
                <w:rFonts w:ascii="Times New Roman" w:eastAsia="Times New Roman" w:hAnsi="Times New Roman"/>
                <w:b/>
                <w:snapToGrid w:val="0"/>
              </w:rPr>
              <w:t>Visų sunkumo laipsnių 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20CC487" w14:textId="235D5499" w:rsidR="000E3AD7" w:rsidRPr="00037DA8" w:rsidRDefault="000E3AD7" w:rsidP="00BA2175">
            <w:pPr>
              <w:tabs>
                <w:tab w:val="left" w:pos="567"/>
              </w:tabs>
              <w:spacing w:after="0" w:line="260" w:lineRule="exact"/>
              <w:rPr>
                <w:rFonts w:ascii="Times New Roman" w:eastAsia="Times New Roman" w:hAnsi="Times New Roman"/>
                <w:b/>
                <w:snapToGrid w:val="0"/>
              </w:rPr>
            </w:pPr>
            <w:r w:rsidRPr="00037DA8">
              <w:rPr>
                <w:rFonts w:ascii="Times New Roman" w:eastAsia="Times New Roman" w:hAnsi="Times New Roman"/>
                <w:b/>
                <w:snapToGrid w:val="0"/>
              </w:rPr>
              <w:t>≥</w:t>
            </w:r>
            <w:r w:rsidR="00721662">
              <w:rPr>
                <w:rFonts w:ascii="Times New Roman" w:eastAsia="Times New Roman" w:hAnsi="Times New Roman"/>
                <w:b/>
                <w:snapToGrid w:val="0"/>
              </w:rPr>
              <w:t> </w:t>
            </w:r>
            <w:r w:rsidRPr="00037DA8">
              <w:rPr>
                <w:rFonts w:ascii="Times New Roman" w:eastAsia="Times New Roman" w:hAnsi="Times New Roman"/>
                <w:b/>
                <w:snapToGrid w:val="0"/>
              </w:rPr>
              <w:t>3</w:t>
            </w:r>
            <w:r w:rsidR="00721662">
              <w:rPr>
                <w:rFonts w:ascii="Times New Roman" w:eastAsia="Times New Roman" w:hAnsi="Times New Roman"/>
                <w:b/>
                <w:snapToGrid w:val="0"/>
              </w:rPr>
              <w:t> </w:t>
            </w:r>
            <w:r w:rsidRPr="00037DA8">
              <w:rPr>
                <w:rFonts w:ascii="Times New Roman" w:eastAsia="Times New Roman" w:hAnsi="Times New Roman"/>
                <w:b/>
                <w:snapToGrid w:val="0"/>
              </w:rPr>
              <w:t>laipsnio</w:t>
            </w:r>
          </w:p>
          <w:p w14:paraId="2EDC4E94" w14:textId="77777777" w:rsidR="000E3AD7" w:rsidRPr="00037DA8" w:rsidRDefault="000E3AD7" w:rsidP="00BA2175">
            <w:pPr>
              <w:tabs>
                <w:tab w:val="left" w:pos="567"/>
              </w:tabs>
              <w:spacing w:after="0" w:line="260" w:lineRule="exact"/>
              <w:rPr>
                <w:rFonts w:ascii="Times New Roman" w:eastAsia="Times New Roman" w:hAnsi="Times New Roman"/>
                <w:b/>
                <w:snapToGrid w:val="0"/>
              </w:rPr>
            </w:pPr>
            <w:r w:rsidRPr="00037DA8">
              <w:rPr>
                <w:rFonts w:ascii="Times New Roman" w:eastAsia="Times New Roman" w:hAnsi="Times New Roman"/>
                <w:b/>
                <w:snapToGrid w:val="0"/>
              </w:rPr>
              <w:t xml:space="preserve">n (%) </w:t>
            </w:r>
          </w:p>
        </w:tc>
      </w:tr>
      <w:tr w:rsidR="000E3AD7" w:rsidRPr="00074768" w14:paraId="066DA625" w14:textId="77777777" w:rsidTr="002642B8">
        <w:trPr>
          <w:trHeight w:val="269"/>
        </w:trPr>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4A1E1002" w14:textId="77777777" w:rsidR="000E3AD7" w:rsidRPr="00074768" w:rsidRDefault="000E3AD7" w:rsidP="00BA2175">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 xml:space="preserve"> </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E59076C" w14:textId="77777777" w:rsidR="000E3AD7" w:rsidRPr="0085406C" w:rsidRDefault="000E3AD7" w:rsidP="00BA2175">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87EAD40" w14:textId="7E36E9E3" w:rsidR="000E3AD7" w:rsidRPr="004200DB" w:rsidRDefault="000E3AD7" w:rsidP="00BA2175">
            <w:pPr>
              <w:tabs>
                <w:tab w:val="left" w:pos="567"/>
              </w:tabs>
              <w:spacing w:after="0" w:line="260" w:lineRule="exact"/>
              <w:rPr>
                <w:rFonts w:ascii="Times New Roman" w:eastAsia="Times New Roman" w:hAnsi="Times New Roman"/>
                <w:b/>
                <w:snapToGrid w:val="0"/>
              </w:rPr>
            </w:pPr>
            <w:r w:rsidRPr="004200DB">
              <w:rPr>
                <w:rFonts w:ascii="Times New Roman" w:eastAsia="Times New Roman" w:hAnsi="Times New Roman"/>
                <w:b/>
                <w:snapToGrid w:val="0"/>
              </w:rPr>
              <w:t>Labai dažn</w:t>
            </w:r>
            <w:r w:rsidR="00C326D9">
              <w:rPr>
                <w:rFonts w:ascii="Times New Roman" w:eastAsia="Times New Roman" w:hAnsi="Times New Roman"/>
                <w:b/>
                <w:snapToGrid w:val="0"/>
              </w:rPr>
              <w:t>i</w:t>
            </w:r>
            <w:r w:rsidRPr="004200DB">
              <w:rPr>
                <w:rFonts w:ascii="Times New Roman" w:eastAsia="Times New Roman" w:hAnsi="Times New Roman"/>
                <w:b/>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EC94331" w14:textId="1BB7A600" w:rsidR="000E3AD7" w:rsidRPr="004200DB" w:rsidRDefault="000E3AD7" w:rsidP="00BA2175">
            <w:pPr>
              <w:tabs>
                <w:tab w:val="left" w:pos="567"/>
              </w:tabs>
              <w:spacing w:after="0" w:line="260" w:lineRule="exact"/>
              <w:rPr>
                <w:rFonts w:ascii="Times New Roman" w:eastAsia="Times New Roman" w:hAnsi="Times New Roman"/>
                <w:b/>
                <w:snapToGrid w:val="0"/>
              </w:rPr>
            </w:pPr>
            <w:r w:rsidRPr="004200DB">
              <w:rPr>
                <w:rFonts w:ascii="Times New Roman" w:eastAsia="Times New Roman" w:hAnsi="Times New Roman"/>
                <w:b/>
                <w:snapToGrid w:val="0"/>
              </w:rPr>
              <w:t>Dažn</w:t>
            </w:r>
            <w:r w:rsidR="00C326D9">
              <w:rPr>
                <w:rFonts w:ascii="Times New Roman" w:eastAsia="Times New Roman" w:hAnsi="Times New Roman"/>
                <w:b/>
                <w:snapToGrid w:val="0"/>
              </w:rPr>
              <w:t>i</w:t>
            </w:r>
          </w:p>
        </w:tc>
        <w:tc>
          <w:tcPr>
            <w:tcW w:w="1134" w:type="dxa"/>
            <w:tcBorders>
              <w:top w:val="single" w:sz="4" w:space="0" w:color="000000"/>
              <w:left w:val="single" w:sz="4" w:space="0" w:color="000000"/>
              <w:bottom w:val="single" w:sz="4" w:space="0" w:color="000000"/>
              <w:right w:val="single" w:sz="4" w:space="0" w:color="000000"/>
            </w:tcBorders>
          </w:tcPr>
          <w:p w14:paraId="32B8EF82" w14:textId="6F67FD47" w:rsidR="000E3AD7" w:rsidRPr="002642B8" w:rsidRDefault="000E3AD7" w:rsidP="00BA2175">
            <w:pPr>
              <w:tabs>
                <w:tab w:val="left" w:pos="567"/>
              </w:tabs>
              <w:spacing w:after="0" w:line="260" w:lineRule="exact"/>
              <w:rPr>
                <w:rFonts w:ascii="Times New Roman" w:eastAsia="Times New Roman" w:hAnsi="Times New Roman"/>
                <w:b/>
                <w:bCs/>
                <w:snapToGrid w:val="0"/>
              </w:rPr>
            </w:pPr>
            <w:r w:rsidRPr="002642B8">
              <w:rPr>
                <w:rFonts w:ascii="Times New Roman" w:eastAsia="Times New Roman" w:hAnsi="Times New Roman"/>
                <w:b/>
                <w:bCs/>
                <w:snapToGrid w:val="0"/>
              </w:rPr>
              <w:t>Nedažn</w:t>
            </w:r>
            <w:r w:rsidR="00C326D9">
              <w:rPr>
                <w:rFonts w:ascii="Times New Roman" w:eastAsia="Times New Roman" w:hAnsi="Times New Roman"/>
                <w:b/>
                <w:bCs/>
                <w:snapToGrid w:val="0"/>
              </w:rPr>
              <w:t>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A23B1ED" w14:textId="02AFF0E3" w:rsidR="000E3AD7" w:rsidRPr="004200DB" w:rsidRDefault="000E3AD7" w:rsidP="00BA217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r>
      <w:tr w:rsidR="000E3AD7" w:rsidRPr="00074768" w14:paraId="787AF9D2" w14:textId="77777777" w:rsidTr="002642B8">
        <w:trPr>
          <w:trHeight w:val="271"/>
        </w:trPr>
        <w:tc>
          <w:tcPr>
            <w:tcW w:w="2159" w:type="dxa"/>
            <w:vMerge w:val="restart"/>
            <w:tcBorders>
              <w:top w:val="single" w:sz="4" w:space="0" w:color="000000"/>
              <w:left w:val="single" w:sz="4" w:space="0" w:color="000000"/>
              <w:right w:val="single" w:sz="4" w:space="0" w:color="000000"/>
            </w:tcBorders>
            <w:shd w:val="clear" w:color="auto" w:fill="auto"/>
            <w:vAlign w:val="center"/>
          </w:tcPr>
          <w:p w14:paraId="7B69D2D1" w14:textId="22F80F1D" w:rsidR="000E3AD7" w:rsidRPr="00074768" w:rsidRDefault="000E3AD7" w:rsidP="00BA2175">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 xml:space="preserve">Infekcijos ir </w:t>
            </w:r>
            <w:proofErr w:type="spellStart"/>
            <w:r w:rsidRPr="00074768">
              <w:rPr>
                <w:rFonts w:ascii="Times New Roman" w:eastAsia="Times New Roman" w:hAnsi="Times New Roman"/>
                <w:snapToGrid w:val="0"/>
              </w:rPr>
              <w:t>i</w:t>
            </w:r>
            <w:r w:rsidRPr="00F159B6">
              <w:rPr>
                <w:rFonts w:ascii="Times New Roman" w:eastAsia="Times New Roman" w:hAnsi="Times New Roman"/>
                <w:snapToGrid w:val="0"/>
              </w:rPr>
              <w:t>nfestacijos</w:t>
            </w:r>
            <w:proofErr w:type="spellEnd"/>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5C993F6" w14:textId="33791E05" w:rsidR="000E3AD7" w:rsidRPr="0085406C" w:rsidRDefault="000E3AD7" w:rsidP="00BA2175">
            <w:pPr>
              <w:tabs>
                <w:tab w:val="left" w:pos="567"/>
              </w:tabs>
              <w:spacing w:after="0" w:line="260" w:lineRule="exact"/>
              <w:rPr>
                <w:rFonts w:ascii="Times New Roman" w:eastAsia="Times New Roman" w:hAnsi="Times New Roman"/>
                <w:snapToGrid w:val="0"/>
              </w:rPr>
            </w:pPr>
            <w:proofErr w:type="spellStart"/>
            <w:r w:rsidRPr="000E3AD7">
              <w:rPr>
                <w:rFonts w:ascii="Times New Roman" w:eastAsia="Times New Roman" w:hAnsi="Times New Roman"/>
                <w:snapToGrid w:val="0"/>
              </w:rPr>
              <w:t>Neutropeninė</w:t>
            </w:r>
            <w:proofErr w:type="spellEnd"/>
            <w:r w:rsidRPr="000E3AD7">
              <w:rPr>
                <w:rFonts w:ascii="Times New Roman" w:eastAsia="Times New Roman" w:hAnsi="Times New Roman"/>
                <w:snapToGrid w:val="0"/>
              </w:rPr>
              <w:t xml:space="preserve"> infekcija / sepsis*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13E1DE8" w14:textId="77777777" w:rsidR="000E3AD7" w:rsidRPr="004200DB" w:rsidRDefault="000E3AD7" w:rsidP="00BA2175">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70E2972" w14:textId="1842DCAA" w:rsidR="000E3AD7" w:rsidRPr="004200DB" w:rsidRDefault="000E3AD7" w:rsidP="00BA217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48</w:t>
            </w:r>
            <w:r w:rsidR="00C90BDC">
              <w:rPr>
                <w:rFonts w:ascii="Times New Roman" w:eastAsia="Times New Roman" w:hAnsi="Times New Roman"/>
                <w:snapToGrid w:val="0"/>
              </w:rPr>
              <w:t xml:space="preserve"> (4,4)</w:t>
            </w:r>
          </w:p>
        </w:tc>
        <w:tc>
          <w:tcPr>
            <w:tcW w:w="1134" w:type="dxa"/>
            <w:tcBorders>
              <w:top w:val="single" w:sz="4" w:space="0" w:color="000000"/>
              <w:left w:val="single" w:sz="4" w:space="0" w:color="000000"/>
              <w:bottom w:val="single" w:sz="4" w:space="0" w:color="000000"/>
              <w:right w:val="single" w:sz="4" w:space="0" w:color="000000"/>
            </w:tcBorders>
          </w:tcPr>
          <w:p w14:paraId="59247619" w14:textId="77777777" w:rsidR="000E3AD7" w:rsidRPr="004200DB" w:rsidRDefault="000E3AD7" w:rsidP="00BA2175">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58BDED" w14:textId="5A81F500" w:rsidR="000E3AD7" w:rsidRPr="004200DB" w:rsidRDefault="00C90BDC" w:rsidP="00BA217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42 (3,8)</w:t>
            </w:r>
          </w:p>
        </w:tc>
      </w:tr>
      <w:tr w:rsidR="000E3AD7" w:rsidRPr="00074768" w14:paraId="32A93BC1" w14:textId="77777777" w:rsidTr="002642B8">
        <w:trPr>
          <w:trHeight w:val="271"/>
        </w:trPr>
        <w:tc>
          <w:tcPr>
            <w:tcW w:w="2159" w:type="dxa"/>
            <w:vMerge/>
            <w:tcBorders>
              <w:left w:val="single" w:sz="4" w:space="0" w:color="000000"/>
              <w:right w:val="single" w:sz="4" w:space="0" w:color="000000"/>
            </w:tcBorders>
            <w:shd w:val="clear" w:color="auto" w:fill="auto"/>
            <w:vAlign w:val="center"/>
          </w:tcPr>
          <w:p w14:paraId="378B9323" w14:textId="6D8DB9B1" w:rsidR="000E3AD7" w:rsidRPr="00F159B6" w:rsidRDefault="000E3AD7" w:rsidP="00BA2175">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0987A50" w14:textId="77777777" w:rsidR="000E3AD7" w:rsidRPr="0085406C" w:rsidRDefault="000E3AD7" w:rsidP="00BA2175">
            <w:pPr>
              <w:tabs>
                <w:tab w:val="left" w:pos="567"/>
              </w:tabs>
              <w:spacing w:after="0" w:line="260" w:lineRule="exact"/>
              <w:rPr>
                <w:rFonts w:ascii="Times New Roman" w:eastAsia="Times New Roman" w:hAnsi="Times New Roman"/>
                <w:snapToGrid w:val="0"/>
              </w:rPr>
            </w:pPr>
            <w:proofErr w:type="spellStart"/>
            <w:r w:rsidRPr="0085406C">
              <w:rPr>
                <w:rFonts w:ascii="Times New Roman" w:eastAsia="Times New Roman" w:hAnsi="Times New Roman"/>
                <w:snapToGrid w:val="0"/>
              </w:rPr>
              <w:t>Sepsinis</w:t>
            </w:r>
            <w:proofErr w:type="spellEnd"/>
            <w:r w:rsidRPr="0085406C">
              <w:rPr>
                <w:rFonts w:ascii="Times New Roman" w:eastAsia="Times New Roman" w:hAnsi="Times New Roman"/>
                <w:snapToGrid w:val="0"/>
              </w:rPr>
              <w:t xml:space="preserve"> šokas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499054F" w14:textId="77777777" w:rsidR="000E3AD7" w:rsidRPr="004200DB" w:rsidRDefault="000E3AD7" w:rsidP="00BA217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6D9506" w14:textId="4E833A7D" w:rsidR="000E3AD7" w:rsidRPr="004200DB" w:rsidRDefault="000E3AD7" w:rsidP="00BA2175">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2F612E44" w14:textId="217EED03" w:rsidR="000E3AD7" w:rsidRPr="004200DB" w:rsidRDefault="00C90BDC" w:rsidP="00BA217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10 (0,9)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FFAC6CB" w14:textId="1B679D23" w:rsidR="000E3AD7" w:rsidRPr="004200DB" w:rsidRDefault="00C90BDC" w:rsidP="00BA217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10 (0,9)</w:t>
            </w:r>
            <w:r w:rsidR="000E3AD7" w:rsidRPr="004200DB">
              <w:rPr>
                <w:rFonts w:ascii="Times New Roman" w:eastAsia="Times New Roman" w:hAnsi="Times New Roman"/>
                <w:snapToGrid w:val="0"/>
              </w:rPr>
              <w:t xml:space="preserve"> </w:t>
            </w:r>
          </w:p>
        </w:tc>
      </w:tr>
      <w:tr w:rsidR="0026425E" w:rsidRPr="00074768" w14:paraId="5506C2BB" w14:textId="77777777" w:rsidTr="002642B8">
        <w:trPr>
          <w:trHeight w:val="269"/>
        </w:trPr>
        <w:tc>
          <w:tcPr>
            <w:tcW w:w="0" w:type="auto"/>
            <w:vMerge/>
            <w:tcBorders>
              <w:left w:val="single" w:sz="4" w:space="0" w:color="000000"/>
              <w:right w:val="single" w:sz="4" w:space="0" w:color="000000"/>
            </w:tcBorders>
            <w:shd w:val="clear" w:color="auto" w:fill="auto"/>
          </w:tcPr>
          <w:p w14:paraId="21662512" w14:textId="77777777" w:rsidR="0026425E" w:rsidRPr="00037DA8" w:rsidRDefault="0026425E" w:rsidP="0026425E">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6A8E1BA" w14:textId="77777777"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Sepsis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7E893A1" w14:textId="77777777"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0747961" w14:textId="71040561" w:rsidR="0026425E" w:rsidRPr="00037DA8" w:rsidRDefault="0026425E" w:rsidP="0026425E">
            <w:pPr>
              <w:tabs>
                <w:tab w:val="left" w:pos="567"/>
              </w:tabs>
              <w:spacing w:after="0" w:line="260" w:lineRule="exact"/>
              <w:rPr>
                <w:rFonts w:ascii="Times New Roman" w:eastAsia="Times New Roman" w:hAnsi="Times New Roman"/>
                <w:snapToGrid w:val="0"/>
              </w:rPr>
            </w:pPr>
            <w:r w:rsidRPr="0019482C">
              <w:rPr>
                <w:rFonts w:ascii="Times New Roman" w:eastAsia="Times New Roman" w:hAnsi="Times New Roman"/>
                <w:snapToGrid w:val="0"/>
              </w:rPr>
              <w:t>13 (1</w:t>
            </w:r>
            <w:r>
              <w:rPr>
                <w:rFonts w:ascii="Times New Roman" w:eastAsia="Times New Roman" w:hAnsi="Times New Roman"/>
                <w:snapToGrid w:val="0"/>
              </w:rPr>
              <w:t>,</w:t>
            </w:r>
            <w:r w:rsidRPr="0019482C">
              <w:rPr>
                <w:rFonts w:ascii="Times New Roman" w:eastAsia="Times New Roman" w:hAnsi="Times New Roman"/>
                <w:snapToGrid w:val="0"/>
              </w:rPr>
              <w:t>2)</w:t>
            </w:r>
          </w:p>
        </w:tc>
        <w:tc>
          <w:tcPr>
            <w:tcW w:w="1134" w:type="dxa"/>
            <w:tcBorders>
              <w:top w:val="single" w:sz="4" w:space="0" w:color="000000"/>
              <w:left w:val="single" w:sz="4" w:space="0" w:color="000000"/>
              <w:bottom w:val="single" w:sz="4" w:space="0" w:color="000000"/>
              <w:right w:val="single" w:sz="4" w:space="0" w:color="000000"/>
            </w:tcBorders>
          </w:tcPr>
          <w:p w14:paraId="4A7ED98A" w14:textId="77777777" w:rsidR="0026425E" w:rsidRPr="00037DA8" w:rsidRDefault="0026425E" w:rsidP="0026425E">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615BAC" w14:textId="424F46E2" w:rsidR="0026425E" w:rsidRPr="00037DA8" w:rsidRDefault="0026425E" w:rsidP="0026425E">
            <w:pPr>
              <w:tabs>
                <w:tab w:val="left" w:pos="567"/>
              </w:tabs>
              <w:spacing w:after="0" w:line="260" w:lineRule="exact"/>
              <w:rPr>
                <w:rFonts w:ascii="Times New Roman" w:eastAsia="Times New Roman" w:hAnsi="Times New Roman"/>
                <w:snapToGrid w:val="0"/>
              </w:rPr>
            </w:pPr>
            <w:r w:rsidRPr="0019482C">
              <w:rPr>
                <w:rFonts w:ascii="Times New Roman" w:eastAsia="Times New Roman" w:hAnsi="Times New Roman"/>
                <w:snapToGrid w:val="0"/>
              </w:rPr>
              <w:t>13 (1</w:t>
            </w:r>
            <w:r>
              <w:rPr>
                <w:rFonts w:ascii="Times New Roman" w:eastAsia="Times New Roman" w:hAnsi="Times New Roman"/>
                <w:snapToGrid w:val="0"/>
              </w:rPr>
              <w:t>,</w:t>
            </w:r>
            <w:r w:rsidRPr="0019482C">
              <w:rPr>
                <w:rFonts w:ascii="Times New Roman" w:eastAsia="Times New Roman" w:hAnsi="Times New Roman"/>
                <w:snapToGrid w:val="0"/>
              </w:rPr>
              <w:t>2)</w:t>
            </w:r>
          </w:p>
        </w:tc>
      </w:tr>
      <w:tr w:rsidR="0026425E" w:rsidRPr="00074768" w14:paraId="3F702593" w14:textId="77777777" w:rsidTr="002642B8">
        <w:trPr>
          <w:trHeight w:val="271"/>
        </w:trPr>
        <w:tc>
          <w:tcPr>
            <w:tcW w:w="0" w:type="auto"/>
            <w:vMerge/>
            <w:tcBorders>
              <w:left w:val="single" w:sz="4" w:space="0" w:color="000000"/>
              <w:right w:val="single" w:sz="4" w:space="0" w:color="000000"/>
            </w:tcBorders>
            <w:shd w:val="clear" w:color="auto" w:fill="auto"/>
          </w:tcPr>
          <w:p w14:paraId="7F69537A" w14:textId="77777777" w:rsidR="0026425E" w:rsidRPr="00037DA8" w:rsidRDefault="0026425E" w:rsidP="0026425E">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6B45D78" w14:textId="77777777"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Celiulitas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07278AB" w14:textId="77777777"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8C1B2D" w14:textId="765F34A0" w:rsidR="0026425E" w:rsidRPr="00037DA8" w:rsidRDefault="0026425E" w:rsidP="0026425E">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07AA2F9A" w14:textId="2F546816" w:rsidR="0026425E" w:rsidRPr="00037DA8" w:rsidRDefault="0026425E" w:rsidP="0026425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8 (0,7)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FB6C21" w14:textId="3D72C6E0" w:rsidR="0026425E" w:rsidRPr="00037DA8" w:rsidRDefault="0026425E" w:rsidP="0026425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3</w:t>
            </w:r>
            <w:r w:rsidRPr="00037DA8">
              <w:rPr>
                <w:rFonts w:ascii="Times New Roman" w:eastAsia="Times New Roman" w:hAnsi="Times New Roman"/>
                <w:snapToGrid w:val="0"/>
              </w:rPr>
              <w:t xml:space="preserve"> (0,</w:t>
            </w:r>
            <w:r>
              <w:rPr>
                <w:rFonts w:ascii="Times New Roman" w:eastAsia="Times New Roman" w:hAnsi="Times New Roman"/>
                <w:snapToGrid w:val="0"/>
              </w:rPr>
              <w:t>3</w:t>
            </w:r>
            <w:r w:rsidRPr="00037DA8">
              <w:rPr>
                <w:rFonts w:ascii="Times New Roman" w:eastAsia="Times New Roman" w:hAnsi="Times New Roman"/>
                <w:snapToGrid w:val="0"/>
              </w:rPr>
              <w:t xml:space="preserve">) </w:t>
            </w:r>
          </w:p>
        </w:tc>
      </w:tr>
      <w:tr w:rsidR="0026425E" w:rsidRPr="00074768" w14:paraId="44720945" w14:textId="77777777" w:rsidTr="002642B8">
        <w:trPr>
          <w:trHeight w:val="689"/>
        </w:trPr>
        <w:tc>
          <w:tcPr>
            <w:tcW w:w="0" w:type="auto"/>
            <w:vMerge/>
            <w:tcBorders>
              <w:left w:val="single" w:sz="4" w:space="0" w:color="000000"/>
              <w:right w:val="single" w:sz="4" w:space="0" w:color="000000"/>
            </w:tcBorders>
            <w:shd w:val="clear" w:color="auto" w:fill="auto"/>
          </w:tcPr>
          <w:p w14:paraId="4C5E4E58" w14:textId="77777777" w:rsidR="0026425E" w:rsidRPr="00037DA8" w:rsidRDefault="0026425E" w:rsidP="0026425E">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8F06CEB" w14:textId="77777777"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Šlapimo takų infekcija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A8F633E" w14:textId="77777777"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9DEFC45" w14:textId="774456D0" w:rsidR="0026425E" w:rsidRPr="00037DA8" w:rsidRDefault="0026425E" w:rsidP="0026425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103 (9,4)</w:t>
            </w:r>
          </w:p>
        </w:tc>
        <w:tc>
          <w:tcPr>
            <w:tcW w:w="1134" w:type="dxa"/>
            <w:tcBorders>
              <w:top w:val="single" w:sz="4" w:space="0" w:color="000000"/>
              <w:left w:val="single" w:sz="4" w:space="0" w:color="000000"/>
              <w:bottom w:val="single" w:sz="4" w:space="0" w:color="000000"/>
              <w:right w:val="single" w:sz="4" w:space="0" w:color="000000"/>
            </w:tcBorders>
          </w:tcPr>
          <w:p w14:paraId="5F169FBB" w14:textId="77777777" w:rsidR="0026425E" w:rsidRPr="00037DA8" w:rsidRDefault="0026425E" w:rsidP="0026425E">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80A620" w14:textId="13C368CB" w:rsidR="0026425E" w:rsidRPr="00037DA8" w:rsidRDefault="0026425E" w:rsidP="0026425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19</w:t>
            </w:r>
            <w:r w:rsidRPr="00037DA8">
              <w:rPr>
                <w:rFonts w:ascii="Times New Roman" w:eastAsia="Times New Roman" w:hAnsi="Times New Roman"/>
                <w:snapToGrid w:val="0"/>
              </w:rPr>
              <w:t xml:space="preserve"> (1,</w:t>
            </w:r>
            <w:r>
              <w:rPr>
                <w:rFonts w:ascii="Times New Roman" w:eastAsia="Times New Roman" w:hAnsi="Times New Roman"/>
                <w:snapToGrid w:val="0"/>
              </w:rPr>
              <w:t>7</w:t>
            </w:r>
            <w:r w:rsidRPr="00037DA8">
              <w:rPr>
                <w:rFonts w:ascii="Times New Roman" w:eastAsia="Times New Roman" w:hAnsi="Times New Roman"/>
                <w:snapToGrid w:val="0"/>
              </w:rPr>
              <w:t xml:space="preserve">) </w:t>
            </w:r>
          </w:p>
        </w:tc>
      </w:tr>
      <w:tr w:rsidR="0026425E" w:rsidRPr="00074768" w14:paraId="2A2DEBD1" w14:textId="77777777" w:rsidTr="002642B8">
        <w:trPr>
          <w:trHeight w:val="278"/>
        </w:trPr>
        <w:tc>
          <w:tcPr>
            <w:tcW w:w="0" w:type="auto"/>
            <w:vMerge/>
            <w:tcBorders>
              <w:left w:val="single" w:sz="4" w:space="0" w:color="000000"/>
              <w:right w:val="single" w:sz="4" w:space="0" w:color="000000"/>
            </w:tcBorders>
            <w:shd w:val="clear" w:color="auto" w:fill="auto"/>
          </w:tcPr>
          <w:p w14:paraId="65DA6844" w14:textId="77777777" w:rsidR="0026425E" w:rsidRPr="00037DA8" w:rsidRDefault="0026425E" w:rsidP="0026425E">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6DEEE7F" w14:textId="77777777"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Gripas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1701FEE" w14:textId="77777777"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85C43B" w14:textId="4A97F7B5" w:rsidR="0026425E" w:rsidRPr="00037DA8" w:rsidRDefault="0026425E" w:rsidP="0026425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22 (2,0)</w:t>
            </w:r>
          </w:p>
        </w:tc>
        <w:tc>
          <w:tcPr>
            <w:tcW w:w="1134" w:type="dxa"/>
            <w:tcBorders>
              <w:top w:val="single" w:sz="4" w:space="0" w:color="000000"/>
              <w:left w:val="single" w:sz="4" w:space="0" w:color="000000"/>
              <w:bottom w:val="single" w:sz="4" w:space="0" w:color="000000"/>
              <w:right w:val="single" w:sz="4" w:space="0" w:color="000000"/>
            </w:tcBorders>
          </w:tcPr>
          <w:p w14:paraId="7F740E6E" w14:textId="77777777" w:rsidR="0026425E" w:rsidRPr="00037DA8" w:rsidRDefault="0026425E" w:rsidP="0026425E">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7C5CBF2" w14:textId="083041A1"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26425E" w:rsidRPr="00074768" w14:paraId="2D3A4624" w14:textId="77777777" w:rsidTr="002642B8">
        <w:trPr>
          <w:trHeight w:val="271"/>
        </w:trPr>
        <w:tc>
          <w:tcPr>
            <w:tcW w:w="0" w:type="auto"/>
            <w:vMerge/>
            <w:tcBorders>
              <w:left w:val="single" w:sz="4" w:space="0" w:color="000000"/>
              <w:right w:val="single" w:sz="4" w:space="0" w:color="000000"/>
            </w:tcBorders>
            <w:shd w:val="clear" w:color="auto" w:fill="auto"/>
          </w:tcPr>
          <w:p w14:paraId="3EBC6FCB" w14:textId="77777777" w:rsidR="0026425E" w:rsidRPr="00037DA8" w:rsidRDefault="0026425E" w:rsidP="0026425E">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E19816E" w14:textId="77777777"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Cistitas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3874C21" w14:textId="77777777"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880486F" w14:textId="4306AAED" w:rsidR="0026425E" w:rsidRPr="00037DA8" w:rsidRDefault="0026425E" w:rsidP="0026425E">
            <w:pPr>
              <w:tabs>
                <w:tab w:val="left" w:pos="567"/>
              </w:tabs>
              <w:spacing w:after="0" w:line="260" w:lineRule="exact"/>
              <w:rPr>
                <w:rFonts w:ascii="Times New Roman" w:eastAsia="Times New Roman" w:hAnsi="Times New Roman"/>
                <w:snapToGrid w:val="0"/>
              </w:rPr>
            </w:pPr>
            <w:r w:rsidRPr="001C592B">
              <w:rPr>
                <w:rFonts w:ascii="Times New Roman" w:eastAsia="Times New Roman" w:hAnsi="Times New Roman"/>
                <w:snapToGrid w:val="0"/>
              </w:rPr>
              <w:t>22 (2,0)</w:t>
            </w:r>
          </w:p>
        </w:tc>
        <w:tc>
          <w:tcPr>
            <w:tcW w:w="1134" w:type="dxa"/>
            <w:tcBorders>
              <w:top w:val="single" w:sz="4" w:space="0" w:color="000000"/>
              <w:left w:val="single" w:sz="4" w:space="0" w:color="000000"/>
              <w:bottom w:val="single" w:sz="4" w:space="0" w:color="000000"/>
              <w:right w:val="single" w:sz="4" w:space="0" w:color="000000"/>
            </w:tcBorders>
          </w:tcPr>
          <w:p w14:paraId="188227CC" w14:textId="77777777" w:rsidR="0026425E" w:rsidRPr="00037DA8" w:rsidRDefault="0026425E" w:rsidP="0026425E">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C6797DF" w14:textId="71D82D92" w:rsidR="0026425E" w:rsidRPr="00037DA8" w:rsidRDefault="0026425E" w:rsidP="0026425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 (0,2)</w:t>
            </w:r>
            <w:r w:rsidRPr="00037DA8">
              <w:rPr>
                <w:rFonts w:ascii="Times New Roman" w:eastAsia="Times New Roman" w:hAnsi="Times New Roman"/>
                <w:snapToGrid w:val="0"/>
              </w:rPr>
              <w:t xml:space="preserve"> </w:t>
            </w:r>
          </w:p>
        </w:tc>
      </w:tr>
      <w:tr w:rsidR="0026425E" w:rsidRPr="00074768" w14:paraId="53DB5946" w14:textId="77777777" w:rsidTr="002642B8">
        <w:trPr>
          <w:trHeight w:val="530"/>
        </w:trPr>
        <w:tc>
          <w:tcPr>
            <w:tcW w:w="0" w:type="auto"/>
            <w:vMerge/>
            <w:tcBorders>
              <w:left w:val="single" w:sz="4" w:space="0" w:color="000000"/>
              <w:right w:val="single" w:sz="4" w:space="0" w:color="000000"/>
            </w:tcBorders>
            <w:shd w:val="clear" w:color="auto" w:fill="auto"/>
          </w:tcPr>
          <w:p w14:paraId="2FA19DEF" w14:textId="77777777" w:rsidR="0026425E" w:rsidRPr="00037DA8" w:rsidRDefault="0026425E" w:rsidP="0026425E">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6349EE8" w14:textId="77777777"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Viršutinių kvėpavimo takų infekcija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BC11642" w14:textId="77777777"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97F8BA4" w14:textId="0D593453" w:rsidR="0026425E" w:rsidRPr="00037DA8" w:rsidRDefault="0026425E" w:rsidP="0026425E">
            <w:pPr>
              <w:tabs>
                <w:tab w:val="left" w:pos="567"/>
              </w:tabs>
              <w:spacing w:after="0" w:line="260" w:lineRule="exact"/>
              <w:rPr>
                <w:rFonts w:ascii="Times New Roman" w:eastAsia="Times New Roman" w:hAnsi="Times New Roman"/>
                <w:snapToGrid w:val="0"/>
              </w:rPr>
            </w:pPr>
            <w:r w:rsidRPr="004F5C91">
              <w:rPr>
                <w:rFonts w:ascii="Times New Roman" w:eastAsia="Times New Roman" w:hAnsi="Times New Roman"/>
                <w:snapToGrid w:val="0"/>
              </w:rPr>
              <w:t>2</w:t>
            </w:r>
            <w:r>
              <w:rPr>
                <w:rFonts w:ascii="Times New Roman" w:eastAsia="Times New Roman" w:hAnsi="Times New Roman"/>
                <w:snapToGrid w:val="0"/>
              </w:rPr>
              <w:t>3</w:t>
            </w:r>
            <w:r w:rsidRPr="004F5C91">
              <w:rPr>
                <w:rFonts w:ascii="Times New Roman" w:eastAsia="Times New Roman" w:hAnsi="Times New Roman"/>
                <w:snapToGrid w:val="0"/>
              </w:rPr>
              <w:t xml:space="preserve"> (2,</w:t>
            </w:r>
            <w:r>
              <w:rPr>
                <w:rFonts w:ascii="Times New Roman" w:eastAsia="Times New Roman" w:hAnsi="Times New Roman"/>
                <w:snapToGrid w:val="0"/>
              </w:rPr>
              <w:t>1</w:t>
            </w:r>
            <w:r w:rsidRPr="004F5C91">
              <w:rPr>
                <w:rFonts w:ascii="Times New Roman" w:eastAsia="Times New Roman" w:hAnsi="Times New Roman"/>
                <w:snapToGrid w:val="0"/>
              </w:rPr>
              <w:t>)</w:t>
            </w:r>
          </w:p>
        </w:tc>
        <w:tc>
          <w:tcPr>
            <w:tcW w:w="1134" w:type="dxa"/>
            <w:tcBorders>
              <w:top w:val="single" w:sz="4" w:space="0" w:color="000000"/>
              <w:left w:val="single" w:sz="4" w:space="0" w:color="000000"/>
              <w:bottom w:val="single" w:sz="4" w:space="0" w:color="000000"/>
              <w:right w:val="single" w:sz="4" w:space="0" w:color="000000"/>
            </w:tcBorders>
          </w:tcPr>
          <w:p w14:paraId="1B47D271" w14:textId="77777777" w:rsidR="0026425E" w:rsidRPr="00037DA8" w:rsidRDefault="0026425E" w:rsidP="0026425E">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1CC5C0" w14:textId="68AA2715"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26425E" w:rsidRPr="00074768" w14:paraId="27F890AD" w14:textId="77777777" w:rsidTr="002642B8">
        <w:trPr>
          <w:trHeight w:val="269"/>
        </w:trPr>
        <w:tc>
          <w:tcPr>
            <w:tcW w:w="0" w:type="auto"/>
            <w:vMerge/>
            <w:tcBorders>
              <w:left w:val="single" w:sz="4" w:space="0" w:color="000000"/>
              <w:right w:val="single" w:sz="4" w:space="0" w:color="000000"/>
            </w:tcBorders>
            <w:shd w:val="clear" w:color="auto" w:fill="auto"/>
          </w:tcPr>
          <w:p w14:paraId="20FCBC75" w14:textId="77777777" w:rsidR="0026425E" w:rsidRPr="00037DA8" w:rsidRDefault="0026425E" w:rsidP="0026425E">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AD688CE" w14:textId="014D0FC8"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Juos</w:t>
            </w:r>
            <w:r>
              <w:rPr>
                <w:rFonts w:ascii="Times New Roman" w:eastAsia="Times New Roman" w:hAnsi="Times New Roman"/>
                <w:snapToGrid w:val="0"/>
              </w:rPr>
              <w:t>tinė</w:t>
            </w:r>
            <w:r w:rsidRPr="00037DA8">
              <w:rPr>
                <w:rFonts w:ascii="Times New Roman" w:eastAsia="Times New Roman" w:hAnsi="Times New Roman"/>
                <w:snapToGrid w:val="0"/>
              </w:rPr>
              <w:t xml:space="preserve"> pūslelinė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34B186F" w14:textId="77777777"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2F52CBE" w14:textId="3239186A" w:rsidR="0026425E" w:rsidRPr="00037DA8" w:rsidRDefault="0026425E" w:rsidP="0026425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14(1,3)</w:t>
            </w:r>
          </w:p>
        </w:tc>
        <w:tc>
          <w:tcPr>
            <w:tcW w:w="1134" w:type="dxa"/>
            <w:tcBorders>
              <w:top w:val="single" w:sz="4" w:space="0" w:color="000000"/>
              <w:left w:val="single" w:sz="4" w:space="0" w:color="000000"/>
              <w:bottom w:val="single" w:sz="4" w:space="0" w:color="000000"/>
              <w:right w:val="single" w:sz="4" w:space="0" w:color="000000"/>
            </w:tcBorders>
          </w:tcPr>
          <w:p w14:paraId="1965A01A" w14:textId="77777777" w:rsidR="0026425E" w:rsidRPr="00037DA8" w:rsidRDefault="0026425E" w:rsidP="0026425E">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C26DBB" w14:textId="7ED289E6" w:rsidR="0026425E" w:rsidRPr="00037DA8" w:rsidRDefault="0026425E" w:rsidP="002642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643FCE" w:rsidRPr="00074768" w14:paraId="6BBDAAAA" w14:textId="77777777" w:rsidTr="002642B8">
        <w:trPr>
          <w:trHeight w:val="271"/>
        </w:trPr>
        <w:tc>
          <w:tcPr>
            <w:tcW w:w="0" w:type="auto"/>
            <w:vMerge/>
            <w:tcBorders>
              <w:left w:val="single" w:sz="4" w:space="0" w:color="000000"/>
              <w:bottom w:val="single" w:sz="4" w:space="0" w:color="000000"/>
              <w:right w:val="single" w:sz="4" w:space="0" w:color="000000"/>
            </w:tcBorders>
            <w:shd w:val="clear" w:color="auto" w:fill="auto"/>
          </w:tcPr>
          <w:p w14:paraId="05D30C80" w14:textId="77777777" w:rsidR="00643FCE" w:rsidRPr="00037DA8" w:rsidRDefault="00643FCE" w:rsidP="00643FCE">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C934133" w14:textId="77777777" w:rsidR="00643FCE" w:rsidRPr="00037DA8" w:rsidRDefault="00643FCE" w:rsidP="00643FCE">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Kandidozė</w:t>
            </w:r>
            <w:proofErr w:type="spellEnd"/>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8390BEF" w14:textId="77777777" w:rsidR="00643FCE" w:rsidRPr="00037DA8" w:rsidRDefault="00643FCE" w:rsidP="00643FC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8B9177" w14:textId="536A6031" w:rsidR="00643FCE" w:rsidRPr="00037DA8" w:rsidRDefault="00643FCE" w:rsidP="00643FC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11 (1,0)</w:t>
            </w:r>
          </w:p>
        </w:tc>
        <w:tc>
          <w:tcPr>
            <w:tcW w:w="1134" w:type="dxa"/>
            <w:tcBorders>
              <w:top w:val="single" w:sz="4" w:space="0" w:color="000000"/>
              <w:left w:val="single" w:sz="4" w:space="0" w:color="000000"/>
              <w:bottom w:val="single" w:sz="4" w:space="0" w:color="000000"/>
              <w:right w:val="single" w:sz="4" w:space="0" w:color="000000"/>
            </w:tcBorders>
          </w:tcPr>
          <w:p w14:paraId="587853D2" w14:textId="77777777" w:rsidR="00643FCE" w:rsidRPr="00037DA8" w:rsidRDefault="00643FCE" w:rsidP="00643FCE">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583A33" w14:textId="32F90ECB" w:rsidR="00643FCE" w:rsidRPr="00037DA8" w:rsidRDefault="00643FCE" w:rsidP="00643FC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 (&lt;</w:t>
            </w:r>
            <w:r w:rsidR="00721662">
              <w:rPr>
                <w:rFonts w:ascii="Times New Roman" w:eastAsia="Times New Roman" w:hAnsi="Times New Roman"/>
                <w:snapToGrid w:val="0"/>
              </w:rPr>
              <w:t> </w:t>
            </w:r>
            <w:r>
              <w:rPr>
                <w:rFonts w:ascii="Times New Roman" w:eastAsia="Times New Roman" w:hAnsi="Times New Roman"/>
                <w:snapToGrid w:val="0"/>
              </w:rPr>
              <w:t>0,1)</w:t>
            </w:r>
            <w:r w:rsidRPr="00037DA8">
              <w:rPr>
                <w:rFonts w:ascii="Times New Roman" w:eastAsia="Times New Roman" w:hAnsi="Times New Roman"/>
                <w:snapToGrid w:val="0"/>
              </w:rPr>
              <w:t xml:space="preserve"> </w:t>
            </w:r>
          </w:p>
        </w:tc>
      </w:tr>
      <w:tr w:rsidR="001B1287" w:rsidRPr="00074768" w14:paraId="785954D2" w14:textId="77777777" w:rsidTr="002642B8">
        <w:trPr>
          <w:trHeight w:val="269"/>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492A93" w14:textId="77777777" w:rsidR="001B1287" w:rsidRPr="0085406C" w:rsidRDefault="001B1287" w:rsidP="001B1287">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Kraujo ir limfinės sistemos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FF33C1F" w14:textId="77777777" w:rsidR="001B1287" w:rsidRPr="00037DA8" w:rsidRDefault="001B1287" w:rsidP="001B1287">
            <w:pPr>
              <w:tabs>
                <w:tab w:val="left" w:pos="567"/>
              </w:tabs>
              <w:spacing w:after="0" w:line="260" w:lineRule="exact"/>
              <w:rPr>
                <w:rFonts w:ascii="Times New Roman" w:eastAsia="Times New Roman" w:hAnsi="Times New Roman"/>
                <w:snapToGrid w:val="0"/>
              </w:rPr>
            </w:pPr>
            <w:proofErr w:type="spellStart"/>
            <w:r w:rsidRPr="004200DB">
              <w:rPr>
                <w:rFonts w:ascii="Times New Roman" w:eastAsia="Times New Roman" w:hAnsi="Times New Roman"/>
                <w:snapToGrid w:val="0"/>
              </w:rPr>
              <w:t>Neutropenija</w:t>
            </w:r>
            <w:r w:rsidRPr="00037DA8">
              <w:rPr>
                <w:rFonts w:ascii="Times New Roman" w:eastAsia="Times New Roman" w:hAnsi="Times New Roman"/>
                <w:snapToGrid w:val="0"/>
                <w:vertAlign w:val="superscript"/>
              </w:rPr>
              <w:t>a</w:t>
            </w:r>
            <w:proofErr w:type="spellEnd"/>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1562842" w14:textId="17B9572B" w:rsidR="001B1287" w:rsidRPr="00037DA8" w:rsidRDefault="001B1287" w:rsidP="001B128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950</w:t>
            </w:r>
            <w:r w:rsidRPr="00037DA8">
              <w:rPr>
                <w:rFonts w:ascii="Times New Roman" w:eastAsia="Times New Roman" w:hAnsi="Times New Roman"/>
                <w:snapToGrid w:val="0"/>
              </w:rPr>
              <w:t xml:space="preserve"> (</w:t>
            </w:r>
            <w:r>
              <w:rPr>
                <w:rFonts w:ascii="Times New Roman" w:eastAsia="Times New Roman" w:hAnsi="Times New Roman"/>
                <w:snapToGrid w:val="0"/>
              </w:rPr>
              <w:t>87,9</w:t>
            </w: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1535240" w14:textId="3C51C2CB" w:rsidR="001B1287" w:rsidRPr="00037DA8" w:rsidRDefault="001B1287" w:rsidP="001B1287">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06006491" w14:textId="77777777" w:rsidR="001B1287" w:rsidRPr="00037DA8" w:rsidRDefault="001B1287" w:rsidP="001B128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875F22" w14:textId="27AACC1A" w:rsidR="001B1287" w:rsidRPr="00037DA8" w:rsidRDefault="001B1287" w:rsidP="001B128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790</w:t>
            </w:r>
            <w:r w:rsidRPr="00037DA8">
              <w:rPr>
                <w:rFonts w:ascii="Times New Roman" w:eastAsia="Times New Roman" w:hAnsi="Times New Roman"/>
                <w:snapToGrid w:val="0"/>
              </w:rPr>
              <w:t xml:space="preserve"> (</w:t>
            </w:r>
            <w:r>
              <w:rPr>
                <w:rFonts w:ascii="Times New Roman" w:eastAsia="Times New Roman" w:hAnsi="Times New Roman"/>
                <w:snapToGrid w:val="0"/>
              </w:rPr>
              <w:t>73,1</w:t>
            </w:r>
            <w:r w:rsidRPr="00037DA8">
              <w:rPr>
                <w:rFonts w:ascii="Times New Roman" w:eastAsia="Times New Roman" w:hAnsi="Times New Roman"/>
                <w:snapToGrid w:val="0"/>
              </w:rPr>
              <w:t xml:space="preserve">) </w:t>
            </w:r>
          </w:p>
        </w:tc>
      </w:tr>
      <w:tr w:rsidR="001B1287" w:rsidRPr="00074768" w14:paraId="6479B60B" w14:textId="77777777" w:rsidTr="002642B8">
        <w:trPr>
          <w:trHeight w:val="271"/>
        </w:trPr>
        <w:tc>
          <w:tcPr>
            <w:tcW w:w="0" w:type="auto"/>
            <w:vMerge/>
            <w:tcBorders>
              <w:top w:val="nil"/>
              <w:left w:val="single" w:sz="4" w:space="0" w:color="000000"/>
              <w:bottom w:val="nil"/>
              <w:right w:val="single" w:sz="4" w:space="0" w:color="000000"/>
            </w:tcBorders>
            <w:shd w:val="clear" w:color="auto" w:fill="auto"/>
          </w:tcPr>
          <w:p w14:paraId="1617E258" w14:textId="77777777" w:rsidR="001B1287" w:rsidRPr="00037DA8" w:rsidRDefault="001B1287" w:rsidP="001B128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D530CBB" w14:textId="77777777" w:rsidR="001B1287" w:rsidRPr="00037DA8" w:rsidRDefault="001B1287" w:rsidP="001B128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Anemija</w:t>
            </w:r>
            <w:r w:rsidRPr="00037DA8">
              <w:rPr>
                <w:rFonts w:ascii="Times New Roman" w:eastAsia="Times New Roman" w:hAnsi="Times New Roman"/>
                <w:snapToGrid w:val="0"/>
                <w:vertAlign w:val="superscript"/>
              </w:rPr>
              <w:t xml:space="preserve"> a</w:t>
            </w:r>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61C35B4" w14:textId="448A51B3" w:rsidR="001B1287" w:rsidRPr="00037DA8" w:rsidRDefault="001B1287" w:rsidP="001B1287">
            <w:pPr>
              <w:tabs>
                <w:tab w:val="left" w:pos="567"/>
              </w:tabs>
              <w:spacing w:after="0" w:line="260" w:lineRule="exact"/>
              <w:rPr>
                <w:rFonts w:ascii="Times New Roman" w:eastAsia="Times New Roman" w:hAnsi="Times New Roman"/>
                <w:snapToGrid w:val="0"/>
              </w:rPr>
            </w:pPr>
            <w:r w:rsidRPr="009B63DD">
              <w:rPr>
                <w:rFonts w:ascii="Times New Roman" w:eastAsia="Times New Roman" w:hAnsi="Times New Roman"/>
                <w:snapToGrid w:val="0"/>
              </w:rPr>
              <w:t>1</w:t>
            </w:r>
            <w:r w:rsidR="004808C6">
              <w:rPr>
                <w:rFonts w:ascii="Times New Roman" w:eastAsia="Times New Roman" w:hAnsi="Times New Roman"/>
                <w:snapToGrid w:val="0"/>
              </w:rPr>
              <w:t> </w:t>
            </w:r>
            <w:r w:rsidRPr="009B63DD">
              <w:rPr>
                <w:rFonts w:ascii="Times New Roman" w:eastAsia="Times New Roman" w:hAnsi="Times New Roman"/>
                <w:snapToGrid w:val="0"/>
              </w:rPr>
              <w:t>073 (99</w:t>
            </w:r>
            <w:r>
              <w:rPr>
                <w:rFonts w:ascii="Times New Roman" w:eastAsia="Times New Roman" w:hAnsi="Times New Roman"/>
                <w:snapToGrid w:val="0"/>
              </w:rPr>
              <w:t>,</w:t>
            </w:r>
            <w:r w:rsidRPr="009B63DD">
              <w:rPr>
                <w:rFonts w:ascii="Times New Roman" w:eastAsia="Times New Roman" w:hAnsi="Times New Roman"/>
                <w:snapToGrid w:val="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451713" w14:textId="592FCB63" w:rsidR="001B1287" w:rsidRPr="00037DA8" w:rsidRDefault="001B1287" w:rsidP="001B1287">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78738E94" w14:textId="77777777" w:rsidR="001B1287" w:rsidRPr="00037DA8" w:rsidRDefault="001B1287" w:rsidP="001B128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932830" w14:textId="199A7B65" w:rsidR="001B1287" w:rsidRPr="00037DA8" w:rsidRDefault="001B1287" w:rsidP="001B128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130</w:t>
            </w:r>
            <w:r w:rsidRPr="00037DA8">
              <w:rPr>
                <w:rFonts w:ascii="Times New Roman" w:eastAsia="Times New Roman" w:hAnsi="Times New Roman"/>
                <w:snapToGrid w:val="0"/>
              </w:rPr>
              <w:t xml:space="preserve"> (1</w:t>
            </w:r>
            <w:r>
              <w:rPr>
                <w:rFonts w:ascii="Times New Roman" w:eastAsia="Times New Roman" w:hAnsi="Times New Roman"/>
                <w:snapToGrid w:val="0"/>
              </w:rPr>
              <w:t>2,0</w:t>
            </w:r>
            <w:r w:rsidRPr="00037DA8">
              <w:rPr>
                <w:rFonts w:ascii="Times New Roman" w:eastAsia="Times New Roman" w:hAnsi="Times New Roman"/>
                <w:snapToGrid w:val="0"/>
              </w:rPr>
              <w:t xml:space="preserve">) </w:t>
            </w:r>
          </w:p>
        </w:tc>
      </w:tr>
      <w:tr w:rsidR="001B1287" w:rsidRPr="00074768" w14:paraId="3941A4C1" w14:textId="77777777" w:rsidTr="002642B8">
        <w:trPr>
          <w:trHeight w:val="269"/>
        </w:trPr>
        <w:tc>
          <w:tcPr>
            <w:tcW w:w="0" w:type="auto"/>
            <w:vMerge/>
            <w:tcBorders>
              <w:top w:val="nil"/>
              <w:left w:val="single" w:sz="4" w:space="0" w:color="000000"/>
              <w:bottom w:val="nil"/>
              <w:right w:val="single" w:sz="4" w:space="0" w:color="000000"/>
            </w:tcBorders>
            <w:shd w:val="clear" w:color="auto" w:fill="auto"/>
          </w:tcPr>
          <w:p w14:paraId="2C49A089" w14:textId="77777777" w:rsidR="001B1287" w:rsidRPr="00037DA8" w:rsidRDefault="001B1287" w:rsidP="001B128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FA067C3" w14:textId="77777777" w:rsidR="001B1287" w:rsidRPr="00037DA8" w:rsidRDefault="001B1287" w:rsidP="001B1287">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Leukopenija</w:t>
            </w:r>
            <w:r w:rsidRPr="00037DA8">
              <w:rPr>
                <w:rFonts w:ascii="Times New Roman" w:eastAsia="Times New Roman" w:hAnsi="Times New Roman"/>
                <w:snapToGrid w:val="0"/>
                <w:vertAlign w:val="superscript"/>
              </w:rPr>
              <w:t>a</w:t>
            </w:r>
            <w:proofErr w:type="spellEnd"/>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7B95BF6" w14:textId="3FB520E4" w:rsidR="001B1287" w:rsidRPr="00037DA8" w:rsidRDefault="001B1287" w:rsidP="001B1287">
            <w:pPr>
              <w:tabs>
                <w:tab w:val="left" w:pos="567"/>
              </w:tabs>
              <w:spacing w:after="0" w:line="260" w:lineRule="exact"/>
              <w:rPr>
                <w:rFonts w:ascii="Times New Roman" w:eastAsia="Times New Roman" w:hAnsi="Times New Roman"/>
                <w:snapToGrid w:val="0"/>
              </w:rPr>
            </w:pPr>
            <w:r w:rsidRPr="0086443B">
              <w:rPr>
                <w:rFonts w:ascii="Times New Roman" w:eastAsia="Times New Roman" w:hAnsi="Times New Roman"/>
                <w:snapToGrid w:val="0"/>
              </w:rPr>
              <w:t>1</w:t>
            </w:r>
            <w:r w:rsidR="004808C6">
              <w:rPr>
                <w:rFonts w:ascii="Times New Roman" w:eastAsia="Times New Roman" w:hAnsi="Times New Roman"/>
                <w:snapToGrid w:val="0"/>
              </w:rPr>
              <w:t> </w:t>
            </w:r>
            <w:r w:rsidRPr="0086443B">
              <w:rPr>
                <w:rFonts w:ascii="Times New Roman" w:eastAsia="Times New Roman" w:hAnsi="Times New Roman"/>
                <w:snapToGrid w:val="0"/>
              </w:rPr>
              <w:t>008 (93</w:t>
            </w:r>
            <w:r>
              <w:rPr>
                <w:rFonts w:ascii="Times New Roman" w:eastAsia="Times New Roman" w:hAnsi="Times New Roman"/>
                <w:snapToGrid w:val="0"/>
              </w:rPr>
              <w:t>,</w:t>
            </w:r>
            <w:r w:rsidRPr="0086443B">
              <w:rPr>
                <w:rFonts w:ascii="Times New Roman" w:eastAsia="Times New Roman" w:hAnsi="Times New Roman"/>
                <w:snapToGrid w:val="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D09C814" w14:textId="03CB2040" w:rsidR="001B1287" w:rsidRPr="00037DA8" w:rsidRDefault="001B1287" w:rsidP="001B1287">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480C9758" w14:textId="77777777" w:rsidR="001B1287" w:rsidRPr="00037DA8" w:rsidRDefault="001B1287" w:rsidP="001B128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4D8DB2" w14:textId="22A0F7B1" w:rsidR="001B1287" w:rsidRPr="00037DA8" w:rsidRDefault="001B1287" w:rsidP="001B128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645</w:t>
            </w:r>
            <w:r w:rsidRPr="00037DA8">
              <w:rPr>
                <w:rFonts w:ascii="Times New Roman" w:eastAsia="Times New Roman" w:hAnsi="Times New Roman"/>
                <w:snapToGrid w:val="0"/>
              </w:rPr>
              <w:t xml:space="preserve"> (</w:t>
            </w:r>
            <w:r>
              <w:rPr>
                <w:rFonts w:ascii="Times New Roman" w:eastAsia="Times New Roman" w:hAnsi="Times New Roman"/>
                <w:snapToGrid w:val="0"/>
              </w:rPr>
              <w:t>59</w:t>
            </w:r>
            <w:r w:rsidRPr="00037DA8">
              <w:rPr>
                <w:rFonts w:ascii="Times New Roman" w:eastAsia="Times New Roman" w:hAnsi="Times New Roman"/>
                <w:snapToGrid w:val="0"/>
              </w:rPr>
              <w:t>,</w:t>
            </w:r>
            <w:r>
              <w:rPr>
                <w:rFonts w:ascii="Times New Roman" w:eastAsia="Times New Roman" w:hAnsi="Times New Roman"/>
                <w:snapToGrid w:val="0"/>
              </w:rPr>
              <w:t>5</w:t>
            </w:r>
            <w:r w:rsidRPr="00037DA8">
              <w:rPr>
                <w:rFonts w:ascii="Times New Roman" w:eastAsia="Times New Roman" w:hAnsi="Times New Roman"/>
                <w:snapToGrid w:val="0"/>
              </w:rPr>
              <w:t xml:space="preserve">) </w:t>
            </w:r>
          </w:p>
        </w:tc>
      </w:tr>
      <w:tr w:rsidR="001B1287" w:rsidRPr="00074768" w14:paraId="4332FE98" w14:textId="77777777" w:rsidTr="002642B8">
        <w:trPr>
          <w:trHeight w:val="264"/>
        </w:trPr>
        <w:tc>
          <w:tcPr>
            <w:tcW w:w="0" w:type="auto"/>
            <w:vMerge/>
            <w:tcBorders>
              <w:top w:val="nil"/>
              <w:left w:val="single" w:sz="4" w:space="0" w:color="000000"/>
              <w:bottom w:val="nil"/>
              <w:right w:val="single" w:sz="4" w:space="0" w:color="000000"/>
            </w:tcBorders>
            <w:shd w:val="clear" w:color="auto" w:fill="auto"/>
          </w:tcPr>
          <w:p w14:paraId="265A57B5" w14:textId="77777777" w:rsidR="001B1287" w:rsidRPr="00037DA8" w:rsidRDefault="001B1287" w:rsidP="001B128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2E37B31" w14:textId="77777777" w:rsidR="001B1287" w:rsidRPr="00037DA8" w:rsidRDefault="001B1287" w:rsidP="001B1287">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Trombocitopenija</w:t>
            </w:r>
            <w:r w:rsidRPr="00037DA8">
              <w:rPr>
                <w:rFonts w:ascii="Times New Roman" w:eastAsia="Times New Roman" w:hAnsi="Times New Roman"/>
                <w:snapToGrid w:val="0"/>
                <w:vertAlign w:val="superscript"/>
              </w:rPr>
              <w:t>a</w:t>
            </w:r>
            <w:proofErr w:type="spellEnd"/>
            <w:r w:rsidRPr="00037DA8">
              <w:rPr>
                <w:rFonts w:ascii="Times New Roman" w:eastAsia="Times New Roman" w:hAnsi="Times New Roman"/>
                <w:snapToGrid w:val="0"/>
                <w:vertAlign w:val="superscript"/>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BF9E8BC" w14:textId="144AFCDF" w:rsidR="001B1287" w:rsidRPr="00037DA8" w:rsidRDefault="001B1287" w:rsidP="001B128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478</w:t>
            </w:r>
            <w:r w:rsidRPr="00037DA8">
              <w:rPr>
                <w:rFonts w:ascii="Times New Roman" w:eastAsia="Times New Roman" w:hAnsi="Times New Roman"/>
                <w:snapToGrid w:val="0"/>
              </w:rPr>
              <w:t xml:space="preserve"> (4</w:t>
            </w:r>
            <w:r>
              <w:rPr>
                <w:rFonts w:ascii="Times New Roman" w:eastAsia="Times New Roman" w:hAnsi="Times New Roman"/>
                <w:snapToGrid w:val="0"/>
              </w:rPr>
              <w:t>4</w:t>
            </w:r>
            <w:r w:rsidRPr="00037DA8">
              <w:rPr>
                <w:rFonts w:ascii="Times New Roman" w:eastAsia="Times New Roman" w:hAnsi="Times New Roman"/>
                <w:snapToGrid w:val="0"/>
              </w:rPr>
              <w:t>,</w:t>
            </w:r>
            <w:r>
              <w:rPr>
                <w:rFonts w:ascii="Times New Roman" w:eastAsia="Times New Roman" w:hAnsi="Times New Roman"/>
                <w:snapToGrid w:val="0"/>
              </w:rPr>
              <w:t>1</w:t>
            </w: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D62375B" w14:textId="1BD3BA00" w:rsidR="001B1287" w:rsidRPr="00037DA8" w:rsidRDefault="001B1287" w:rsidP="001B1287">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21A38187" w14:textId="77777777" w:rsidR="001B1287" w:rsidRPr="00037DA8" w:rsidRDefault="001B1287" w:rsidP="001B128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F28DB4" w14:textId="24935450" w:rsidR="001B1287" w:rsidRPr="00037DA8" w:rsidRDefault="001B1287" w:rsidP="001B128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44</w:t>
            </w:r>
            <w:r w:rsidRPr="00037DA8">
              <w:rPr>
                <w:rFonts w:ascii="Times New Roman" w:eastAsia="Times New Roman" w:hAnsi="Times New Roman"/>
                <w:snapToGrid w:val="0"/>
              </w:rPr>
              <w:t xml:space="preserve"> (4</w:t>
            </w:r>
            <w:r>
              <w:rPr>
                <w:rFonts w:ascii="Times New Roman" w:eastAsia="Times New Roman" w:hAnsi="Times New Roman"/>
                <w:snapToGrid w:val="0"/>
              </w:rPr>
              <w:t>,1</w:t>
            </w:r>
            <w:r w:rsidRPr="00037DA8">
              <w:rPr>
                <w:rFonts w:ascii="Times New Roman" w:eastAsia="Times New Roman" w:hAnsi="Times New Roman"/>
                <w:snapToGrid w:val="0"/>
              </w:rPr>
              <w:t xml:space="preserve">) </w:t>
            </w:r>
          </w:p>
        </w:tc>
      </w:tr>
      <w:tr w:rsidR="001B1287" w:rsidRPr="00074768" w14:paraId="13A58DE6" w14:textId="77777777" w:rsidTr="002642B8">
        <w:trPr>
          <w:trHeight w:val="269"/>
        </w:trPr>
        <w:tc>
          <w:tcPr>
            <w:tcW w:w="0" w:type="auto"/>
            <w:vMerge/>
            <w:tcBorders>
              <w:top w:val="nil"/>
              <w:left w:val="single" w:sz="4" w:space="0" w:color="000000"/>
              <w:bottom w:val="single" w:sz="4" w:space="0" w:color="000000"/>
              <w:right w:val="single" w:sz="4" w:space="0" w:color="000000"/>
            </w:tcBorders>
            <w:shd w:val="clear" w:color="auto" w:fill="auto"/>
          </w:tcPr>
          <w:p w14:paraId="165DDCA5" w14:textId="77777777" w:rsidR="001B1287" w:rsidRPr="00037DA8" w:rsidRDefault="001B1287" w:rsidP="001B128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9E66E19" w14:textId="77777777" w:rsidR="001B1287" w:rsidRPr="00037DA8" w:rsidRDefault="001B1287" w:rsidP="001B1287">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Neutropeninis</w:t>
            </w:r>
            <w:proofErr w:type="spellEnd"/>
            <w:r w:rsidRPr="00037DA8">
              <w:rPr>
                <w:rFonts w:ascii="Times New Roman" w:eastAsia="Times New Roman" w:hAnsi="Times New Roman"/>
                <w:snapToGrid w:val="0"/>
              </w:rPr>
              <w:t xml:space="preserve"> karščiavimas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81A8BDA" w14:textId="43165163" w:rsidR="001B1287" w:rsidRPr="00037DA8" w:rsidRDefault="001B1287" w:rsidP="001B128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73EAB5" w14:textId="4A3D1204" w:rsidR="001B1287" w:rsidRPr="00037DA8" w:rsidRDefault="001B1287" w:rsidP="001B1287">
            <w:pPr>
              <w:tabs>
                <w:tab w:val="left" w:pos="567"/>
              </w:tabs>
              <w:spacing w:after="0" w:line="260" w:lineRule="exact"/>
              <w:rPr>
                <w:rFonts w:ascii="Times New Roman" w:eastAsia="Times New Roman" w:hAnsi="Times New Roman"/>
                <w:snapToGrid w:val="0"/>
              </w:rPr>
            </w:pPr>
            <w:r w:rsidRPr="00577807">
              <w:rPr>
                <w:rFonts w:ascii="Times New Roman" w:eastAsia="Times New Roman" w:hAnsi="Times New Roman"/>
                <w:snapToGrid w:val="0"/>
              </w:rPr>
              <w:t>87 (8</w:t>
            </w:r>
            <w:r>
              <w:rPr>
                <w:rFonts w:ascii="Times New Roman" w:eastAsia="Times New Roman" w:hAnsi="Times New Roman"/>
                <w:snapToGrid w:val="0"/>
              </w:rPr>
              <w:t>,</w:t>
            </w:r>
            <w:r w:rsidRPr="00577807">
              <w:rPr>
                <w:rFonts w:ascii="Times New Roman" w:eastAsia="Times New Roman" w:hAnsi="Times New Roman"/>
                <w:snapToGrid w:val="0"/>
              </w:rPr>
              <w:t>0)</w:t>
            </w:r>
          </w:p>
        </w:tc>
        <w:tc>
          <w:tcPr>
            <w:tcW w:w="1134" w:type="dxa"/>
            <w:tcBorders>
              <w:top w:val="single" w:sz="4" w:space="0" w:color="000000"/>
              <w:left w:val="single" w:sz="4" w:space="0" w:color="000000"/>
              <w:bottom w:val="single" w:sz="4" w:space="0" w:color="000000"/>
              <w:right w:val="single" w:sz="4" w:space="0" w:color="000000"/>
            </w:tcBorders>
          </w:tcPr>
          <w:p w14:paraId="19B36A29" w14:textId="77777777" w:rsidR="001B1287" w:rsidRPr="00037DA8" w:rsidRDefault="001B1287" w:rsidP="001B128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000AA7" w14:textId="23E8EF22" w:rsidR="001B1287" w:rsidRPr="00037DA8" w:rsidRDefault="001B1287" w:rsidP="001B1287">
            <w:pPr>
              <w:tabs>
                <w:tab w:val="left" w:pos="567"/>
              </w:tabs>
              <w:spacing w:after="0" w:line="260" w:lineRule="exact"/>
              <w:rPr>
                <w:rFonts w:ascii="Times New Roman" w:eastAsia="Times New Roman" w:hAnsi="Times New Roman"/>
                <w:snapToGrid w:val="0"/>
              </w:rPr>
            </w:pPr>
            <w:r w:rsidRPr="00577807">
              <w:rPr>
                <w:rFonts w:ascii="Times New Roman" w:eastAsia="Times New Roman" w:hAnsi="Times New Roman"/>
                <w:snapToGrid w:val="0"/>
              </w:rPr>
              <w:t>87 (8</w:t>
            </w:r>
            <w:r>
              <w:rPr>
                <w:rFonts w:ascii="Times New Roman" w:eastAsia="Times New Roman" w:hAnsi="Times New Roman"/>
                <w:snapToGrid w:val="0"/>
              </w:rPr>
              <w:t>,</w:t>
            </w:r>
            <w:r w:rsidRPr="00577807">
              <w:rPr>
                <w:rFonts w:ascii="Times New Roman" w:eastAsia="Times New Roman" w:hAnsi="Times New Roman"/>
                <w:snapToGrid w:val="0"/>
              </w:rPr>
              <w:t>0)</w:t>
            </w:r>
          </w:p>
        </w:tc>
      </w:tr>
      <w:tr w:rsidR="000E3AD7" w:rsidRPr="00074768" w14:paraId="0AE27E92" w14:textId="77777777" w:rsidTr="002642B8">
        <w:trPr>
          <w:trHeight w:val="530"/>
        </w:trPr>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5141733D" w14:textId="77777777" w:rsidR="000E3AD7" w:rsidRPr="0085406C" w:rsidRDefault="000E3AD7" w:rsidP="002242D1">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Imuninės sistemos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6EEDE53" w14:textId="77777777" w:rsidR="000E3AD7" w:rsidRPr="004200DB" w:rsidRDefault="000E3AD7" w:rsidP="00BA217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Padidėjęs jautrumas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4D3F6F6" w14:textId="77777777" w:rsidR="000E3AD7" w:rsidRPr="00037DA8" w:rsidRDefault="000E3AD7" w:rsidP="00BA217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2B608EA" w14:textId="3A2AB05C" w:rsidR="000E3AD7" w:rsidRPr="00037DA8" w:rsidRDefault="000E3AD7" w:rsidP="002242D1">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5C7FC89E" w14:textId="06544AAE" w:rsidR="000E3AD7" w:rsidRPr="00037DA8" w:rsidRDefault="00F26FCE" w:rsidP="00BA2175">
            <w:pPr>
              <w:tabs>
                <w:tab w:val="left" w:pos="567"/>
              </w:tabs>
              <w:spacing w:after="0" w:line="260" w:lineRule="exact"/>
              <w:rPr>
                <w:rFonts w:ascii="Times New Roman" w:eastAsia="Times New Roman" w:hAnsi="Times New Roman"/>
                <w:snapToGrid w:val="0"/>
              </w:rPr>
            </w:pPr>
            <w:r w:rsidRPr="0039547E">
              <w:rPr>
                <w:rFonts w:ascii="Times New Roman" w:eastAsia="Times New Roman" w:hAnsi="Times New Roman"/>
                <w:snapToGrid w:val="0"/>
              </w:rPr>
              <w:t>7 (0</w:t>
            </w:r>
            <w:r>
              <w:rPr>
                <w:rFonts w:ascii="Times New Roman" w:eastAsia="Times New Roman" w:hAnsi="Times New Roman"/>
                <w:snapToGrid w:val="0"/>
              </w:rPr>
              <w:t>,</w:t>
            </w:r>
            <w:r w:rsidRPr="0039547E">
              <w:rPr>
                <w:rFonts w:ascii="Times New Roman" w:eastAsia="Times New Roman" w:hAnsi="Times New Roman"/>
                <w:snapToGrid w:val="0"/>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C80F922" w14:textId="7BF0B5EA" w:rsidR="000E3AD7" w:rsidRPr="00037DA8" w:rsidRDefault="000E3AD7" w:rsidP="00BA217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1316E7" w:rsidRPr="00074768" w14:paraId="59861C38" w14:textId="77777777" w:rsidTr="002642B8">
        <w:trPr>
          <w:trHeight w:val="271"/>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1E6C20" w14:textId="77777777" w:rsidR="001316E7" w:rsidRPr="0085406C" w:rsidRDefault="001316E7" w:rsidP="001316E7">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Metabolizmo ir mitybos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026CD3B" w14:textId="77777777" w:rsidR="001316E7" w:rsidRPr="004200DB" w:rsidRDefault="001316E7" w:rsidP="001316E7">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Anoreksija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B9C46D2" w14:textId="12BC9E6E" w:rsidR="001316E7" w:rsidRPr="00037DA8" w:rsidRDefault="001316E7" w:rsidP="001316E7">
            <w:pPr>
              <w:tabs>
                <w:tab w:val="left" w:pos="567"/>
              </w:tabs>
              <w:spacing w:after="0" w:line="260" w:lineRule="exact"/>
              <w:rPr>
                <w:rFonts w:ascii="Times New Roman" w:eastAsia="Times New Roman" w:hAnsi="Times New Roman"/>
                <w:snapToGrid w:val="0"/>
              </w:rPr>
            </w:pPr>
            <w:r w:rsidRPr="00304B30">
              <w:rPr>
                <w:rFonts w:ascii="Times New Roman" w:eastAsia="Times New Roman" w:hAnsi="Times New Roman"/>
                <w:snapToGrid w:val="0"/>
              </w:rPr>
              <w:t>192 (17</w:t>
            </w:r>
            <w:r>
              <w:rPr>
                <w:rFonts w:ascii="Times New Roman" w:eastAsia="Times New Roman" w:hAnsi="Times New Roman"/>
                <w:snapToGrid w:val="0"/>
              </w:rPr>
              <w:t>,</w:t>
            </w:r>
            <w:r w:rsidRPr="00304B30">
              <w:rPr>
                <w:rFonts w:ascii="Times New Roman" w:eastAsia="Times New Roman" w:hAnsi="Times New Roman"/>
                <w:snapToGrid w:val="0"/>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555BFD4" w14:textId="69168FBD" w:rsidR="001316E7" w:rsidRPr="00037DA8" w:rsidRDefault="001316E7" w:rsidP="001316E7">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36E347C2" w14:textId="77777777" w:rsidR="001316E7" w:rsidRPr="00037DA8" w:rsidRDefault="001316E7" w:rsidP="001316E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AD042E" w14:textId="21954531" w:rsidR="001316E7" w:rsidRPr="00037DA8" w:rsidRDefault="001316E7" w:rsidP="001316E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11</w:t>
            </w:r>
            <w:r w:rsidRPr="00037DA8">
              <w:rPr>
                <w:rFonts w:ascii="Times New Roman" w:eastAsia="Times New Roman" w:hAnsi="Times New Roman"/>
                <w:snapToGrid w:val="0"/>
              </w:rPr>
              <w:t xml:space="preserve"> (</w:t>
            </w:r>
            <w:r>
              <w:rPr>
                <w:rFonts w:ascii="Times New Roman" w:eastAsia="Times New Roman" w:hAnsi="Times New Roman"/>
                <w:snapToGrid w:val="0"/>
              </w:rPr>
              <w:t>1</w:t>
            </w:r>
            <w:r w:rsidRPr="00037DA8">
              <w:rPr>
                <w:rFonts w:ascii="Times New Roman" w:eastAsia="Times New Roman" w:hAnsi="Times New Roman"/>
                <w:snapToGrid w:val="0"/>
              </w:rPr>
              <w:t>,</w:t>
            </w:r>
            <w:r>
              <w:rPr>
                <w:rFonts w:ascii="Times New Roman" w:eastAsia="Times New Roman" w:hAnsi="Times New Roman"/>
                <w:snapToGrid w:val="0"/>
              </w:rPr>
              <w:t>0</w:t>
            </w:r>
            <w:r w:rsidRPr="00037DA8">
              <w:rPr>
                <w:rFonts w:ascii="Times New Roman" w:eastAsia="Times New Roman" w:hAnsi="Times New Roman"/>
                <w:snapToGrid w:val="0"/>
              </w:rPr>
              <w:t xml:space="preserve">) </w:t>
            </w:r>
          </w:p>
        </w:tc>
      </w:tr>
      <w:tr w:rsidR="001316E7" w:rsidRPr="00074768" w14:paraId="4C19D9FD" w14:textId="77777777" w:rsidTr="002642B8">
        <w:trPr>
          <w:trHeight w:val="269"/>
        </w:trPr>
        <w:tc>
          <w:tcPr>
            <w:tcW w:w="0" w:type="auto"/>
            <w:vMerge/>
            <w:tcBorders>
              <w:top w:val="nil"/>
              <w:left w:val="single" w:sz="4" w:space="0" w:color="000000"/>
              <w:bottom w:val="nil"/>
              <w:right w:val="single" w:sz="4" w:space="0" w:color="000000"/>
            </w:tcBorders>
            <w:shd w:val="clear" w:color="auto" w:fill="auto"/>
          </w:tcPr>
          <w:p w14:paraId="08F58370" w14:textId="77777777" w:rsidR="001316E7" w:rsidRPr="00037DA8" w:rsidRDefault="001316E7" w:rsidP="001316E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DC0132A" w14:textId="77777777" w:rsidR="001316E7" w:rsidRPr="00037DA8" w:rsidRDefault="001316E7" w:rsidP="001316E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Dehidratacija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CAC03EE" w14:textId="768C221E" w:rsidR="001316E7" w:rsidRPr="00037DA8" w:rsidRDefault="001316E7" w:rsidP="001316E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E1F9ADA" w14:textId="7905D760" w:rsidR="001316E7" w:rsidRPr="00037DA8" w:rsidRDefault="001316E7" w:rsidP="001316E7">
            <w:pPr>
              <w:tabs>
                <w:tab w:val="left" w:pos="567"/>
              </w:tabs>
              <w:spacing w:after="0" w:line="260" w:lineRule="exact"/>
              <w:rPr>
                <w:rFonts w:ascii="Times New Roman" w:eastAsia="Times New Roman" w:hAnsi="Times New Roman"/>
                <w:snapToGrid w:val="0"/>
              </w:rPr>
            </w:pPr>
            <w:r w:rsidRPr="00F175BE">
              <w:rPr>
                <w:rFonts w:ascii="Times New Roman" w:hAnsi="Times New Roman"/>
              </w:rPr>
              <w:t>27 (2</w:t>
            </w:r>
            <w:r>
              <w:rPr>
                <w:rFonts w:ascii="Times New Roman" w:hAnsi="Times New Roman"/>
              </w:rPr>
              <w:t>,</w:t>
            </w:r>
            <w:r w:rsidRPr="00F175BE">
              <w:rPr>
                <w:rFonts w:ascii="Times New Roman" w:hAnsi="Times New Roman"/>
              </w:rPr>
              <w:t>5)</w:t>
            </w:r>
          </w:p>
        </w:tc>
        <w:tc>
          <w:tcPr>
            <w:tcW w:w="1134" w:type="dxa"/>
            <w:tcBorders>
              <w:top w:val="single" w:sz="4" w:space="0" w:color="000000"/>
              <w:left w:val="single" w:sz="4" w:space="0" w:color="000000"/>
              <w:bottom w:val="single" w:sz="4" w:space="0" w:color="000000"/>
              <w:right w:val="single" w:sz="4" w:space="0" w:color="000000"/>
            </w:tcBorders>
          </w:tcPr>
          <w:p w14:paraId="2F2E4F30" w14:textId="77777777" w:rsidR="001316E7" w:rsidRPr="00037DA8" w:rsidRDefault="001316E7" w:rsidP="001316E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846B6C" w14:textId="70246F17" w:rsidR="001316E7" w:rsidRPr="00037DA8" w:rsidRDefault="001316E7" w:rsidP="001316E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11</w:t>
            </w:r>
            <w:r w:rsidRPr="00037DA8">
              <w:rPr>
                <w:rFonts w:ascii="Times New Roman" w:eastAsia="Times New Roman" w:hAnsi="Times New Roman"/>
                <w:snapToGrid w:val="0"/>
              </w:rPr>
              <w:t xml:space="preserve"> (</w:t>
            </w:r>
            <w:r>
              <w:rPr>
                <w:rFonts w:ascii="Times New Roman" w:eastAsia="Times New Roman" w:hAnsi="Times New Roman"/>
                <w:snapToGrid w:val="0"/>
              </w:rPr>
              <w:t>1,0</w:t>
            </w:r>
            <w:r w:rsidRPr="00037DA8">
              <w:rPr>
                <w:rFonts w:ascii="Times New Roman" w:eastAsia="Times New Roman" w:hAnsi="Times New Roman"/>
                <w:snapToGrid w:val="0"/>
              </w:rPr>
              <w:t xml:space="preserve">) </w:t>
            </w:r>
          </w:p>
        </w:tc>
      </w:tr>
      <w:tr w:rsidR="001316E7" w:rsidRPr="00074768" w14:paraId="798C050F" w14:textId="77777777" w:rsidTr="002642B8">
        <w:trPr>
          <w:trHeight w:val="271"/>
        </w:trPr>
        <w:tc>
          <w:tcPr>
            <w:tcW w:w="0" w:type="auto"/>
            <w:vMerge/>
            <w:tcBorders>
              <w:top w:val="nil"/>
              <w:left w:val="single" w:sz="4" w:space="0" w:color="000000"/>
              <w:bottom w:val="nil"/>
              <w:right w:val="single" w:sz="4" w:space="0" w:color="000000"/>
            </w:tcBorders>
            <w:shd w:val="clear" w:color="auto" w:fill="auto"/>
          </w:tcPr>
          <w:p w14:paraId="16CC8AE4" w14:textId="77777777" w:rsidR="001316E7" w:rsidRPr="00037DA8" w:rsidRDefault="001316E7" w:rsidP="001316E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FF90759" w14:textId="77777777" w:rsidR="001316E7" w:rsidRPr="00037DA8" w:rsidRDefault="001316E7" w:rsidP="001316E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Hiperglikemija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F9BB5DA" w14:textId="40C6B0E1" w:rsidR="001316E7" w:rsidRPr="00037DA8" w:rsidRDefault="001316E7" w:rsidP="001316E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39C41D7" w14:textId="217C7464" w:rsidR="001316E7" w:rsidRPr="00037DA8" w:rsidRDefault="001316E7" w:rsidP="001316E7">
            <w:pPr>
              <w:tabs>
                <w:tab w:val="left" w:pos="567"/>
              </w:tabs>
              <w:spacing w:after="0" w:line="260" w:lineRule="exact"/>
              <w:rPr>
                <w:rFonts w:ascii="Times New Roman" w:eastAsia="Times New Roman" w:hAnsi="Times New Roman"/>
                <w:snapToGrid w:val="0"/>
              </w:rPr>
            </w:pPr>
            <w:r w:rsidRPr="00F175BE">
              <w:rPr>
                <w:rFonts w:ascii="Times New Roman" w:hAnsi="Times New Roman"/>
              </w:rPr>
              <w:t>11 (1</w:t>
            </w:r>
            <w:r>
              <w:rPr>
                <w:rFonts w:ascii="Times New Roman" w:hAnsi="Times New Roman"/>
              </w:rPr>
              <w:t>,</w:t>
            </w:r>
            <w:r w:rsidRPr="00F175BE">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0F9A09BD" w14:textId="77777777" w:rsidR="001316E7" w:rsidRPr="00037DA8" w:rsidRDefault="001316E7" w:rsidP="001316E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C96A02F" w14:textId="3E89F333" w:rsidR="001316E7" w:rsidRPr="00037DA8" w:rsidRDefault="001316E7" w:rsidP="001316E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7</w:t>
            </w:r>
            <w:r w:rsidRPr="00037DA8">
              <w:rPr>
                <w:rFonts w:ascii="Times New Roman" w:eastAsia="Times New Roman" w:hAnsi="Times New Roman"/>
                <w:snapToGrid w:val="0"/>
              </w:rPr>
              <w:t xml:space="preserve"> (0,</w:t>
            </w:r>
            <w:r>
              <w:rPr>
                <w:rFonts w:ascii="Times New Roman" w:eastAsia="Times New Roman" w:hAnsi="Times New Roman"/>
                <w:snapToGrid w:val="0"/>
              </w:rPr>
              <w:t>6</w:t>
            </w:r>
            <w:r w:rsidRPr="00037DA8">
              <w:rPr>
                <w:rFonts w:ascii="Times New Roman" w:eastAsia="Times New Roman" w:hAnsi="Times New Roman"/>
                <w:snapToGrid w:val="0"/>
              </w:rPr>
              <w:t xml:space="preserve">) </w:t>
            </w:r>
          </w:p>
        </w:tc>
      </w:tr>
      <w:tr w:rsidR="001316E7" w:rsidRPr="00074768" w14:paraId="4A392368" w14:textId="77777777" w:rsidTr="002642B8">
        <w:trPr>
          <w:trHeight w:val="269"/>
        </w:trPr>
        <w:tc>
          <w:tcPr>
            <w:tcW w:w="0" w:type="auto"/>
            <w:vMerge/>
            <w:tcBorders>
              <w:top w:val="nil"/>
              <w:left w:val="single" w:sz="4" w:space="0" w:color="000000"/>
              <w:bottom w:val="single" w:sz="4" w:space="0" w:color="000000"/>
              <w:right w:val="single" w:sz="4" w:space="0" w:color="000000"/>
            </w:tcBorders>
            <w:shd w:val="clear" w:color="auto" w:fill="auto"/>
          </w:tcPr>
          <w:p w14:paraId="0BAB166D" w14:textId="77777777" w:rsidR="001316E7" w:rsidRPr="00037DA8" w:rsidRDefault="001316E7" w:rsidP="001316E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D87FE62" w14:textId="77777777" w:rsidR="001316E7" w:rsidRPr="00037DA8" w:rsidRDefault="001316E7" w:rsidP="001316E7">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Hipokalemija</w:t>
            </w:r>
            <w:proofErr w:type="spellEnd"/>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536C494" w14:textId="4D43C152" w:rsidR="001316E7" w:rsidRPr="00037DA8" w:rsidRDefault="001316E7" w:rsidP="001316E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20267A" w14:textId="3B5C3FCE" w:rsidR="001316E7" w:rsidRPr="00037DA8" w:rsidRDefault="001316E7" w:rsidP="001316E7">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644CEAD7" w14:textId="6039B7B7" w:rsidR="001316E7" w:rsidRPr="00037DA8" w:rsidRDefault="001316E7" w:rsidP="001316E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8 (0,7)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70DF74" w14:textId="5D089395" w:rsidR="001316E7" w:rsidRPr="00037DA8" w:rsidRDefault="001316E7" w:rsidP="001316E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2 (0,</w:t>
            </w:r>
            <w:r>
              <w:rPr>
                <w:rFonts w:ascii="Times New Roman" w:eastAsia="Times New Roman" w:hAnsi="Times New Roman"/>
                <w:snapToGrid w:val="0"/>
              </w:rPr>
              <w:t>2</w:t>
            </w:r>
            <w:r w:rsidRPr="00037DA8">
              <w:rPr>
                <w:rFonts w:ascii="Times New Roman" w:eastAsia="Times New Roman" w:hAnsi="Times New Roman"/>
                <w:snapToGrid w:val="0"/>
              </w:rPr>
              <w:t xml:space="preserve">) </w:t>
            </w:r>
          </w:p>
        </w:tc>
      </w:tr>
      <w:tr w:rsidR="00F6195C" w:rsidRPr="00074768" w14:paraId="55CDB791" w14:textId="77777777" w:rsidTr="002642B8">
        <w:trPr>
          <w:trHeight w:val="271"/>
        </w:trPr>
        <w:tc>
          <w:tcPr>
            <w:tcW w:w="2159" w:type="dxa"/>
            <w:vMerge w:val="restart"/>
            <w:tcBorders>
              <w:top w:val="single" w:sz="4" w:space="0" w:color="000000"/>
              <w:left w:val="single" w:sz="4" w:space="0" w:color="000000"/>
              <w:right w:val="single" w:sz="4" w:space="0" w:color="000000"/>
            </w:tcBorders>
            <w:shd w:val="clear" w:color="auto" w:fill="auto"/>
          </w:tcPr>
          <w:p w14:paraId="2E037A07" w14:textId="737A61A6" w:rsidR="00F6195C" w:rsidRPr="00074768" w:rsidRDefault="00F6195C" w:rsidP="00F6195C">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Psichikos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66D287F" w14:textId="3F89F31A" w:rsidR="00F6195C" w:rsidRPr="0085406C" w:rsidRDefault="00F6195C" w:rsidP="00F6195C">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Nemiga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4B774B1" w14:textId="35684999" w:rsidR="00F6195C" w:rsidRPr="004200DB" w:rsidRDefault="00F6195C" w:rsidP="00F6195C">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047AFF" w14:textId="7CDC38C9" w:rsidR="00F6195C" w:rsidRPr="004200DB" w:rsidRDefault="00F6195C" w:rsidP="00F6195C">
            <w:pPr>
              <w:tabs>
                <w:tab w:val="left" w:pos="567"/>
              </w:tabs>
              <w:spacing w:after="0" w:line="260" w:lineRule="exact"/>
              <w:rPr>
                <w:rFonts w:ascii="Times New Roman" w:eastAsia="Times New Roman" w:hAnsi="Times New Roman"/>
                <w:snapToGrid w:val="0"/>
              </w:rPr>
            </w:pPr>
            <w:r w:rsidRPr="00F175BE">
              <w:rPr>
                <w:rFonts w:ascii="Times New Roman" w:hAnsi="Times New Roman"/>
              </w:rPr>
              <w:t>45 (4</w:t>
            </w:r>
            <w:r>
              <w:rPr>
                <w:rFonts w:ascii="Times New Roman" w:hAnsi="Times New Roman"/>
              </w:rPr>
              <w:t>,</w:t>
            </w:r>
            <w:r w:rsidRPr="00F175BE">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2FEF7A87" w14:textId="77777777" w:rsidR="00F6195C" w:rsidRPr="004200DB" w:rsidRDefault="00F6195C" w:rsidP="00F6195C">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3C6A7B" w14:textId="277B7ECB" w:rsidR="00F6195C" w:rsidRPr="004200DB" w:rsidRDefault="00F6195C" w:rsidP="00F6195C">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0 </w:t>
            </w:r>
          </w:p>
        </w:tc>
      </w:tr>
      <w:tr w:rsidR="00F6195C" w:rsidRPr="00074768" w14:paraId="3D2BC5CA" w14:textId="77777777" w:rsidTr="00C326D9">
        <w:trPr>
          <w:trHeight w:val="271"/>
        </w:trPr>
        <w:tc>
          <w:tcPr>
            <w:tcW w:w="2159" w:type="dxa"/>
            <w:vMerge/>
            <w:tcBorders>
              <w:left w:val="single" w:sz="4" w:space="0" w:color="000000"/>
              <w:right w:val="single" w:sz="4" w:space="0" w:color="000000"/>
            </w:tcBorders>
            <w:shd w:val="clear" w:color="auto" w:fill="auto"/>
            <w:vAlign w:val="center"/>
          </w:tcPr>
          <w:p w14:paraId="0D102473" w14:textId="6E196E80" w:rsidR="00F6195C" w:rsidRPr="00F159B6" w:rsidRDefault="00F6195C" w:rsidP="00F6195C">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F53172F" w14:textId="77777777" w:rsidR="00F6195C" w:rsidRPr="0085406C" w:rsidRDefault="00F6195C" w:rsidP="00F6195C">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 xml:space="preserve">Nerimas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1AD43E2" w14:textId="2D129B7D" w:rsidR="00F6195C" w:rsidRPr="004200DB" w:rsidRDefault="00F6195C" w:rsidP="00F6195C">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F121ED4" w14:textId="3DE3D484" w:rsidR="00F6195C" w:rsidRPr="004200DB" w:rsidRDefault="00F6195C" w:rsidP="00F6195C">
            <w:pPr>
              <w:tabs>
                <w:tab w:val="left" w:pos="567"/>
              </w:tabs>
              <w:spacing w:after="0" w:line="260" w:lineRule="exact"/>
              <w:rPr>
                <w:rFonts w:ascii="Times New Roman" w:eastAsia="Times New Roman" w:hAnsi="Times New Roman"/>
                <w:snapToGrid w:val="0"/>
              </w:rPr>
            </w:pPr>
            <w:r w:rsidRPr="00AA665A">
              <w:rPr>
                <w:rFonts w:ascii="Times New Roman" w:hAnsi="Times New Roman"/>
              </w:rPr>
              <w:t>13 (1</w:t>
            </w:r>
            <w:r>
              <w:rPr>
                <w:rFonts w:ascii="Times New Roman" w:hAnsi="Times New Roman"/>
              </w:rPr>
              <w:t>,</w:t>
            </w:r>
            <w:r w:rsidRPr="00AA665A">
              <w:rPr>
                <w:rFonts w:ascii="Times New Roman" w:hAnsi="Times New Roman"/>
              </w:rPr>
              <w:t>2)</w:t>
            </w:r>
          </w:p>
        </w:tc>
        <w:tc>
          <w:tcPr>
            <w:tcW w:w="1134" w:type="dxa"/>
            <w:tcBorders>
              <w:top w:val="single" w:sz="4" w:space="0" w:color="000000"/>
              <w:left w:val="single" w:sz="4" w:space="0" w:color="000000"/>
              <w:bottom w:val="single" w:sz="4" w:space="0" w:color="000000"/>
              <w:right w:val="single" w:sz="4" w:space="0" w:color="000000"/>
            </w:tcBorders>
          </w:tcPr>
          <w:p w14:paraId="6863D052" w14:textId="77777777" w:rsidR="00F6195C" w:rsidRPr="004200DB" w:rsidRDefault="00F6195C" w:rsidP="00F6195C">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3569E2" w14:textId="5544F4CD" w:rsidR="00F6195C" w:rsidRPr="004200DB" w:rsidRDefault="00F6195C" w:rsidP="00F6195C">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0 </w:t>
            </w:r>
          </w:p>
        </w:tc>
      </w:tr>
      <w:tr w:rsidR="00F6195C" w:rsidRPr="00074768" w14:paraId="0DC87C0F" w14:textId="77777777" w:rsidTr="00C326D9">
        <w:trPr>
          <w:trHeight w:val="269"/>
        </w:trPr>
        <w:tc>
          <w:tcPr>
            <w:tcW w:w="0" w:type="auto"/>
            <w:vMerge/>
            <w:tcBorders>
              <w:left w:val="single" w:sz="4" w:space="0" w:color="000000"/>
              <w:bottom w:val="single" w:sz="4" w:space="0" w:color="000000"/>
              <w:right w:val="single" w:sz="4" w:space="0" w:color="000000"/>
            </w:tcBorders>
            <w:shd w:val="clear" w:color="auto" w:fill="auto"/>
          </w:tcPr>
          <w:p w14:paraId="534FA32F" w14:textId="77777777" w:rsidR="00F6195C" w:rsidRPr="00037DA8" w:rsidRDefault="00F6195C" w:rsidP="00F6195C">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13422E2" w14:textId="77777777" w:rsidR="00F6195C" w:rsidRPr="00037DA8" w:rsidRDefault="00F6195C" w:rsidP="00F6195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Sumišimas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82B05A7" w14:textId="685C9814" w:rsidR="00F6195C" w:rsidRPr="00037DA8" w:rsidRDefault="00F6195C" w:rsidP="00F6195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584B16E" w14:textId="43432616" w:rsidR="00F6195C" w:rsidRPr="00037DA8" w:rsidRDefault="00F6195C" w:rsidP="00F6195C">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12 (1,1)</w:t>
            </w:r>
          </w:p>
        </w:tc>
        <w:tc>
          <w:tcPr>
            <w:tcW w:w="1134" w:type="dxa"/>
            <w:tcBorders>
              <w:top w:val="single" w:sz="4" w:space="0" w:color="000000"/>
              <w:left w:val="single" w:sz="4" w:space="0" w:color="000000"/>
              <w:bottom w:val="single" w:sz="4" w:space="0" w:color="000000"/>
              <w:right w:val="single" w:sz="4" w:space="0" w:color="000000"/>
            </w:tcBorders>
          </w:tcPr>
          <w:p w14:paraId="32D2CB76" w14:textId="77777777" w:rsidR="00F6195C" w:rsidRPr="00037DA8" w:rsidRDefault="00F6195C" w:rsidP="00F6195C">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97BA07" w14:textId="0218E646" w:rsidR="00F6195C" w:rsidRPr="00037DA8" w:rsidRDefault="00F6195C" w:rsidP="00F6195C">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 (</w:t>
            </w:r>
            <w:r w:rsidRPr="00037DA8">
              <w:rPr>
                <w:rFonts w:ascii="Times New Roman" w:eastAsia="Times New Roman" w:hAnsi="Times New Roman"/>
                <w:snapToGrid w:val="0"/>
              </w:rPr>
              <w:t>0</w:t>
            </w:r>
            <w:r>
              <w:rPr>
                <w:rFonts w:ascii="Times New Roman" w:eastAsia="Times New Roman" w:hAnsi="Times New Roman"/>
                <w:snapToGrid w:val="0"/>
              </w:rPr>
              <w:t>,2)</w:t>
            </w:r>
            <w:r w:rsidRPr="00037DA8">
              <w:rPr>
                <w:rFonts w:ascii="Times New Roman" w:eastAsia="Times New Roman" w:hAnsi="Times New Roman"/>
                <w:snapToGrid w:val="0"/>
              </w:rPr>
              <w:t xml:space="preserve"> </w:t>
            </w:r>
          </w:p>
        </w:tc>
      </w:tr>
      <w:tr w:rsidR="00F36910" w:rsidRPr="00074768" w14:paraId="065F9B47" w14:textId="77777777" w:rsidTr="002642B8">
        <w:trPr>
          <w:trHeight w:val="271"/>
        </w:trPr>
        <w:tc>
          <w:tcPr>
            <w:tcW w:w="2159" w:type="dxa"/>
            <w:vMerge w:val="restart"/>
            <w:tcBorders>
              <w:top w:val="single" w:sz="4" w:space="0" w:color="000000"/>
              <w:left w:val="single" w:sz="4" w:space="0" w:color="000000"/>
              <w:right w:val="single" w:sz="4" w:space="0" w:color="000000"/>
            </w:tcBorders>
            <w:shd w:val="clear" w:color="auto" w:fill="auto"/>
          </w:tcPr>
          <w:p w14:paraId="5F4BF2EF" w14:textId="77777777" w:rsidR="00F36910" w:rsidRPr="0085406C" w:rsidRDefault="00F36910" w:rsidP="00F36910">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Nervų sistemos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FB3B075"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roofErr w:type="spellStart"/>
            <w:r w:rsidRPr="004200DB">
              <w:rPr>
                <w:rFonts w:ascii="Times New Roman" w:eastAsia="Times New Roman" w:hAnsi="Times New Roman"/>
                <w:snapToGrid w:val="0"/>
              </w:rPr>
              <w:t>Disgeu</w:t>
            </w:r>
            <w:r w:rsidRPr="00037DA8">
              <w:rPr>
                <w:rFonts w:ascii="Times New Roman" w:eastAsia="Times New Roman" w:hAnsi="Times New Roman"/>
                <w:snapToGrid w:val="0"/>
              </w:rPr>
              <w:t>zija</w:t>
            </w:r>
            <w:proofErr w:type="spellEnd"/>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B857F74" w14:textId="1046BB76"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B773DDD" w14:textId="049261E9" w:rsidR="00F36910" w:rsidRPr="00037DA8" w:rsidRDefault="00F36910" w:rsidP="00F36910">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64</w:t>
            </w:r>
            <w:r w:rsidRPr="00037DA8">
              <w:rPr>
                <w:rFonts w:ascii="Times New Roman" w:eastAsia="Times New Roman" w:hAnsi="Times New Roman"/>
                <w:snapToGrid w:val="0"/>
              </w:rPr>
              <w:t xml:space="preserve"> (</w:t>
            </w:r>
            <w:r>
              <w:rPr>
                <w:rFonts w:ascii="Times New Roman" w:eastAsia="Times New Roman" w:hAnsi="Times New Roman"/>
                <w:snapToGrid w:val="0"/>
              </w:rPr>
              <w:t>5</w:t>
            </w:r>
            <w:r w:rsidRPr="00037DA8">
              <w:rPr>
                <w:rFonts w:ascii="Times New Roman" w:eastAsia="Times New Roman" w:hAnsi="Times New Roman"/>
                <w:snapToGrid w:val="0"/>
              </w:rPr>
              <w:t>,</w:t>
            </w:r>
            <w:r>
              <w:rPr>
                <w:rFonts w:ascii="Times New Roman" w:eastAsia="Times New Roman" w:hAnsi="Times New Roman"/>
                <w:snapToGrid w:val="0"/>
              </w:rPr>
              <w:t>9</w:t>
            </w:r>
            <w:r w:rsidRPr="00037DA8">
              <w:rPr>
                <w:rFonts w:ascii="Times New Roman" w:eastAsia="Times New Roman" w:hAnsi="Times New Roman"/>
                <w:snapToGrid w:val="0"/>
              </w:rPr>
              <w:t>)</w:t>
            </w:r>
          </w:p>
        </w:tc>
        <w:tc>
          <w:tcPr>
            <w:tcW w:w="1134" w:type="dxa"/>
            <w:tcBorders>
              <w:top w:val="single" w:sz="4" w:space="0" w:color="000000"/>
              <w:left w:val="single" w:sz="4" w:space="0" w:color="000000"/>
              <w:bottom w:val="single" w:sz="4" w:space="0" w:color="000000"/>
              <w:right w:val="single" w:sz="4" w:space="0" w:color="000000"/>
            </w:tcBorders>
          </w:tcPr>
          <w:p w14:paraId="2CC0DCCB"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88D0E04" w14:textId="5259EED5" w:rsidR="00F36910" w:rsidRPr="00037DA8" w:rsidRDefault="00F36910" w:rsidP="00F3691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F36910" w:rsidRPr="00074768" w14:paraId="517DA2AE" w14:textId="77777777" w:rsidTr="000E3AD7">
        <w:trPr>
          <w:trHeight w:val="271"/>
        </w:trPr>
        <w:tc>
          <w:tcPr>
            <w:tcW w:w="2159" w:type="dxa"/>
            <w:vMerge/>
            <w:tcBorders>
              <w:top w:val="single" w:sz="4" w:space="0" w:color="000000"/>
              <w:left w:val="single" w:sz="4" w:space="0" w:color="000000"/>
              <w:right w:val="single" w:sz="4" w:space="0" w:color="000000"/>
            </w:tcBorders>
            <w:shd w:val="clear" w:color="auto" w:fill="auto"/>
          </w:tcPr>
          <w:p w14:paraId="154EEBCB" w14:textId="77777777" w:rsidR="00F36910" w:rsidRPr="00074768" w:rsidRDefault="00F36910" w:rsidP="00F36910">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FB88CD6" w14:textId="2662DBA3" w:rsidR="00F36910" w:rsidRPr="004200DB" w:rsidRDefault="00F36910" w:rsidP="00F36910">
            <w:pPr>
              <w:tabs>
                <w:tab w:val="left" w:pos="567"/>
              </w:tabs>
              <w:spacing w:after="0" w:line="260" w:lineRule="exact"/>
              <w:rPr>
                <w:rFonts w:ascii="Times New Roman" w:eastAsia="Times New Roman" w:hAnsi="Times New Roman"/>
                <w:snapToGrid w:val="0"/>
              </w:rPr>
            </w:pPr>
            <w:r w:rsidRPr="002728E7">
              <w:rPr>
                <w:rFonts w:ascii="Times New Roman" w:eastAsia="Times New Roman" w:hAnsi="Times New Roman"/>
                <w:snapToGrid w:val="0"/>
              </w:rPr>
              <w:t>Skonio sutrikimas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5FFA929"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C09654F" w14:textId="137F00D7" w:rsidR="00F36910" w:rsidRPr="00037DA8" w:rsidRDefault="00F36910" w:rsidP="00F36910">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56 (5,1)</w:t>
            </w:r>
          </w:p>
        </w:tc>
        <w:tc>
          <w:tcPr>
            <w:tcW w:w="1134" w:type="dxa"/>
            <w:tcBorders>
              <w:top w:val="single" w:sz="4" w:space="0" w:color="000000"/>
              <w:left w:val="single" w:sz="4" w:space="0" w:color="000000"/>
              <w:bottom w:val="single" w:sz="4" w:space="0" w:color="000000"/>
              <w:right w:val="single" w:sz="4" w:space="0" w:color="000000"/>
            </w:tcBorders>
          </w:tcPr>
          <w:p w14:paraId="7F805240"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E0572F" w14:textId="0A5006C9" w:rsidR="00F36910" w:rsidRPr="00037DA8" w:rsidRDefault="00F36910" w:rsidP="00F36910">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0</w:t>
            </w:r>
          </w:p>
        </w:tc>
      </w:tr>
      <w:tr w:rsidR="00F36910" w:rsidRPr="00074768" w14:paraId="661F85A3" w14:textId="77777777" w:rsidTr="002642B8">
        <w:tblPrEx>
          <w:tblCellMar>
            <w:right w:w="17" w:type="dxa"/>
          </w:tblCellMar>
        </w:tblPrEx>
        <w:trPr>
          <w:trHeight w:val="530"/>
        </w:trPr>
        <w:tc>
          <w:tcPr>
            <w:tcW w:w="2159" w:type="dxa"/>
            <w:vMerge/>
            <w:tcBorders>
              <w:left w:val="single" w:sz="4" w:space="0" w:color="000000"/>
              <w:right w:val="single" w:sz="4" w:space="0" w:color="000000"/>
            </w:tcBorders>
            <w:shd w:val="clear" w:color="auto" w:fill="auto"/>
          </w:tcPr>
          <w:p w14:paraId="1CD4B4E2"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72BFD86" w14:textId="77777777" w:rsidR="00F36910" w:rsidRPr="00037DA8" w:rsidRDefault="00F36910" w:rsidP="00F3691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Periferinė neuropatija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DA9B2BA" w14:textId="7EC2C90F" w:rsidR="00F36910" w:rsidRPr="00037DA8" w:rsidRDefault="00F36910" w:rsidP="00F3691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3A7A7D" w14:textId="11A8451B" w:rsidR="00F36910" w:rsidRPr="00037DA8" w:rsidRDefault="00F36910" w:rsidP="00F36910">
            <w:pPr>
              <w:tabs>
                <w:tab w:val="left" w:pos="567"/>
              </w:tabs>
              <w:spacing w:after="0" w:line="260" w:lineRule="exact"/>
              <w:rPr>
                <w:rFonts w:ascii="Times New Roman" w:eastAsia="Times New Roman" w:hAnsi="Times New Roman"/>
                <w:snapToGrid w:val="0"/>
              </w:rPr>
            </w:pPr>
            <w:r w:rsidRPr="006C740C">
              <w:rPr>
                <w:rFonts w:ascii="Times New Roman" w:eastAsia="Times New Roman" w:hAnsi="Times New Roman"/>
                <w:snapToGrid w:val="0"/>
              </w:rPr>
              <w:t>40 (3</w:t>
            </w:r>
            <w:r>
              <w:rPr>
                <w:rFonts w:ascii="Times New Roman" w:eastAsia="Times New Roman" w:hAnsi="Times New Roman"/>
                <w:snapToGrid w:val="0"/>
              </w:rPr>
              <w:t>,</w:t>
            </w:r>
            <w:r w:rsidRPr="006C740C">
              <w:rPr>
                <w:rFonts w:ascii="Times New Roman" w:eastAsia="Times New Roman" w:hAnsi="Times New Roman"/>
                <w:snapToGrid w:val="0"/>
              </w:rPr>
              <w:t>7)</w:t>
            </w:r>
          </w:p>
        </w:tc>
        <w:tc>
          <w:tcPr>
            <w:tcW w:w="1134" w:type="dxa"/>
            <w:tcBorders>
              <w:top w:val="single" w:sz="4" w:space="0" w:color="000000"/>
              <w:left w:val="single" w:sz="4" w:space="0" w:color="000000"/>
              <w:bottom w:val="single" w:sz="4" w:space="0" w:color="000000"/>
              <w:right w:val="single" w:sz="4" w:space="0" w:color="000000"/>
            </w:tcBorders>
          </w:tcPr>
          <w:p w14:paraId="14E752B9"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879DCFC" w14:textId="7F6FCBA3" w:rsidR="00F36910" w:rsidRPr="00037DA8" w:rsidRDefault="00F36910" w:rsidP="00F3691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2 (0,</w:t>
            </w:r>
            <w:r>
              <w:rPr>
                <w:rFonts w:ascii="Times New Roman" w:eastAsia="Times New Roman" w:hAnsi="Times New Roman"/>
                <w:snapToGrid w:val="0"/>
              </w:rPr>
              <w:t>2</w:t>
            </w:r>
            <w:r w:rsidRPr="00037DA8">
              <w:rPr>
                <w:rFonts w:ascii="Times New Roman" w:eastAsia="Times New Roman" w:hAnsi="Times New Roman"/>
                <w:snapToGrid w:val="0"/>
              </w:rPr>
              <w:t xml:space="preserve">) </w:t>
            </w:r>
          </w:p>
        </w:tc>
      </w:tr>
      <w:tr w:rsidR="00F36910" w:rsidRPr="00074768" w14:paraId="7EE95B30" w14:textId="77777777" w:rsidTr="002642B8">
        <w:tblPrEx>
          <w:tblCellMar>
            <w:right w:w="17" w:type="dxa"/>
          </w:tblCellMar>
        </w:tblPrEx>
        <w:trPr>
          <w:trHeight w:val="528"/>
        </w:trPr>
        <w:tc>
          <w:tcPr>
            <w:tcW w:w="0" w:type="auto"/>
            <w:vMerge/>
            <w:tcBorders>
              <w:left w:val="single" w:sz="4" w:space="0" w:color="000000"/>
              <w:right w:val="single" w:sz="4" w:space="0" w:color="000000"/>
            </w:tcBorders>
            <w:shd w:val="clear" w:color="auto" w:fill="auto"/>
          </w:tcPr>
          <w:p w14:paraId="6256B31A"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321D412" w14:textId="77777777" w:rsidR="00F36910" w:rsidRPr="00037DA8" w:rsidRDefault="00F36910" w:rsidP="00F3691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Periferinė sensorinė neuropatija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3D19865" w14:textId="7EE41A35" w:rsidR="00F36910" w:rsidRPr="00037DA8" w:rsidRDefault="00F36910" w:rsidP="00F3691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AD03D13" w14:textId="0FCE55F9" w:rsidR="00F36910" w:rsidRPr="00037DA8" w:rsidRDefault="00F36910" w:rsidP="00F36910">
            <w:pPr>
              <w:tabs>
                <w:tab w:val="left" w:pos="567"/>
              </w:tabs>
              <w:spacing w:after="0" w:line="260" w:lineRule="exact"/>
              <w:rPr>
                <w:rFonts w:ascii="Times New Roman" w:eastAsia="Times New Roman" w:hAnsi="Times New Roman"/>
                <w:snapToGrid w:val="0"/>
              </w:rPr>
            </w:pPr>
            <w:r w:rsidRPr="0046062A">
              <w:rPr>
                <w:rFonts w:ascii="Times New Roman" w:eastAsia="Times New Roman" w:hAnsi="Times New Roman"/>
                <w:snapToGrid w:val="0"/>
              </w:rPr>
              <w:t>89 (8</w:t>
            </w:r>
            <w:r>
              <w:rPr>
                <w:rFonts w:ascii="Times New Roman" w:eastAsia="Times New Roman" w:hAnsi="Times New Roman"/>
                <w:snapToGrid w:val="0"/>
              </w:rPr>
              <w:t>,</w:t>
            </w:r>
            <w:r w:rsidRPr="0046062A">
              <w:rPr>
                <w:rFonts w:ascii="Times New Roman" w:eastAsia="Times New Roman" w:hAnsi="Times New Roman"/>
                <w:snapToGrid w:val="0"/>
              </w:rPr>
              <w:t>2)</w:t>
            </w:r>
          </w:p>
        </w:tc>
        <w:tc>
          <w:tcPr>
            <w:tcW w:w="1134" w:type="dxa"/>
            <w:tcBorders>
              <w:top w:val="single" w:sz="4" w:space="0" w:color="000000"/>
              <w:left w:val="single" w:sz="4" w:space="0" w:color="000000"/>
              <w:bottom w:val="single" w:sz="4" w:space="0" w:color="000000"/>
              <w:right w:val="single" w:sz="4" w:space="0" w:color="000000"/>
            </w:tcBorders>
          </w:tcPr>
          <w:p w14:paraId="6156F18D"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1C3C855" w14:textId="79C4E887" w:rsidR="00F36910" w:rsidRPr="00037DA8" w:rsidRDefault="00F36910" w:rsidP="00F36910">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6</w:t>
            </w:r>
            <w:r w:rsidRPr="00037DA8">
              <w:rPr>
                <w:rFonts w:ascii="Times New Roman" w:eastAsia="Times New Roman" w:hAnsi="Times New Roman"/>
                <w:snapToGrid w:val="0"/>
              </w:rPr>
              <w:t xml:space="preserve"> (0,</w:t>
            </w:r>
            <w:r>
              <w:rPr>
                <w:rFonts w:ascii="Times New Roman" w:eastAsia="Times New Roman" w:hAnsi="Times New Roman"/>
                <w:snapToGrid w:val="0"/>
              </w:rPr>
              <w:t>5</w:t>
            </w:r>
            <w:r w:rsidRPr="00037DA8">
              <w:rPr>
                <w:rFonts w:ascii="Times New Roman" w:eastAsia="Times New Roman" w:hAnsi="Times New Roman"/>
                <w:snapToGrid w:val="0"/>
              </w:rPr>
              <w:t xml:space="preserve">) </w:t>
            </w:r>
          </w:p>
        </w:tc>
      </w:tr>
      <w:tr w:rsidR="00F36910" w:rsidRPr="00074768" w14:paraId="501E9D9C" w14:textId="77777777" w:rsidTr="000E3AD7">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3208F387"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C73512B" w14:textId="12D8EBCC" w:rsidR="00F36910" w:rsidRDefault="00F36910" w:rsidP="00F36910">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Polineuropatija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EFDB145"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8664F5"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7FDBCA04" w14:textId="23AA2775" w:rsidR="00F36910" w:rsidRPr="00037DA8" w:rsidRDefault="00F36910" w:rsidP="00F36910">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9 (0,8)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E1F271" w14:textId="51B86D93" w:rsidR="00F36910" w:rsidRPr="00037DA8" w:rsidRDefault="00F36910" w:rsidP="00F36910">
            <w:pPr>
              <w:tabs>
                <w:tab w:val="left" w:pos="567"/>
              </w:tabs>
              <w:spacing w:after="0" w:line="260" w:lineRule="exact"/>
              <w:rPr>
                <w:rFonts w:ascii="Times New Roman" w:eastAsia="Times New Roman" w:hAnsi="Times New Roman"/>
                <w:snapToGrid w:val="0"/>
              </w:rPr>
            </w:pPr>
            <w:r w:rsidRPr="005622B2">
              <w:rPr>
                <w:rFonts w:ascii="Times New Roman" w:eastAsia="Times New Roman" w:hAnsi="Times New Roman"/>
                <w:snapToGrid w:val="0"/>
              </w:rPr>
              <w:t>2 (0</w:t>
            </w:r>
            <w:r>
              <w:rPr>
                <w:rFonts w:ascii="Times New Roman" w:eastAsia="Times New Roman" w:hAnsi="Times New Roman"/>
                <w:snapToGrid w:val="0"/>
              </w:rPr>
              <w:t>,</w:t>
            </w:r>
            <w:r w:rsidRPr="005622B2">
              <w:rPr>
                <w:rFonts w:ascii="Times New Roman" w:eastAsia="Times New Roman" w:hAnsi="Times New Roman"/>
                <w:snapToGrid w:val="0"/>
              </w:rPr>
              <w:t>2)</w:t>
            </w:r>
          </w:p>
        </w:tc>
      </w:tr>
      <w:tr w:rsidR="00F36910" w:rsidRPr="00074768" w14:paraId="6110B444" w14:textId="77777777" w:rsidTr="000E3AD7">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73DABBFE"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96AF3F0" w14:textId="26DABB97" w:rsidR="00F36910" w:rsidRDefault="00F36910" w:rsidP="00F36910">
            <w:pPr>
              <w:tabs>
                <w:tab w:val="left" w:pos="567"/>
              </w:tabs>
              <w:spacing w:after="0" w:line="260" w:lineRule="exact"/>
              <w:rPr>
                <w:rFonts w:ascii="Times New Roman" w:eastAsia="Times New Roman" w:hAnsi="Times New Roman"/>
                <w:snapToGrid w:val="0"/>
              </w:rPr>
            </w:pPr>
            <w:proofErr w:type="spellStart"/>
            <w:r>
              <w:rPr>
                <w:rFonts w:ascii="Times New Roman" w:eastAsia="Times New Roman" w:hAnsi="Times New Roman"/>
                <w:snapToGrid w:val="0"/>
              </w:rPr>
              <w:t>Parestezija</w:t>
            </w:r>
            <w:proofErr w:type="spellEnd"/>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71D10FD"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1216260" w14:textId="2B50717A" w:rsidR="00F36910" w:rsidRPr="00037DA8" w:rsidRDefault="00F36910" w:rsidP="00F36910">
            <w:pPr>
              <w:tabs>
                <w:tab w:val="left" w:pos="567"/>
              </w:tabs>
              <w:spacing w:after="0" w:line="260" w:lineRule="exact"/>
              <w:rPr>
                <w:rFonts w:ascii="Times New Roman" w:eastAsia="Times New Roman" w:hAnsi="Times New Roman"/>
                <w:snapToGrid w:val="0"/>
              </w:rPr>
            </w:pPr>
            <w:r w:rsidRPr="00090D3E">
              <w:rPr>
                <w:rFonts w:ascii="Times New Roman" w:hAnsi="Times New Roman"/>
              </w:rPr>
              <w:t>46 (4</w:t>
            </w:r>
            <w:r>
              <w:rPr>
                <w:rFonts w:ascii="Times New Roman" w:hAnsi="Times New Roman"/>
              </w:rPr>
              <w:t>,</w:t>
            </w:r>
            <w:r w:rsidRPr="00090D3E">
              <w:rPr>
                <w:rFonts w:ascii="Times New Roman" w:hAnsi="Times New Roman"/>
              </w:rPr>
              <w:t>2)</w:t>
            </w:r>
          </w:p>
        </w:tc>
        <w:tc>
          <w:tcPr>
            <w:tcW w:w="1134" w:type="dxa"/>
            <w:tcBorders>
              <w:top w:val="single" w:sz="4" w:space="0" w:color="000000"/>
              <w:left w:val="single" w:sz="4" w:space="0" w:color="000000"/>
              <w:bottom w:val="single" w:sz="4" w:space="0" w:color="000000"/>
              <w:right w:val="single" w:sz="4" w:space="0" w:color="000000"/>
            </w:tcBorders>
          </w:tcPr>
          <w:p w14:paraId="78C7B3A5"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43B8AE" w14:textId="481E1D54" w:rsidR="00F36910" w:rsidRPr="00037DA8" w:rsidRDefault="00F36910" w:rsidP="00F36910">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0</w:t>
            </w:r>
          </w:p>
        </w:tc>
      </w:tr>
      <w:tr w:rsidR="00F36910" w:rsidRPr="00074768" w14:paraId="2829A8CD" w14:textId="77777777" w:rsidTr="000E3AD7">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6E9CFEDA"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7E9DD9F" w14:textId="305B5876" w:rsidR="00F36910" w:rsidRDefault="00F36910" w:rsidP="00F36910">
            <w:pPr>
              <w:tabs>
                <w:tab w:val="left" w:pos="567"/>
              </w:tabs>
              <w:spacing w:after="0" w:line="260" w:lineRule="exact"/>
              <w:rPr>
                <w:rFonts w:ascii="Times New Roman" w:eastAsia="Times New Roman" w:hAnsi="Times New Roman"/>
                <w:snapToGrid w:val="0"/>
              </w:rPr>
            </w:pPr>
            <w:proofErr w:type="spellStart"/>
            <w:r>
              <w:rPr>
                <w:rFonts w:ascii="Times New Roman" w:eastAsia="Times New Roman" w:hAnsi="Times New Roman"/>
                <w:snapToGrid w:val="0"/>
              </w:rPr>
              <w:t>Hipestezija</w:t>
            </w:r>
            <w:proofErr w:type="spellEnd"/>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1E7C9F3"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43B10B2" w14:textId="4657E859" w:rsidR="00F36910" w:rsidRPr="00037DA8" w:rsidRDefault="00F36910" w:rsidP="00F36910">
            <w:pPr>
              <w:tabs>
                <w:tab w:val="left" w:pos="567"/>
              </w:tabs>
              <w:spacing w:after="0" w:line="260" w:lineRule="exact"/>
              <w:rPr>
                <w:rFonts w:ascii="Times New Roman" w:eastAsia="Times New Roman" w:hAnsi="Times New Roman"/>
                <w:snapToGrid w:val="0"/>
              </w:rPr>
            </w:pPr>
            <w:r w:rsidRPr="008D2251">
              <w:rPr>
                <w:rFonts w:ascii="Times New Roman" w:hAnsi="Times New Roman"/>
              </w:rPr>
              <w:t>18 (1</w:t>
            </w:r>
            <w:r>
              <w:rPr>
                <w:rFonts w:ascii="Times New Roman" w:hAnsi="Times New Roman"/>
              </w:rPr>
              <w:t>,</w:t>
            </w:r>
            <w:r w:rsidRPr="008D2251">
              <w:rPr>
                <w:rFonts w:ascii="Times New Roman" w:hAnsi="Times New Roman"/>
              </w:rPr>
              <w:t>6)</w:t>
            </w:r>
          </w:p>
        </w:tc>
        <w:tc>
          <w:tcPr>
            <w:tcW w:w="1134" w:type="dxa"/>
            <w:tcBorders>
              <w:top w:val="single" w:sz="4" w:space="0" w:color="000000"/>
              <w:left w:val="single" w:sz="4" w:space="0" w:color="000000"/>
              <w:bottom w:val="single" w:sz="4" w:space="0" w:color="000000"/>
              <w:right w:val="single" w:sz="4" w:space="0" w:color="000000"/>
            </w:tcBorders>
          </w:tcPr>
          <w:p w14:paraId="58FC56F4"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A0BAC3" w14:textId="2C147FB8" w:rsidR="00F36910" w:rsidRPr="00037DA8" w:rsidRDefault="00F36910" w:rsidP="00F36910">
            <w:pPr>
              <w:tabs>
                <w:tab w:val="left" w:pos="567"/>
              </w:tabs>
              <w:spacing w:after="0" w:line="260" w:lineRule="exact"/>
              <w:rPr>
                <w:rFonts w:ascii="Times New Roman" w:eastAsia="Times New Roman" w:hAnsi="Times New Roman"/>
                <w:snapToGrid w:val="0"/>
              </w:rPr>
            </w:pPr>
            <w:r w:rsidRPr="005622B2">
              <w:rPr>
                <w:rFonts w:ascii="Times New Roman" w:eastAsia="Times New Roman" w:hAnsi="Times New Roman"/>
                <w:snapToGrid w:val="0"/>
              </w:rPr>
              <w:t>1 (&lt;</w:t>
            </w:r>
            <w:r w:rsidR="00721662">
              <w:rPr>
                <w:rFonts w:ascii="Times New Roman" w:eastAsia="Times New Roman" w:hAnsi="Times New Roman"/>
                <w:snapToGrid w:val="0"/>
              </w:rPr>
              <w:t> </w:t>
            </w:r>
            <w:r w:rsidRPr="005622B2">
              <w:rPr>
                <w:rFonts w:ascii="Times New Roman" w:eastAsia="Times New Roman" w:hAnsi="Times New Roman"/>
                <w:snapToGrid w:val="0"/>
              </w:rPr>
              <w:t>0,1)</w:t>
            </w:r>
          </w:p>
        </w:tc>
      </w:tr>
      <w:tr w:rsidR="00F36910" w:rsidRPr="00074768" w14:paraId="4AFBFD2F" w14:textId="77777777" w:rsidTr="002642B8">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595C3972"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214B1BE" w14:textId="623945DB" w:rsidR="00F36910" w:rsidRPr="00037DA8" w:rsidRDefault="00F36910" w:rsidP="00F36910">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S</w:t>
            </w:r>
            <w:r w:rsidRPr="00037DA8">
              <w:rPr>
                <w:rFonts w:ascii="Times New Roman" w:eastAsia="Times New Roman" w:hAnsi="Times New Roman"/>
                <w:snapToGrid w:val="0"/>
              </w:rPr>
              <w:t>vaig</w:t>
            </w:r>
            <w:r>
              <w:rPr>
                <w:rFonts w:ascii="Times New Roman" w:eastAsia="Times New Roman" w:hAnsi="Times New Roman"/>
                <w:snapToGrid w:val="0"/>
              </w:rPr>
              <w:t>ulys</w:t>
            </w:r>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EF38C02" w14:textId="1219704B" w:rsidR="00F36910" w:rsidRPr="00037DA8" w:rsidRDefault="00F36910" w:rsidP="00F3691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4EF53A" w14:textId="74F59A6D" w:rsidR="00F36910" w:rsidRPr="00037DA8" w:rsidRDefault="00F36910" w:rsidP="00F36910">
            <w:pPr>
              <w:tabs>
                <w:tab w:val="left" w:pos="567"/>
              </w:tabs>
              <w:spacing w:after="0" w:line="260" w:lineRule="exact"/>
              <w:rPr>
                <w:rFonts w:ascii="Times New Roman" w:eastAsia="Times New Roman" w:hAnsi="Times New Roman"/>
                <w:snapToGrid w:val="0"/>
              </w:rPr>
            </w:pPr>
            <w:r w:rsidRPr="002B0471">
              <w:rPr>
                <w:rFonts w:ascii="Times New Roman" w:hAnsi="Times New Roman"/>
              </w:rPr>
              <w:t>63 (5</w:t>
            </w:r>
            <w:r>
              <w:rPr>
                <w:rFonts w:ascii="Times New Roman" w:hAnsi="Times New Roman"/>
              </w:rPr>
              <w:t>,</w:t>
            </w:r>
            <w:r w:rsidRPr="002B0471">
              <w:rPr>
                <w:rFonts w:ascii="Times New Roman" w:hAnsi="Times New Roman"/>
              </w:rPr>
              <w:t>8)</w:t>
            </w:r>
          </w:p>
        </w:tc>
        <w:tc>
          <w:tcPr>
            <w:tcW w:w="1134" w:type="dxa"/>
            <w:tcBorders>
              <w:top w:val="single" w:sz="4" w:space="0" w:color="000000"/>
              <w:left w:val="single" w:sz="4" w:space="0" w:color="000000"/>
              <w:bottom w:val="single" w:sz="4" w:space="0" w:color="000000"/>
              <w:right w:val="single" w:sz="4" w:space="0" w:color="000000"/>
            </w:tcBorders>
          </w:tcPr>
          <w:p w14:paraId="1B14D239"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229D5F" w14:textId="106323E6" w:rsidR="00F36910" w:rsidRPr="00037DA8" w:rsidRDefault="00F36910" w:rsidP="00F3691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F36910" w:rsidRPr="00074768" w14:paraId="155B5853" w14:textId="77777777" w:rsidTr="002642B8">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402CCC57"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1A80CC9" w14:textId="77777777" w:rsidR="00F36910" w:rsidRPr="00037DA8" w:rsidRDefault="00F36910" w:rsidP="00F3691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Galvos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6FF3310" w14:textId="0D3235BF" w:rsidR="00F36910" w:rsidRPr="00037DA8" w:rsidRDefault="00F36910" w:rsidP="00F3691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756E7EC" w14:textId="5A449476" w:rsidR="00F36910" w:rsidRPr="00037DA8" w:rsidRDefault="00F36910" w:rsidP="00F36910">
            <w:pPr>
              <w:tabs>
                <w:tab w:val="left" w:pos="567"/>
              </w:tabs>
              <w:spacing w:after="0" w:line="260" w:lineRule="exact"/>
              <w:rPr>
                <w:rFonts w:ascii="Times New Roman" w:eastAsia="Times New Roman" w:hAnsi="Times New Roman"/>
                <w:snapToGrid w:val="0"/>
              </w:rPr>
            </w:pPr>
            <w:r w:rsidRPr="00F75630">
              <w:rPr>
                <w:rFonts w:ascii="Times New Roman" w:eastAsia="Times New Roman" w:hAnsi="Times New Roman"/>
                <w:snapToGrid w:val="0"/>
              </w:rPr>
              <w:t>56 (5</w:t>
            </w:r>
            <w:r>
              <w:rPr>
                <w:rFonts w:ascii="Times New Roman" w:eastAsia="Times New Roman" w:hAnsi="Times New Roman"/>
                <w:snapToGrid w:val="0"/>
              </w:rPr>
              <w:t>,</w:t>
            </w:r>
            <w:r w:rsidRPr="00F75630">
              <w:rPr>
                <w:rFonts w:ascii="Times New Roman" w:eastAsia="Times New Roman" w:hAnsi="Times New Roman"/>
                <w:snapToGrid w:val="0"/>
              </w:rPr>
              <w:t>1)</w:t>
            </w:r>
          </w:p>
        </w:tc>
        <w:tc>
          <w:tcPr>
            <w:tcW w:w="1134" w:type="dxa"/>
            <w:tcBorders>
              <w:top w:val="single" w:sz="4" w:space="0" w:color="000000"/>
              <w:left w:val="single" w:sz="4" w:space="0" w:color="000000"/>
              <w:bottom w:val="single" w:sz="4" w:space="0" w:color="000000"/>
              <w:right w:val="single" w:sz="4" w:space="0" w:color="000000"/>
            </w:tcBorders>
          </w:tcPr>
          <w:p w14:paraId="64D0208E" w14:textId="45A0BBC2" w:rsidR="00F36910" w:rsidRPr="00037DA8" w:rsidRDefault="00F36910" w:rsidP="00F3691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C0C0CFF" w14:textId="140055ED" w:rsidR="00F36910" w:rsidRPr="00037DA8" w:rsidRDefault="00F36910" w:rsidP="00F36910">
            <w:pPr>
              <w:tabs>
                <w:tab w:val="left" w:pos="567"/>
              </w:tabs>
              <w:spacing w:after="0" w:line="260" w:lineRule="exact"/>
              <w:rPr>
                <w:rFonts w:ascii="Times New Roman" w:eastAsia="Times New Roman" w:hAnsi="Times New Roman"/>
                <w:snapToGrid w:val="0"/>
              </w:rPr>
            </w:pPr>
            <w:r w:rsidRPr="00F75630">
              <w:rPr>
                <w:rFonts w:ascii="Times New Roman" w:eastAsia="Times New Roman" w:hAnsi="Times New Roman"/>
                <w:snapToGrid w:val="0"/>
              </w:rPr>
              <w:t>1 (&lt;</w:t>
            </w:r>
            <w:r w:rsidR="00721662">
              <w:rPr>
                <w:rFonts w:ascii="Times New Roman" w:eastAsia="Times New Roman" w:hAnsi="Times New Roman"/>
                <w:snapToGrid w:val="0"/>
              </w:rPr>
              <w:t> </w:t>
            </w:r>
            <w:r w:rsidRPr="00F75630">
              <w:rPr>
                <w:rFonts w:ascii="Times New Roman" w:eastAsia="Times New Roman" w:hAnsi="Times New Roman"/>
                <w:snapToGrid w:val="0"/>
              </w:rPr>
              <w:t>0,1)</w:t>
            </w:r>
            <w:r w:rsidRPr="00037DA8">
              <w:rPr>
                <w:rFonts w:ascii="Times New Roman" w:eastAsia="Times New Roman" w:hAnsi="Times New Roman"/>
                <w:snapToGrid w:val="0"/>
              </w:rPr>
              <w:t xml:space="preserve"> </w:t>
            </w:r>
          </w:p>
        </w:tc>
      </w:tr>
      <w:tr w:rsidR="00F36910" w:rsidRPr="00074768" w14:paraId="43982290" w14:textId="77777777" w:rsidTr="002642B8">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3871051A"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2DD7588" w14:textId="77777777" w:rsidR="00F36910" w:rsidRPr="00037DA8" w:rsidRDefault="00F36910" w:rsidP="00F3691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Letargija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4F2E05C" w14:textId="6BED1D84" w:rsidR="00F36910" w:rsidRPr="00037DA8" w:rsidRDefault="00F36910" w:rsidP="00F3691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4961039" w14:textId="0292488B" w:rsidR="00F36910" w:rsidRPr="00037DA8" w:rsidRDefault="00F36910" w:rsidP="00F36910">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15 (1,4)</w:t>
            </w:r>
          </w:p>
        </w:tc>
        <w:tc>
          <w:tcPr>
            <w:tcW w:w="1134" w:type="dxa"/>
            <w:tcBorders>
              <w:top w:val="single" w:sz="4" w:space="0" w:color="000000"/>
              <w:left w:val="single" w:sz="4" w:space="0" w:color="000000"/>
              <w:bottom w:val="single" w:sz="4" w:space="0" w:color="000000"/>
              <w:right w:val="single" w:sz="4" w:space="0" w:color="000000"/>
            </w:tcBorders>
          </w:tcPr>
          <w:p w14:paraId="3DF9916D"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F93CA4" w14:textId="40F5AC13" w:rsidR="00F36910" w:rsidRPr="00037DA8" w:rsidRDefault="00F36910" w:rsidP="00F36910">
            <w:pPr>
              <w:tabs>
                <w:tab w:val="left" w:pos="567"/>
              </w:tabs>
              <w:spacing w:after="0" w:line="260" w:lineRule="exact"/>
              <w:rPr>
                <w:rFonts w:ascii="Times New Roman" w:eastAsia="Times New Roman" w:hAnsi="Times New Roman"/>
                <w:snapToGrid w:val="0"/>
              </w:rPr>
            </w:pPr>
            <w:r w:rsidRPr="0068640E">
              <w:rPr>
                <w:rFonts w:ascii="Times New Roman" w:eastAsia="Times New Roman" w:hAnsi="Times New Roman"/>
                <w:snapToGrid w:val="0"/>
              </w:rPr>
              <w:t>1 (&lt;</w:t>
            </w:r>
            <w:r w:rsidR="00721662">
              <w:rPr>
                <w:rFonts w:ascii="Times New Roman" w:eastAsia="Times New Roman" w:hAnsi="Times New Roman"/>
                <w:snapToGrid w:val="0"/>
              </w:rPr>
              <w:t> </w:t>
            </w:r>
            <w:r w:rsidRPr="0068640E">
              <w:rPr>
                <w:rFonts w:ascii="Times New Roman" w:eastAsia="Times New Roman" w:hAnsi="Times New Roman"/>
                <w:snapToGrid w:val="0"/>
              </w:rPr>
              <w:t>0,1)</w:t>
            </w:r>
          </w:p>
        </w:tc>
      </w:tr>
      <w:tr w:rsidR="00F36910" w:rsidRPr="00074768" w14:paraId="7D05F4A6" w14:textId="77777777" w:rsidTr="002642B8">
        <w:tblPrEx>
          <w:tblCellMar>
            <w:right w:w="17" w:type="dxa"/>
          </w:tblCellMar>
        </w:tblPrEx>
        <w:trPr>
          <w:trHeight w:val="530"/>
        </w:trPr>
        <w:tc>
          <w:tcPr>
            <w:tcW w:w="0" w:type="auto"/>
            <w:vMerge/>
            <w:tcBorders>
              <w:left w:val="single" w:sz="4" w:space="0" w:color="000000"/>
              <w:bottom w:val="single" w:sz="4" w:space="0" w:color="000000"/>
              <w:right w:val="single" w:sz="4" w:space="0" w:color="000000"/>
            </w:tcBorders>
            <w:shd w:val="clear" w:color="auto" w:fill="auto"/>
          </w:tcPr>
          <w:p w14:paraId="2684B66B" w14:textId="77777777"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C5700C9" w14:textId="24A41F3A" w:rsidR="00F36910" w:rsidRPr="00037DA8" w:rsidRDefault="00F36910" w:rsidP="00F36910">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Sėdimojo nervo neuralgija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0C5F7A9" w14:textId="2BD73BDC" w:rsidR="00F36910" w:rsidRPr="00037DA8" w:rsidRDefault="00F36910" w:rsidP="00F3691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5BAE3AB" w14:textId="7B202110" w:rsidR="00F36910" w:rsidRPr="00037DA8" w:rsidRDefault="00F36910" w:rsidP="00F36910">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757E095B" w14:textId="33E3F362" w:rsidR="00F36910" w:rsidRPr="00037DA8" w:rsidRDefault="00F36910" w:rsidP="00F36910">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9 (0,8)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DBCBF5B" w14:textId="1AA16138" w:rsidR="00F36910" w:rsidRPr="00037DA8" w:rsidRDefault="00F36910" w:rsidP="00F36910">
            <w:pPr>
              <w:tabs>
                <w:tab w:val="left" w:pos="567"/>
              </w:tabs>
              <w:spacing w:after="0" w:line="260" w:lineRule="exact"/>
              <w:rPr>
                <w:rFonts w:ascii="Times New Roman" w:eastAsia="Times New Roman" w:hAnsi="Times New Roman"/>
                <w:snapToGrid w:val="0"/>
              </w:rPr>
            </w:pPr>
            <w:r w:rsidRPr="0068640E">
              <w:rPr>
                <w:rFonts w:ascii="Times New Roman" w:eastAsia="Times New Roman" w:hAnsi="Times New Roman"/>
                <w:snapToGrid w:val="0"/>
              </w:rPr>
              <w:t>1 (&lt;</w:t>
            </w:r>
            <w:r w:rsidR="00721662">
              <w:rPr>
                <w:rFonts w:ascii="Times New Roman" w:eastAsia="Times New Roman" w:hAnsi="Times New Roman"/>
                <w:snapToGrid w:val="0"/>
              </w:rPr>
              <w:t> </w:t>
            </w:r>
            <w:r w:rsidRPr="0068640E">
              <w:rPr>
                <w:rFonts w:ascii="Times New Roman" w:eastAsia="Times New Roman" w:hAnsi="Times New Roman"/>
                <w:snapToGrid w:val="0"/>
              </w:rPr>
              <w:t>0,1)</w:t>
            </w:r>
          </w:p>
        </w:tc>
      </w:tr>
      <w:tr w:rsidR="007E6BFC" w:rsidRPr="00074768" w14:paraId="75E387DB" w14:textId="77777777" w:rsidTr="002642B8">
        <w:tblPrEx>
          <w:tblCellMar>
            <w:right w:w="17" w:type="dxa"/>
          </w:tblCellMar>
        </w:tblPrEx>
        <w:trPr>
          <w:trHeight w:val="269"/>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878867" w14:textId="77777777" w:rsidR="007E6BFC" w:rsidRPr="00F159B6" w:rsidRDefault="007E6BFC" w:rsidP="007E6BFC">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lastRenderedPageBreak/>
              <w:t>Akių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288BA40" w14:textId="77777777" w:rsidR="007E6BFC" w:rsidRPr="0085406C" w:rsidRDefault="007E6BFC" w:rsidP="007E6BFC">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Konjunktyvitas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25DF321" w14:textId="3C1B654E" w:rsidR="007E6BFC" w:rsidRPr="004200DB" w:rsidRDefault="007E6BFC" w:rsidP="007E6BFC">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9451693" w14:textId="5C1A2FB3" w:rsidR="007E6BFC" w:rsidRPr="00037DA8" w:rsidRDefault="007E6BFC" w:rsidP="007E6BFC">
            <w:pPr>
              <w:tabs>
                <w:tab w:val="left" w:pos="567"/>
              </w:tabs>
              <w:spacing w:after="0" w:line="260" w:lineRule="exact"/>
              <w:rPr>
                <w:rFonts w:ascii="Times New Roman" w:eastAsia="Times New Roman" w:hAnsi="Times New Roman"/>
                <w:snapToGrid w:val="0"/>
              </w:rPr>
            </w:pPr>
            <w:r w:rsidRPr="00F175BE">
              <w:rPr>
                <w:rFonts w:ascii="Times New Roman" w:hAnsi="Times New Roman"/>
              </w:rPr>
              <w:t>11 (1</w:t>
            </w:r>
            <w:r>
              <w:rPr>
                <w:rFonts w:ascii="Times New Roman" w:hAnsi="Times New Roman"/>
              </w:rPr>
              <w:t>,</w:t>
            </w:r>
            <w:r w:rsidRPr="00F175BE">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48B68249"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7FDA38" w14:textId="021D9F2E"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7E6BFC" w:rsidRPr="00074768" w14:paraId="31790C62" w14:textId="77777777" w:rsidTr="002642B8">
        <w:tblPrEx>
          <w:tblCellMar>
            <w:right w:w="17" w:type="dxa"/>
          </w:tblCellMar>
        </w:tblPrEx>
        <w:trPr>
          <w:trHeight w:val="530"/>
        </w:trPr>
        <w:tc>
          <w:tcPr>
            <w:tcW w:w="0" w:type="auto"/>
            <w:vMerge/>
            <w:tcBorders>
              <w:top w:val="nil"/>
              <w:left w:val="single" w:sz="4" w:space="0" w:color="000000"/>
              <w:bottom w:val="single" w:sz="4" w:space="0" w:color="000000"/>
              <w:right w:val="single" w:sz="4" w:space="0" w:color="000000"/>
            </w:tcBorders>
            <w:shd w:val="clear" w:color="auto" w:fill="auto"/>
          </w:tcPr>
          <w:p w14:paraId="34DFE3E1"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C360A61" w14:textId="77777777"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Sustiprėjęs ašarojimas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038E456" w14:textId="73A4E04F"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19C7A73" w14:textId="173E3854" w:rsidR="007E6BFC" w:rsidRPr="00037DA8" w:rsidRDefault="007E6BFC" w:rsidP="007E6BFC">
            <w:pPr>
              <w:tabs>
                <w:tab w:val="left" w:pos="567"/>
              </w:tabs>
              <w:spacing w:after="0" w:line="260" w:lineRule="exact"/>
              <w:rPr>
                <w:rFonts w:ascii="Times New Roman" w:eastAsia="Times New Roman" w:hAnsi="Times New Roman"/>
                <w:snapToGrid w:val="0"/>
              </w:rPr>
            </w:pPr>
            <w:r w:rsidRPr="00F175BE">
              <w:rPr>
                <w:rFonts w:ascii="Times New Roman" w:hAnsi="Times New Roman"/>
              </w:rPr>
              <w:t>22 (2</w:t>
            </w:r>
            <w:r>
              <w:rPr>
                <w:rFonts w:ascii="Times New Roman" w:hAnsi="Times New Roman"/>
              </w:rPr>
              <w:t>,</w:t>
            </w:r>
            <w:r w:rsidRPr="00F175BE">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5B9FE606"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128B5C" w14:textId="400FDF93"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7E6BFC" w:rsidRPr="00074768" w14:paraId="39A1A3B0" w14:textId="77777777" w:rsidTr="002642B8">
        <w:tblPrEx>
          <w:tblCellMar>
            <w:right w:w="17" w:type="dxa"/>
          </w:tblCellMar>
        </w:tblPrEx>
        <w:trPr>
          <w:trHeight w:val="271"/>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DCDBC7" w14:textId="77777777" w:rsidR="007E6BFC" w:rsidRPr="0085406C" w:rsidRDefault="007E6BFC" w:rsidP="007E6BFC">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Ausų ir labirintų</w:t>
            </w:r>
            <w:r w:rsidRPr="00F159B6">
              <w:rPr>
                <w:rFonts w:ascii="Times New Roman" w:eastAsia="Times New Roman" w:hAnsi="Times New Roman"/>
                <w:snapToGrid w:val="0"/>
              </w:rPr>
              <w:t xml:space="preserve"> </w:t>
            </w:r>
            <w:r w:rsidRPr="0085406C">
              <w:rPr>
                <w:rFonts w:ascii="Times New Roman" w:eastAsia="Times New Roman" w:hAnsi="Times New Roman"/>
                <w:snapToGrid w:val="0"/>
              </w:rPr>
              <w:t>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2E82268" w14:textId="77777777" w:rsidR="007E6BFC" w:rsidRPr="004200DB" w:rsidRDefault="007E6BFC" w:rsidP="007E6BFC">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Spengimas ausyse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E7CC3B4" w14:textId="4903AB48" w:rsidR="007E6BFC" w:rsidRPr="004200DB" w:rsidRDefault="007E6BFC" w:rsidP="007E6BFC">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6C94A6" w14:textId="2CCECEE9"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2CD60C8A" w14:textId="5ADEB318" w:rsidR="007E6BFC" w:rsidRPr="00037DA8" w:rsidRDefault="007E6BFC" w:rsidP="007E6BFC">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7 (0,6)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78F905A" w14:textId="1D3C1F59"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7E6BFC" w:rsidRPr="00074768" w14:paraId="6C93C968" w14:textId="77777777" w:rsidTr="002642B8">
        <w:tblPrEx>
          <w:tblCellMar>
            <w:right w:w="17" w:type="dxa"/>
          </w:tblCellMar>
        </w:tblPrEx>
        <w:trPr>
          <w:trHeight w:val="269"/>
        </w:trPr>
        <w:tc>
          <w:tcPr>
            <w:tcW w:w="0" w:type="auto"/>
            <w:vMerge/>
            <w:tcBorders>
              <w:top w:val="nil"/>
              <w:left w:val="single" w:sz="4" w:space="0" w:color="000000"/>
              <w:bottom w:val="single" w:sz="4" w:space="0" w:color="000000"/>
              <w:right w:val="single" w:sz="4" w:space="0" w:color="000000"/>
            </w:tcBorders>
            <w:shd w:val="clear" w:color="auto" w:fill="auto"/>
          </w:tcPr>
          <w:p w14:paraId="09116C5C"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C76BB97" w14:textId="33D9C55B"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Galvos </w:t>
            </w:r>
            <w:r>
              <w:rPr>
                <w:rFonts w:ascii="Times New Roman" w:eastAsia="Times New Roman" w:hAnsi="Times New Roman"/>
                <w:snapToGrid w:val="0"/>
              </w:rPr>
              <w:t>svaigimas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2079C91" w14:textId="14E48DC0"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90E6BAD" w14:textId="1F1EAEB5" w:rsidR="007E6BFC" w:rsidRPr="00037DA8" w:rsidRDefault="007E6BFC" w:rsidP="007E6BFC">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15 (1,4)</w:t>
            </w:r>
          </w:p>
        </w:tc>
        <w:tc>
          <w:tcPr>
            <w:tcW w:w="1134" w:type="dxa"/>
            <w:tcBorders>
              <w:top w:val="single" w:sz="4" w:space="0" w:color="000000"/>
              <w:left w:val="single" w:sz="4" w:space="0" w:color="000000"/>
              <w:bottom w:val="single" w:sz="4" w:space="0" w:color="000000"/>
              <w:right w:val="single" w:sz="4" w:space="0" w:color="000000"/>
            </w:tcBorders>
          </w:tcPr>
          <w:p w14:paraId="3A4D93BD"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458F36" w14:textId="772112D1" w:rsidR="007E6BFC" w:rsidRPr="00037DA8" w:rsidRDefault="007E6BFC" w:rsidP="007E6BFC">
            <w:pPr>
              <w:tabs>
                <w:tab w:val="left" w:pos="567"/>
              </w:tabs>
              <w:spacing w:after="0" w:line="260" w:lineRule="exact"/>
              <w:rPr>
                <w:rFonts w:ascii="Times New Roman" w:eastAsia="Times New Roman" w:hAnsi="Times New Roman"/>
                <w:snapToGrid w:val="0"/>
              </w:rPr>
            </w:pPr>
            <w:r w:rsidRPr="00D07967">
              <w:rPr>
                <w:rFonts w:ascii="Times New Roman" w:eastAsia="Times New Roman" w:hAnsi="Times New Roman"/>
                <w:snapToGrid w:val="0"/>
              </w:rPr>
              <w:t>1 (&lt;</w:t>
            </w:r>
            <w:r w:rsidR="00721662">
              <w:rPr>
                <w:rFonts w:ascii="Times New Roman" w:eastAsia="Times New Roman" w:hAnsi="Times New Roman"/>
                <w:snapToGrid w:val="0"/>
              </w:rPr>
              <w:t> </w:t>
            </w:r>
            <w:r w:rsidRPr="00D07967">
              <w:rPr>
                <w:rFonts w:ascii="Times New Roman" w:eastAsia="Times New Roman" w:hAnsi="Times New Roman"/>
                <w:snapToGrid w:val="0"/>
              </w:rPr>
              <w:t>0,1)</w:t>
            </w:r>
            <w:r w:rsidRPr="00037DA8">
              <w:rPr>
                <w:rFonts w:ascii="Times New Roman" w:eastAsia="Times New Roman" w:hAnsi="Times New Roman"/>
                <w:snapToGrid w:val="0"/>
              </w:rPr>
              <w:t xml:space="preserve"> </w:t>
            </w:r>
          </w:p>
        </w:tc>
      </w:tr>
      <w:tr w:rsidR="007E6BFC" w:rsidRPr="00074768" w14:paraId="580FD3A2" w14:textId="77777777" w:rsidTr="002642B8">
        <w:tblPrEx>
          <w:tblCellMar>
            <w:right w:w="17" w:type="dxa"/>
          </w:tblCellMar>
        </w:tblPrEx>
        <w:trPr>
          <w:trHeight w:val="271"/>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A27CDC" w14:textId="77777777" w:rsidR="007E6BFC" w:rsidRPr="00F159B6" w:rsidRDefault="007E6BFC" w:rsidP="007E6BFC">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Širdies sutrikimai*</w:t>
            </w:r>
            <w:r w:rsidRPr="00F159B6">
              <w:rPr>
                <w:rFonts w:ascii="Times New Roman" w:eastAsia="Times New Roman" w:hAnsi="Times New Roman"/>
                <w:snapToGrid w:val="0"/>
              </w:rPr>
              <w:t xml:space="preserve"> </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09CFB49" w14:textId="77777777" w:rsidR="007E6BFC" w:rsidRPr="0085406C" w:rsidRDefault="007E6BFC" w:rsidP="007E6BFC">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Prieširdžių virpėjimas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160E0A2" w14:textId="4ADBDD8D" w:rsidR="007E6BFC" w:rsidRPr="004200DB" w:rsidRDefault="007E6BFC" w:rsidP="007E6BFC">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967AC6" w14:textId="7ED75B72" w:rsidR="007E6BFC" w:rsidRPr="00037DA8" w:rsidRDefault="007E6BFC" w:rsidP="007E6BFC">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14 (1,3)</w:t>
            </w:r>
          </w:p>
        </w:tc>
        <w:tc>
          <w:tcPr>
            <w:tcW w:w="1134" w:type="dxa"/>
            <w:tcBorders>
              <w:top w:val="single" w:sz="4" w:space="0" w:color="000000"/>
              <w:left w:val="single" w:sz="4" w:space="0" w:color="000000"/>
              <w:bottom w:val="single" w:sz="4" w:space="0" w:color="000000"/>
              <w:right w:val="single" w:sz="4" w:space="0" w:color="000000"/>
            </w:tcBorders>
          </w:tcPr>
          <w:p w14:paraId="54701B84"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F0CDB1" w14:textId="26DC1808" w:rsidR="007E6BFC" w:rsidRPr="00037DA8" w:rsidRDefault="007E6BFC" w:rsidP="007E6BFC">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5</w:t>
            </w:r>
            <w:r w:rsidRPr="00037DA8">
              <w:rPr>
                <w:rFonts w:ascii="Times New Roman" w:eastAsia="Times New Roman" w:hAnsi="Times New Roman"/>
                <w:snapToGrid w:val="0"/>
              </w:rPr>
              <w:t xml:space="preserve"> (0,5) </w:t>
            </w:r>
          </w:p>
        </w:tc>
      </w:tr>
      <w:tr w:rsidR="007E6BFC" w:rsidRPr="00074768" w14:paraId="2E248029" w14:textId="77777777" w:rsidTr="002642B8">
        <w:tblPrEx>
          <w:tblCellMar>
            <w:right w:w="17" w:type="dxa"/>
          </w:tblCellMar>
        </w:tblPrEx>
        <w:trPr>
          <w:trHeight w:val="269"/>
        </w:trPr>
        <w:tc>
          <w:tcPr>
            <w:tcW w:w="0" w:type="auto"/>
            <w:vMerge/>
            <w:tcBorders>
              <w:top w:val="nil"/>
              <w:left w:val="single" w:sz="4" w:space="0" w:color="000000"/>
              <w:bottom w:val="single" w:sz="4" w:space="0" w:color="000000"/>
              <w:right w:val="single" w:sz="4" w:space="0" w:color="000000"/>
            </w:tcBorders>
            <w:shd w:val="clear" w:color="auto" w:fill="auto"/>
          </w:tcPr>
          <w:p w14:paraId="7236C537"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A38C73E" w14:textId="77777777"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Tachikardija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F405D88" w14:textId="6492A8DF"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350F33C" w14:textId="6965552A" w:rsidR="007E6BFC" w:rsidRPr="00037DA8" w:rsidRDefault="007E6BFC" w:rsidP="007E6BFC">
            <w:pPr>
              <w:tabs>
                <w:tab w:val="left" w:pos="567"/>
              </w:tabs>
              <w:spacing w:after="0" w:line="260" w:lineRule="exact"/>
              <w:rPr>
                <w:rFonts w:ascii="Times New Roman" w:eastAsia="Times New Roman" w:hAnsi="Times New Roman"/>
                <w:snapToGrid w:val="0"/>
              </w:rPr>
            </w:pPr>
            <w:r w:rsidRPr="00F175BE">
              <w:rPr>
                <w:rFonts w:ascii="Times New Roman" w:hAnsi="Times New Roman"/>
              </w:rPr>
              <w:t>11 (1</w:t>
            </w:r>
            <w:r>
              <w:rPr>
                <w:rFonts w:ascii="Times New Roman" w:hAnsi="Times New Roman"/>
              </w:rPr>
              <w:t>,</w:t>
            </w:r>
            <w:r w:rsidRPr="00F175BE">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3E0D1960"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9033EA" w14:textId="6F812A82" w:rsidR="007E6BFC" w:rsidRPr="00037DA8" w:rsidRDefault="007E6BFC" w:rsidP="007E6BFC">
            <w:pPr>
              <w:tabs>
                <w:tab w:val="left" w:pos="567"/>
              </w:tabs>
              <w:spacing w:after="0" w:line="260" w:lineRule="exact"/>
              <w:rPr>
                <w:rFonts w:ascii="Times New Roman" w:eastAsia="Times New Roman" w:hAnsi="Times New Roman"/>
                <w:snapToGrid w:val="0"/>
              </w:rPr>
            </w:pPr>
            <w:r w:rsidRPr="00C54807">
              <w:rPr>
                <w:rFonts w:ascii="Times New Roman" w:eastAsia="Times New Roman" w:hAnsi="Times New Roman"/>
                <w:snapToGrid w:val="0"/>
              </w:rPr>
              <w:t>1 (&lt;</w:t>
            </w:r>
            <w:r w:rsidR="00721662">
              <w:rPr>
                <w:rFonts w:ascii="Times New Roman" w:eastAsia="Times New Roman" w:hAnsi="Times New Roman"/>
                <w:snapToGrid w:val="0"/>
              </w:rPr>
              <w:t> </w:t>
            </w:r>
            <w:r w:rsidRPr="00C54807">
              <w:rPr>
                <w:rFonts w:ascii="Times New Roman" w:eastAsia="Times New Roman" w:hAnsi="Times New Roman"/>
                <w:snapToGrid w:val="0"/>
              </w:rPr>
              <w:t>0,1)</w:t>
            </w:r>
          </w:p>
        </w:tc>
      </w:tr>
      <w:tr w:rsidR="007E6BFC" w:rsidRPr="00074768" w14:paraId="1E613DD5" w14:textId="77777777" w:rsidTr="002642B8">
        <w:tblPrEx>
          <w:tblCellMar>
            <w:right w:w="17" w:type="dxa"/>
          </w:tblCellMar>
        </w:tblPrEx>
        <w:trPr>
          <w:trHeight w:val="271"/>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556ACD" w14:textId="77777777" w:rsidR="007E6BFC" w:rsidRPr="0085406C" w:rsidRDefault="007E6BFC" w:rsidP="007E6BFC">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Krau</w:t>
            </w:r>
            <w:r w:rsidRPr="00F159B6">
              <w:rPr>
                <w:rFonts w:ascii="Times New Roman" w:eastAsia="Times New Roman" w:hAnsi="Times New Roman"/>
                <w:snapToGrid w:val="0"/>
              </w:rPr>
              <w:t>jagyslių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CEF265E"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roofErr w:type="spellStart"/>
            <w:r w:rsidRPr="004200DB">
              <w:rPr>
                <w:rFonts w:ascii="Times New Roman" w:eastAsia="Times New Roman" w:hAnsi="Times New Roman"/>
                <w:snapToGrid w:val="0"/>
              </w:rPr>
              <w:t>Hipoten</w:t>
            </w:r>
            <w:r w:rsidRPr="00037DA8">
              <w:rPr>
                <w:rFonts w:ascii="Times New Roman" w:eastAsia="Times New Roman" w:hAnsi="Times New Roman"/>
                <w:snapToGrid w:val="0"/>
              </w:rPr>
              <w:t>zija</w:t>
            </w:r>
            <w:proofErr w:type="spellEnd"/>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D9FD391" w14:textId="4948BFE7"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843F69" w14:textId="06F6D25E" w:rsidR="007E6BFC" w:rsidRPr="00037DA8" w:rsidRDefault="007E6BFC" w:rsidP="007E6BFC">
            <w:pPr>
              <w:tabs>
                <w:tab w:val="left" w:pos="567"/>
              </w:tabs>
              <w:spacing w:after="0" w:line="260" w:lineRule="exact"/>
              <w:rPr>
                <w:rFonts w:ascii="Times New Roman" w:eastAsia="Times New Roman" w:hAnsi="Times New Roman"/>
                <w:snapToGrid w:val="0"/>
              </w:rPr>
            </w:pPr>
            <w:r w:rsidRPr="00F175BE">
              <w:rPr>
                <w:rFonts w:ascii="Times New Roman" w:hAnsi="Times New Roman"/>
              </w:rPr>
              <w:t>38 (3</w:t>
            </w:r>
            <w:r>
              <w:rPr>
                <w:rFonts w:ascii="Times New Roman" w:hAnsi="Times New Roman"/>
              </w:rPr>
              <w:t>,</w:t>
            </w:r>
            <w:r w:rsidRPr="00F175BE">
              <w:rPr>
                <w:rFonts w:ascii="Times New Roman" w:hAnsi="Times New Roman"/>
              </w:rPr>
              <w:t>5)</w:t>
            </w:r>
          </w:p>
        </w:tc>
        <w:tc>
          <w:tcPr>
            <w:tcW w:w="1134" w:type="dxa"/>
            <w:tcBorders>
              <w:top w:val="single" w:sz="4" w:space="0" w:color="000000"/>
              <w:left w:val="single" w:sz="4" w:space="0" w:color="000000"/>
              <w:bottom w:val="single" w:sz="4" w:space="0" w:color="000000"/>
              <w:right w:val="single" w:sz="4" w:space="0" w:color="000000"/>
            </w:tcBorders>
          </w:tcPr>
          <w:p w14:paraId="108EF8B2"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78181E6" w14:textId="45F124A2" w:rsidR="007E6BFC" w:rsidRPr="00037DA8" w:rsidRDefault="007E6BFC" w:rsidP="007E6BFC">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5</w:t>
            </w:r>
            <w:r w:rsidRPr="00037DA8">
              <w:rPr>
                <w:rFonts w:ascii="Times New Roman" w:eastAsia="Times New Roman" w:hAnsi="Times New Roman"/>
                <w:snapToGrid w:val="0"/>
              </w:rPr>
              <w:t xml:space="preserve"> (0,5) </w:t>
            </w:r>
          </w:p>
        </w:tc>
      </w:tr>
      <w:tr w:rsidR="007E6BFC" w:rsidRPr="00074768" w14:paraId="3A311FCC" w14:textId="77777777" w:rsidTr="002642B8">
        <w:tblPrEx>
          <w:tblCellMar>
            <w:right w:w="17" w:type="dxa"/>
          </w:tblCellMar>
        </w:tblPrEx>
        <w:trPr>
          <w:trHeight w:val="528"/>
        </w:trPr>
        <w:tc>
          <w:tcPr>
            <w:tcW w:w="0" w:type="auto"/>
            <w:vMerge/>
            <w:tcBorders>
              <w:top w:val="nil"/>
              <w:left w:val="single" w:sz="4" w:space="0" w:color="000000"/>
              <w:bottom w:val="nil"/>
              <w:right w:val="single" w:sz="4" w:space="0" w:color="000000"/>
            </w:tcBorders>
            <w:shd w:val="clear" w:color="auto" w:fill="auto"/>
          </w:tcPr>
          <w:p w14:paraId="138DCFBA"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266C0A7" w14:textId="77777777"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Giliųjų venų trombozė</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AF99557" w14:textId="4F173570"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3E3202B" w14:textId="4869FAAE" w:rsidR="007E6BFC" w:rsidRPr="00037DA8" w:rsidRDefault="007E6BFC" w:rsidP="007E6BFC">
            <w:pPr>
              <w:tabs>
                <w:tab w:val="left" w:pos="567"/>
              </w:tabs>
              <w:spacing w:after="0" w:line="260" w:lineRule="exact"/>
              <w:rPr>
                <w:rFonts w:ascii="Times New Roman" w:eastAsia="Times New Roman" w:hAnsi="Times New Roman"/>
                <w:snapToGrid w:val="0"/>
              </w:rPr>
            </w:pPr>
            <w:r w:rsidRPr="00F175BE">
              <w:rPr>
                <w:rFonts w:ascii="Times New Roman" w:hAnsi="Times New Roman"/>
              </w:rPr>
              <w:t>12 (1</w:t>
            </w:r>
            <w:r>
              <w:rPr>
                <w:rFonts w:ascii="Times New Roman" w:hAnsi="Times New Roman"/>
              </w:rPr>
              <w:t>,</w:t>
            </w:r>
            <w:r w:rsidRPr="00F175BE">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1A0624E1"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55EB4F" w14:textId="24C2BBC1" w:rsidR="007E6BFC" w:rsidRPr="00037DA8" w:rsidRDefault="007E6BFC" w:rsidP="007E6BFC">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9</w:t>
            </w:r>
            <w:r w:rsidRPr="00037DA8">
              <w:rPr>
                <w:rFonts w:ascii="Times New Roman" w:eastAsia="Times New Roman" w:hAnsi="Times New Roman"/>
                <w:snapToGrid w:val="0"/>
              </w:rPr>
              <w:t xml:space="preserve"> (</w:t>
            </w:r>
            <w:r>
              <w:rPr>
                <w:rFonts w:ascii="Times New Roman" w:eastAsia="Times New Roman" w:hAnsi="Times New Roman"/>
                <w:snapToGrid w:val="0"/>
              </w:rPr>
              <w:t>0</w:t>
            </w:r>
            <w:r w:rsidRPr="00037DA8">
              <w:rPr>
                <w:rFonts w:ascii="Times New Roman" w:eastAsia="Times New Roman" w:hAnsi="Times New Roman"/>
                <w:snapToGrid w:val="0"/>
              </w:rPr>
              <w:t>,</w:t>
            </w:r>
            <w:r>
              <w:rPr>
                <w:rFonts w:ascii="Times New Roman" w:eastAsia="Times New Roman" w:hAnsi="Times New Roman"/>
                <w:snapToGrid w:val="0"/>
              </w:rPr>
              <w:t>8</w:t>
            </w:r>
            <w:r w:rsidRPr="00037DA8">
              <w:rPr>
                <w:rFonts w:ascii="Times New Roman" w:eastAsia="Times New Roman" w:hAnsi="Times New Roman"/>
                <w:snapToGrid w:val="0"/>
              </w:rPr>
              <w:t xml:space="preserve">) </w:t>
            </w:r>
          </w:p>
        </w:tc>
      </w:tr>
      <w:tr w:rsidR="007E6BFC" w:rsidRPr="00074768" w14:paraId="19F9068A" w14:textId="77777777" w:rsidTr="002642B8">
        <w:tblPrEx>
          <w:tblCellMar>
            <w:right w:w="17" w:type="dxa"/>
          </w:tblCellMar>
        </w:tblPrEx>
        <w:trPr>
          <w:trHeight w:val="271"/>
        </w:trPr>
        <w:tc>
          <w:tcPr>
            <w:tcW w:w="0" w:type="auto"/>
            <w:vMerge/>
            <w:tcBorders>
              <w:top w:val="nil"/>
              <w:left w:val="single" w:sz="4" w:space="0" w:color="000000"/>
              <w:bottom w:val="nil"/>
              <w:right w:val="single" w:sz="4" w:space="0" w:color="000000"/>
            </w:tcBorders>
            <w:shd w:val="clear" w:color="auto" w:fill="auto"/>
          </w:tcPr>
          <w:p w14:paraId="099DB6BF"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2786481" w14:textId="77777777"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Hipertenzija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FB4554B" w14:textId="5DA9AD15"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4391370" w14:textId="5161F3E4" w:rsidR="007E6BFC" w:rsidRPr="00037DA8" w:rsidRDefault="007E6BFC" w:rsidP="007E6BFC">
            <w:pPr>
              <w:tabs>
                <w:tab w:val="left" w:pos="567"/>
              </w:tabs>
              <w:spacing w:after="0" w:line="260" w:lineRule="exact"/>
              <w:rPr>
                <w:rFonts w:ascii="Times New Roman" w:eastAsia="Times New Roman" w:hAnsi="Times New Roman"/>
                <w:snapToGrid w:val="0"/>
              </w:rPr>
            </w:pPr>
            <w:r w:rsidRPr="00F175BE">
              <w:rPr>
                <w:rFonts w:ascii="Times New Roman" w:hAnsi="Times New Roman"/>
              </w:rPr>
              <w:t>29 (2</w:t>
            </w:r>
            <w:r>
              <w:rPr>
                <w:rFonts w:ascii="Times New Roman" w:hAnsi="Times New Roman"/>
              </w:rPr>
              <w:t>,</w:t>
            </w:r>
            <w:r w:rsidRPr="00F175BE">
              <w:rPr>
                <w:rFonts w:ascii="Times New Roman" w:hAnsi="Times New Roman"/>
              </w:rPr>
              <w:t>7)</w:t>
            </w:r>
          </w:p>
        </w:tc>
        <w:tc>
          <w:tcPr>
            <w:tcW w:w="1134" w:type="dxa"/>
            <w:tcBorders>
              <w:top w:val="single" w:sz="4" w:space="0" w:color="000000"/>
              <w:left w:val="single" w:sz="4" w:space="0" w:color="000000"/>
              <w:bottom w:val="single" w:sz="4" w:space="0" w:color="000000"/>
              <w:right w:val="single" w:sz="4" w:space="0" w:color="000000"/>
            </w:tcBorders>
          </w:tcPr>
          <w:p w14:paraId="61855126"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CAB7D77" w14:textId="35D655EF"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1</w:t>
            </w:r>
            <w:r>
              <w:rPr>
                <w:rFonts w:ascii="Times New Roman" w:eastAsia="Times New Roman" w:hAnsi="Times New Roman"/>
                <w:snapToGrid w:val="0"/>
              </w:rPr>
              <w:t>2</w:t>
            </w:r>
            <w:r w:rsidRPr="00037DA8">
              <w:rPr>
                <w:rFonts w:ascii="Times New Roman" w:eastAsia="Times New Roman" w:hAnsi="Times New Roman"/>
                <w:snapToGrid w:val="0"/>
              </w:rPr>
              <w:t xml:space="preserve"> (</w:t>
            </w:r>
            <w:r>
              <w:rPr>
                <w:rFonts w:ascii="Times New Roman" w:eastAsia="Times New Roman" w:hAnsi="Times New Roman"/>
                <w:snapToGrid w:val="0"/>
              </w:rPr>
              <w:t>1</w:t>
            </w:r>
            <w:r w:rsidRPr="00037DA8">
              <w:rPr>
                <w:rFonts w:ascii="Times New Roman" w:eastAsia="Times New Roman" w:hAnsi="Times New Roman"/>
                <w:snapToGrid w:val="0"/>
              </w:rPr>
              <w:t>,</w:t>
            </w:r>
            <w:r>
              <w:rPr>
                <w:rFonts w:ascii="Times New Roman" w:eastAsia="Times New Roman" w:hAnsi="Times New Roman"/>
                <w:snapToGrid w:val="0"/>
              </w:rPr>
              <w:t>1</w:t>
            </w:r>
            <w:r w:rsidRPr="00037DA8">
              <w:rPr>
                <w:rFonts w:ascii="Times New Roman" w:eastAsia="Times New Roman" w:hAnsi="Times New Roman"/>
                <w:snapToGrid w:val="0"/>
              </w:rPr>
              <w:t xml:space="preserve">) </w:t>
            </w:r>
          </w:p>
        </w:tc>
      </w:tr>
      <w:tr w:rsidR="007E6BFC" w:rsidRPr="00074768" w14:paraId="104FDC0B" w14:textId="77777777" w:rsidTr="002642B8">
        <w:tblPrEx>
          <w:tblCellMar>
            <w:right w:w="17" w:type="dxa"/>
          </w:tblCellMar>
        </w:tblPrEx>
        <w:trPr>
          <w:trHeight w:val="530"/>
        </w:trPr>
        <w:tc>
          <w:tcPr>
            <w:tcW w:w="0" w:type="auto"/>
            <w:vMerge/>
            <w:tcBorders>
              <w:top w:val="nil"/>
              <w:left w:val="single" w:sz="4" w:space="0" w:color="000000"/>
              <w:bottom w:val="nil"/>
              <w:right w:val="single" w:sz="4" w:space="0" w:color="000000"/>
            </w:tcBorders>
            <w:shd w:val="clear" w:color="auto" w:fill="auto"/>
          </w:tcPr>
          <w:p w14:paraId="017C9A7A"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43EF298"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Ortostatinė</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hipotenzija</w:t>
            </w:r>
            <w:proofErr w:type="spellEnd"/>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DED7482" w14:textId="7AAB7F12"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99B628D" w14:textId="2036E029"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599EE348" w14:textId="14E208D8" w:rsidR="007E6BFC" w:rsidRPr="00037DA8" w:rsidRDefault="007E6BFC" w:rsidP="007E6BFC">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6 (0,5)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2089B6" w14:textId="744239DE" w:rsidR="007E6BFC" w:rsidRPr="00037DA8" w:rsidRDefault="007E6BFC" w:rsidP="007E6BFC">
            <w:pPr>
              <w:tabs>
                <w:tab w:val="left" w:pos="567"/>
              </w:tabs>
              <w:spacing w:after="0" w:line="260" w:lineRule="exact"/>
              <w:rPr>
                <w:rFonts w:ascii="Times New Roman" w:eastAsia="Times New Roman" w:hAnsi="Times New Roman"/>
                <w:snapToGrid w:val="0"/>
              </w:rPr>
            </w:pPr>
            <w:r w:rsidRPr="0073306B">
              <w:rPr>
                <w:rFonts w:ascii="Times New Roman" w:eastAsia="Times New Roman" w:hAnsi="Times New Roman"/>
                <w:snapToGrid w:val="0"/>
              </w:rPr>
              <w:t>1 (&lt;</w:t>
            </w:r>
            <w:r w:rsidR="00721662">
              <w:rPr>
                <w:rFonts w:ascii="Times New Roman" w:eastAsia="Times New Roman" w:hAnsi="Times New Roman"/>
                <w:snapToGrid w:val="0"/>
              </w:rPr>
              <w:t> </w:t>
            </w:r>
            <w:r w:rsidRPr="0073306B">
              <w:rPr>
                <w:rFonts w:ascii="Times New Roman" w:eastAsia="Times New Roman" w:hAnsi="Times New Roman"/>
                <w:snapToGrid w:val="0"/>
              </w:rPr>
              <w:t>0,1)</w:t>
            </w:r>
          </w:p>
        </w:tc>
      </w:tr>
      <w:tr w:rsidR="007E6BFC" w:rsidRPr="00074768" w14:paraId="14918BAF" w14:textId="77777777" w:rsidTr="002642B8">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62B94C10"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9A7F93F" w14:textId="77777777"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Karščio pylimas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C11D442" w14:textId="2BB2E399"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08B0E3" w14:textId="08D2386E" w:rsidR="007E6BFC" w:rsidRPr="00037DA8" w:rsidRDefault="007E6BFC" w:rsidP="007E6BFC">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23 (2,1)</w:t>
            </w:r>
          </w:p>
        </w:tc>
        <w:tc>
          <w:tcPr>
            <w:tcW w:w="1134" w:type="dxa"/>
            <w:tcBorders>
              <w:top w:val="single" w:sz="4" w:space="0" w:color="000000"/>
              <w:left w:val="single" w:sz="4" w:space="0" w:color="000000"/>
              <w:bottom w:val="single" w:sz="4" w:space="0" w:color="000000"/>
              <w:right w:val="single" w:sz="4" w:space="0" w:color="000000"/>
            </w:tcBorders>
          </w:tcPr>
          <w:p w14:paraId="7F2EFAA7"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F769DD3" w14:textId="03CB9142" w:rsidR="007E6BFC" w:rsidRPr="00037DA8" w:rsidRDefault="007E6BFC" w:rsidP="007E6BFC">
            <w:pPr>
              <w:tabs>
                <w:tab w:val="left" w:pos="567"/>
              </w:tabs>
              <w:spacing w:after="0" w:line="260" w:lineRule="exact"/>
              <w:rPr>
                <w:rFonts w:ascii="Times New Roman" w:eastAsia="Times New Roman" w:hAnsi="Times New Roman"/>
                <w:snapToGrid w:val="0"/>
              </w:rPr>
            </w:pPr>
            <w:r w:rsidRPr="0073306B">
              <w:rPr>
                <w:rFonts w:ascii="Times New Roman" w:eastAsia="Times New Roman" w:hAnsi="Times New Roman"/>
                <w:snapToGrid w:val="0"/>
              </w:rPr>
              <w:t>1 (&lt;</w:t>
            </w:r>
            <w:r w:rsidR="00721662">
              <w:rPr>
                <w:rFonts w:ascii="Times New Roman" w:eastAsia="Times New Roman" w:hAnsi="Times New Roman"/>
                <w:snapToGrid w:val="0"/>
              </w:rPr>
              <w:t> </w:t>
            </w:r>
            <w:r w:rsidRPr="0073306B">
              <w:rPr>
                <w:rFonts w:ascii="Times New Roman" w:eastAsia="Times New Roman" w:hAnsi="Times New Roman"/>
                <w:snapToGrid w:val="0"/>
              </w:rPr>
              <w:t xml:space="preserve">0,1) </w:t>
            </w:r>
          </w:p>
        </w:tc>
      </w:tr>
      <w:tr w:rsidR="007E6BFC" w:rsidRPr="00074768" w14:paraId="78BB228E" w14:textId="77777777" w:rsidTr="002642B8">
        <w:tblPrEx>
          <w:tblCellMar>
            <w:right w:w="17" w:type="dxa"/>
          </w:tblCellMar>
        </w:tblPrEx>
        <w:trPr>
          <w:trHeight w:val="271"/>
        </w:trPr>
        <w:tc>
          <w:tcPr>
            <w:tcW w:w="0" w:type="auto"/>
            <w:vMerge/>
            <w:tcBorders>
              <w:top w:val="nil"/>
              <w:left w:val="single" w:sz="4" w:space="0" w:color="000000"/>
              <w:bottom w:val="single" w:sz="4" w:space="0" w:color="000000"/>
              <w:right w:val="single" w:sz="4" w:space="0" w:color="000000"/>
            </w:tcBorders>
            <w:shd w:val="clear" w:color="auto" w:fill="auto"/>
          </w:tcPr>
          <w:p w14:paraId="2EA87EDC" w14:textId="77777777"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1177FF0" w14:textId="77777777"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Staigus paraudimas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D93CEA3" w14:textId="3390346B"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6B22C0" w14:textId="3E37C37D" w:rsidR="007E6BFC" w:rsidRPr="00037DA8" w:rsidRDefault="007E6BFC" w:rsidP="007E6BFC">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1DF93225" w14:textId="1E1A65A6" w:rsidR="007E6BFC" w:rsidRPr="00037DA8" w:rsidRDefault="007E6BFC" w:rsidP="007E6BFC">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9 (0,8)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20E9EE" w14:textId="15D393CB" w:rsidR="007E6BFC" w:rsidRPr="00037DA8" w:rsidRDefault="007E6BFC" w:rsidP="007E6BFC">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CE695E" w:rsidRPr="00074768" w14:paraId="135E12DE" w14:textId="77777777" w:rsidTr="00C326D9">
        <w:tblPrEx>
          <w:tblCellMar>
            <w:right w:w="17" w:type="dxa"/>
          </w:tblCellMar>
        </w:tblPrEx>
        <w:trPr>
          <w:trHeight w:val="269"/>
        </w:trPr>
        <w:tc>
          <w:tcPr>
            <w:tcW w:w="2159" w:type="dxa"/>
            <w:vMerge w:val="restart"/>
            <w:tcBorders>
              <w:top w:val="single" w:sz="4" w:space="0" w:color="000000"/>
              <w:left w:val="single" w:sz="4" w:space="0" w:color="000000"/>
              <w:right w:val="single" w:sz="4" w:space="0" w:color="000000"/>
            </w:tcBorders>
            <w:shd w:val="clear" w:color="auto" w:fill="auto"/>
            <w:vAlign w:val="center"/>
          </w:tcPr>
          <w:p w14:paraId="3E298C49" w14:textId="77777777" w:rsidR="00CE695E" w:rsidRPr="0085406C" w:rsidRDefault="00CE695E" w:rsidP="00CE695E">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Kvėpav</w:t>
            </w:r>
            <w:r w:rsidRPr="00F159B6">
              <w:rPr>
                <w:rFonts w:ascii="Times New Roman" w:eastAsia="Times New Roman" w:hAnsi="Times New Roman"/>
                <w:snapToGrid w:val="0"/>
              </w:rPr>
              <w:t>imo sistemos, krūtinės ląstos ir tarpuplaučio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AF7992B" w14:textId="77777777" w:rsidR="00CE695E" w:rsidRPr="004200DB" w:rsidRDefault="00CE695E" w:rsidP="00CE695E">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Dusulys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7BBFFDA" w14:textId="7C536B59" w:rsidR="00CE695E" w:rsidRPr="00037DA8" w:rsidRDefault="00CE695E" w:rsidP="00CE695E">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2534A5A" w14:textId="274A267A" w:rsidR="00CE695E" w:rsidRPr="00037DA8" w:rsidRDefault="00CE695E" w:rsidP="00CE695E">
            <w:pPr>
              <w:tabs>
                <w:tab w:val="left" w:pos="567"/>
              </w:tabs>
              <w:spacing w:after="0" w:line="260" w:lineRule="exact"/>
              <w:rPr>
                <w:rFonts w:ascii="Times New Roman" w:eastAsia="Times New Roman" w:hAnsi="Times New Roman"/>
                <w:snapToGrid w:val="0"/>
              </w:rPr>
            </w:pPr>
            <w:r w:rsidRPr="00F175BE">
              <w:rPr>
                <w:rFonts w:ascii="Times New Roman" w:hAnsi="Times New Roman"/>
              </w:rPr>
              <w:t>97 (8</w:t>
            </w:r>
            <w:r>
              <w:rPr>
                <w:rFonts w:ascii="Times New Roman" w:hAnsi="Times New Roman"/>
              </w:rPr>
              <w:t>,</w:t>
            </w:r>
            <w:r w:rsidRPr="00F175BE">
              <w:rPr>
                <w:rFonts w:ascii="Times New Roman" w:hAnsi="Times New Roman"/>
              </w:rPr>
              <w:t>9)</w:t>
            </w:r>
          </w:p>
        </w:tc>
        <w:tc>
          <w:tcPr>
            <w:tcW w:w="1134" w:type="dxa"/>
            <w:tcBorders>
              <w:top w:val="single" w:sz="4" w:space="0" w:color="000000"/>
              <w:left w:val="single" w:sz="4" w:space="0" w:color="000000"/>
              <w:bottom w:val="single" w:sz="4" w:space="0" w:color="000000"/>
              <w:right w:val="single" w:sz="4" w:space="0" w:color="000000"/>
            </w:tcBorders>
          </w:tcPr>
          <w:p w14:paraId="56ECBDB8" w14:textId="77777777" w:rsidR="00CE695E" w:rsidRPr="00037DA8" w:rsidRDefault="00CE695E" w:rsidP="00CE695E">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5837B6" w14:textId="62B2D495" w:rsidR="00CE695E" w:rsidRPr="00037DA8" w:rsidRDefault="00CE695E" w:rsidP="00CE695E">
            <w:pPr>
              <w:tabs>
                <w:tab w:val="left" w:pos="567"/>
              </w:tabs>
              <w:spacing w:after="0" w:line="260" w:lineRule="exact"/>
              <w:rPr>
                <w:rFonts w:ascii="Times New Roman" w:eastAsia="Times New Roman" w:hAnsi="Times New Roman"/>
                <w:snapToGrid w:val="0"/>
              </w:rPr>
            </w:pPr>
            <w:r w:rsidRPr="00182DF2">
              <w:rPr>
                <w:rFonts w:ascii="Times New Roman" w:eastAsia="Times New Roman" w:hAnsi="Times New Roman"/>
                <w:snapToGrid w:val="0"/>
              </w:rPr>
              <w:t>9 (0,8)</w:t>
            </w:r>
          </w:p>
        </w:tc>
      </w:tr>
      <w:tr w:rsidR="00CE695E" w:rsidRPr="00074768" w14:paraId="5672A97D" w14:textId="77777777" w:rsidTr="00C326D9">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1B0688A5" w14:textId="77777777" w:rsidR="00CE695E" w:rsidRPr="00037DA8" w:rsidRDefault="00CE695E" w:rsidP="00CE695E">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4B4EC0B" w14:textId="77777777" w:rsidR="00CE695E" w:rsidRPr="00037DA8" w:rsidRDefault="00CE695E" w:rsidP="00CE69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Kosulys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BD0547D" w14:textId="0192562A" w:rsidR="00CE695E" w:rsidRPr="00037DA8" w:rsidRDefault="00CE695E" w:rsidP="00CE695E">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4607DD" w14:textId="66002A4D" w:rsidR="00CE695E" w:rsidRPr="00037DA8" w:rsidRDefault="00CE695E" w:rsidP="00CE695E">
            <w:pPr>
              <w:tabs>
                <w:tab w:val="left" w:pos="567"/>
              </w:tabs>
              <w:spacing w:after="0" w:line="260" w:lineRule="exact"/>
              <w:rPr>
                <w:rFonts w:ascii="Times New Roman" w:eastAsia="Times New Roman" w:hAnsi="Times New Roman"/>
                <w:snapToGrid w:val="0"/>
              </w:rPr>
            </w:pPr>
            <w:r w:rsidRPr="00F175BE">
              <w:rPr>
                <w:rFonts w:ascii="Times New Roman" w:hAnsi="Times New Roman"/>
              </w:rPr>
              <w:t>79 (7</w:t>
            </w:r>
            <w:r>
              <w:rPr>
                <w:rFonts w:ascii="Times New Roman" w:hAnsi="Times New Roman"/>
              </w:rPr>
              <w:t>,</w:t>
            </w:r>
            <w:r w:rsidRPr="00F175BE">
              <w:rPr>
                <w:rFonts w:ascii="Times New Roman" w:hAnsi="Times New Roman"/>
              </w:rPr>
              <w:t>2)</w:t>
            </w:r>
          </w:p>
        </w:tc>
        <w:tc>
          <w:tcPr>
            <w:tcW w:w="1134" w:type="dxa"/>
            <w:tcBorders>
              <w:top w:val="single" w:sz="4" w:space="0" w:color="000000"/>
              <w:left w:val="single" w:sz="4" w:space="0" w:color="000000"/>
              <w:bottom w:val="single" w:sz="4" w:space="0" w:color="000000"/>
              <w:right w:val="single" w:sz="4" w:space="0" w:color="000000"/>
            </w:tcBorders>
          </w:tcPr>
          <w:p w14:paraId="41AFFA02" w14:textId="77777777" w:rsidR="00CE695E" w:rsidRPr="00037DA8" w:rsidRDefault="00CE695E" w:rsidP="00CE695E">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A89BEC" w14:textId="0F6724AB" w:rsidR="00CE695E" w:rsidRPr="00037DA8" w:rsidRDefault="00CE695E" w:rsidP="00CE69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CE695E" w:rsidRPr="00074768" w14:paraId="447E6494" w14:textId="77777777" w:rsidTr="00C326D9">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07DD0AD0" w14:textId="77777777" w:rsidR="00CE695E" w:rsidRPr="00037DA8" w:rsidRDefault="00CE695E" w:rsidP="00CE695E">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5F47E57" w14:textId="77777777" w:rsidR="00CE695E" w:rsidRPr="00037DA8" w:rsidRDefault="00CE695E" w:rsidP="00CE69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Burnos ir ryklės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F9FB2F6" w14:textId="2F63A9C9" w:rsidR="00CE695E" w:rsidRPr="00037DA8" w:rsidRDefault="00CE695E" w:rsidP="00CE69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CA15BA9" w14:textId="1D7552D9" w:rsidR="00CE695E" w:rsidRPr="00037DA8" w:rsidRDefault="00CE695E" w:rsidP="00CE695E">
            <w:pPr>
              <w:tabs>
                <w:tab w:val="left" w:pos="567"/>
              </w:tabs>
              <w:spacing w:after="0" w:line="260" w:lineRule="exact"/>
              <w:rPr>
                <w:rFonts w:ascii="Times New Roman" w:eastAsia="Times New Roman" w:hAnsi="Times New Roman"/>
                <w:snapToGrid w:val="0"/>
              </w:rPr>
            </w:pPr>
            <w:r w:rsidRPr="00F175BE">
              <w:rPr>
                <w:rFonts w:ascii="Times New Roman" w:hAnsi="Times New Roman"/>
              </w:rPr>
              <w:t>26 (2</w:t>
            </w:r>
            <w:r>
              <w:rPr>
                <w:rFonts w:ascii="Times New Roman" w:hAnsi="Times New Roman"/>
              </w:rPr>
              <w:t>,</w:t>
            </w:r>
            <w:r w:rsidRPr="00F175BE">
              <w:rPr>
                <w:rFonts w:ascii="Times New Roman" w:hAnsi="Times New Roman"/>
              </w:rPr>
              <w:t>4)</w:t>
            </w:r>
          </w:p>
        </w:tc>
        <w:tc>
          <w:tcPr>
            <w:tcW w:w="1134" w:type="dxa"/>
            <w:tcBorders>
              <w:top w:val="single" w:sz="4" w:space="0" w:color="000000"/>
              <w:left w:val="single" w:sz="4" w:space="0" w:color="000000"/>
              <w:bottom w:val="single" w:sz="4" w:space="0" w:color="000000"/>
              <w:right w:val="single" w:sz="4" w:space="0" w:color="000000"/>
            </w:tcBorders>
          </w:tcPr>
          <w:p w14:paraId="672925C4" w14:textId="77777777" w:rsidR="00CE695E" w:rsidRPr="00037DA8" w:rsidRDefault="00CE695E" w:rsidP="00CE695E">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464980" w14:textId="38F8059B" w:rsidR="00CE695E" w:rsidRPr="00037DA8" w:rsidRDefault="00CE695E" w:rsidP="00CE695E">
            <w:pPr>
              <w:tabs>
                <w:tab w:val="left" w:pos="567"/>
              </w:tabs>
              <w:spacing w:after="0" w:line="260" w:lineRule="exact"/>
              <w:rPr>
                <w:rFonts w:ascii="Times New Roman" w:eastAsia="Times New Roman" w:hAnsi="Times New Roman"/>
                <w:snapToGrid w:val="0"/>
              </w:rPr>
            </w:pPr>
            <w:r w:rsidRPr="00BC5E69">
              <w:rPr>
                <w:rFonts w:ascii="Times New Roman" w:eastAsia="Times New Roman" w:hAnsi="Times New Roman"/>
                <w:snapToGrid w:val="0"/>
              </w:rPr>
              <w:t>1 (&lt;</w:t>
            </w:r>
            <w:r w:rsidR="00721662">
              <w:rPr>
                <w:rFonts w:ascii="Times New Roman" w:eastAsia="Times New Roman" w:hAnsi="Times New Roman"/>
                <w:snapToGrid w:val="0"/>
              </w:rPr>
              <w:t> </w:t>
            </w:r>
            <w:r w:rsidRPr="00BC5E69">
              <w:rPr>
                <w:rFonts w:ascii="Times New Roman" w:eastAsia="Times New Roman" w:hAnsi="Times New Roman"/>
                <w:snapToGrid w:val="0"/>
              </w:rPr>
              <w:t xml:space="preserve">0,1) </w:t>
            </w:r>
          </w:p>
        </w:tc>
      </w:tr>
      <w:tr w:rsidR="00CE695E" w:rsidRPr="00074768" w14:paraId="652031B7" w14:textId="77777777" w:rsidTr="00C326D9">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3FE55AA2" w14:textId="77777777" w:rsidR="00CE695E" w:rsidRPr="00037DA8" w:rsidRDefault="00CE695E" w:rsidP="00CE695E">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CD2BCA9" w14:textId="77777777" w:rsidR="00CE695E" w:rsidRPr="00037DA8" w:rsidRDefault="00CE695E" w:rsidP="00CE69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Pneumonija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B9C87FF" w14:textId="1DFBDCAF" w:rsidR="00CE695E" w:rsidRPr="00037DA8" w:rsidRDefault="00CE695E" w:rsidP="00CE695E">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1A0AFD" w14:textId="624DE317" w:rsidR="00CE695E" w:rsidRPr="00037DA8" w:rsidRDefault="00CE695E" w:rsidP="00CE695E">
            <w:pPr>
              <w:tabs>
                <w:tab w:val="left" w:pos="567"/>
              </w:tabs>
              <w:spacing w:after="0" w:line="260" w:lineRule="exact"/>
              <w:rPr>
                <w:rFonts w:ascii="Times New Roman" w:eastAsia="Times New Roman" w:hAnsi="Times New Roman"/>
                <w:snapToGrid w:val="0"/>
              </w:rPr>
            </w:pPr>
            <w:r w:rsidRPr="00F175BE">
              <w:rPr>
                <w:rFonts w:ascii="Times New Roman" w:hAnsi="Times New Roman"/>
              </w:rPr>
              <w:t>26 (2</w:t>
            </w:r>
            <w:r>
              <w:rPr>
                <w:rFonts w:ascii="Times New Roman" w:hAnsi="Times New Roman"/>
              </w:rPr>
              <w:t>,</w:t>
            </w:r>
            <w:r w:rsidRPr="00F175BE">
              <w:rPr>
                <w:rFonts w:ascii="Times New Roman" w:hAnsi="Times New Roman"/>
              </w:rPr>
              <w:t>4)</w:t>
            </w:r>
          </w:p>
        </w:tc>
        <w:tc>
          <w:tcPr>
            <w:tcW w:w="1134" w:type="dxa"/>
            <w:tcBorders>
              <w:top w:val="single" w:sz="4" w:space="0" w:color="000000"/>
              <w:left w:val="single" w:sz="4" w:space="0" w:color="000000"/>
              <w:bottom w:val="single" w:sz="4" w:space="0" w:color="000000"/>
              <w:right w:val="single" w:sz="4" w:space="0" w:color="000000"/>
            </w:tcBorders>
          </w:tcPr>
          <w:p w14:paraId="38E85B62" w14:textId="77777777" w:rsidR="00CE695E" w:rsidRPr="00037DA8" w:rsidRDefault="00CE695E" w:rsidP="00CE695E">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248573" w14:textId="610DC810" w:rsidR="00CE695E" w:rsidRPr="00037DA8" w:rsidRDefault="00CE695E" w:rsidP="00CE695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16</w:t>
            </w:r>
            <w:r w:rsidRPr="00037DA8">
              <w:rPr>
                <w:rFonts w:ascii="Times New Roman" w:eastAsia="Times New Roman" w:hAnsi="Times New Roman"/>
                <w:snapToGrid w:val="0"/>
              </w:rPr>
              <w:t xml:space="preserve"> (</w:t>
            </w:r>
            <w:r>
              <w:rPr>
                <w:rFonts w:ascii="Times New Roman" w:eastAsia="Times New Roman" w:hAnsi="Times New Roman"/>
                <w:snapToGrid w:val="0"/>
              </w:rPr>
              <w:t>1</w:t>
            </w:r>
            <w:r w:rsidRPr="00037DA8">
              <w:rPr>
                <w:rFonts w:ascii="Times New Roman" w:eastAsia="Times New Roman" w:hAnsi="Times New Roman"/>
                <w:snapToGrid w:val="0"/>
              </w:rPr>
              <w:t>,</w:t>
            </w:r>
            <w:r>
              <w:rPr>
                <w:rFonts w:ascii="Times New Roman" w:eastAsia="Times New Roman" w:hAnsi="Times New Roman"/>
                <w:snapToGrid w:val="0"/>
              </w:rPr>
              <w:t>5</w:t>
            </w:r>
            <w:r w:rsidRPr="00037DA8">
              <w:rPr>
                <w:rFonts w:ascii="Times New Roman" w:eastAsia="Times New Roman" w:hAnsi="Times New Roman"/>
                <w:snapToGrid w:val="0"/>
              </w:rPr>
              <w:t>)</w:t>
            </w:r>
          </w:p>
        </w:tc>
      </w:tr>
      <w:tr w:rsidR="00CE695E" w:rsidRPr="00074768" w14:paraId="1437FAF7" w14:textId="77777777" w:rsidTr="00C326D9">
        <w:tblPrEx>
          <w:tblCellMar>
            <w:right w:w="17" w:type="dxa"/>
          </w:tblCellMar>
        </w:tblPrEx>
        <w:trPr>
          <w:trHeight w:val="271"/>
        </w:trPr>
        <w:tc>
          <w:tcPr>
            <w:tcW w:w="0" w:type="auto"/>
            <w:vMerge/>
            <w:tcBorders>
              <w:left w:val="single" w:sz="4" w:space="0" w:color="000000"/>
              <w:bottom w:val="single" w:sz="4" w:space="0" w:color="000000"/>
              <w:right w:val="single" w:sz="4" w:space="0" w:color="000000"/>
            </w:tcBorders>
            <w:shd w:val="clear" w:color="auto" w:fill="auto"/>
          </w:tcPr>
          <w:p w14:paraId="5C0385C6" w14:textId="77777777" w:rsidR="00CE695E" w:rsidRPr="00037DA8" w:rsidRDefault="00CE695E" w:rsidP="00CE695E">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E2FDD84" w14:textId="528D4203" w:rsidR="00CE695E" w:rsidRPr="00037DA8" w:rsidRDefault="00CE695E" w:rsidP="00CE695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Plaučių embolija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D51C999" w14:textId="5894BB9A" w:rsidR="00CE695E" w:rsidRPr="00037DA8" w:rsidRDefault="00CE695E" w:rsidP="00CE695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5AFD8B6" w14:textId="5CEDDC1C" w:rsidR="00CE695E" w:rsidRPr="00037DA8" w:rsidRDefault="00CE695E" w:rsidP="00CE695E">
            <w:pPr>
              <w:tabs>
                <w:tab w:val="left" w:pos="567"/>
              </w:tabs>
              <w:spacing w:after="0" w:line="260" w:lineRule="exact"/>
              <w:rPr>
                <w:rFonts w:ascii="Times New Roman" w:eastAsia="Times New Roman" w:hAnsi="Times New Roman"/>
                <w:snapToGrid w:val="0"/>
              </w:rPr>
            </w:pPr>
            <w:r w:rsidRPr="00F175BE">
              <w:rPr>
                <w:rFonts w:ascii="Times New Roman" w:hAnsi="Times New Roman"/>
              </w:rPr>
              <w:t>30 (2</w:t>
            </w:r>
            <w:r>
              <w:rPr>
                <w:rFonts w:ascii="Times New Roman" w:hAnsi="Times New Roman"/>
              </w:rPr>
              <w:t>,</w:t>
            </w:r>
            <w:r w:rsidRPr="00F175BE">
              <w:rPr>
                <w:rFonts w:ascii="Times New Roman" w:hAnsi="Times New Roman"/>
              </w:rPr>
              <w:t>7)</w:t>
            </w:r>
          </w:p>
        </w:tc>
        <w:tc>
          <w:tcPr>
            <w:tcW w:w="1134" w:type="dxa"/>
            <w:tcBorders>
              <w:top w:val="single" w:sz="4" w:space="0" w:color="000000"/>
              <w:left w:val="single" w:sz="4" w:space="0" w:color="000000"/>
              <w:bottom w:val="single" w:sz="4" w:space="0" w:color="000000"/>
              <w:right w:val="single" w:sz="4" w:space="0" w:color="000000"/>
            </w:tcBorders>
          </w:tcPr>
          <w:p w14:paraId="661987B2" w14:textId="77777777" w:rsidR="00CE695E" w:rsidRPr="00037DA8" w:rsidRDefault="00CE695E" w:rsidP="00CE695E">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C779FBC" w14:textId="2C21FDDB" w:rsidR="00CE695E" w:rsidRPr="00037DA8" w:rsidRDefault="00CE695E" w:rsidP="00CE695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23</w:t>
            </w:r>
            <w:r w:rsidRPr="005475E1">
              <w:rPr>
                <w:rFonts w:ascii="Times New Roman" w:eastAsia="Times New Roman" w:hAnsi="Times New Roman"/>
                <w:snapToGrid w:val="0"/>
              </w:rPr>
              <w:t xml:space="preserve"> (</w:t>
            </w:r>
            <w:r>
              <w:rPr>
                <w:rFonts w:ascii="Times New Roman" w:eastAsia="Times New Roman" w:hAnsi="Times New Roman"/>
                <w:snapToGrid w:val="0"/>
              </w:rPr>
              <w:t>2</w:t>
            </w:r>
            <w:r w:rsidRPr="005475E1">
              <w:rPr>
                <w:rFonts w:ascii="Times New Roman" w:eastAsia="Times New Roman" w:hAnsi="Times New Roman"/>
                <w:snapToGrid w:val="0"/>
              </w:rPr>
              <w:t>,</w:t>
            </w:r>
            <w:r>
              <w:rPr>
                <w:rFonts w:ascii="Times New Roman" w:eastAsia="Times New Roman" w:hAnsi="Times New Roman"/>
                <w:snapToGrid w:val="0"/>
              </w:rPr>
              <w:t>1</w:t>
            </w:r>
            <w:r w:rsidRPr="005475E1">
              <w:rPr>
                <w:rFonts w:ascii="Times New Roman" w:eastAsia="Times New Roman" w:hAnsi="Times New Roman"/>
                <w:snapToGrid w:val="0"/>
              </w:rPr>
              <w:t>)</w:t>
            </w:r>
            <w:r w:rsidRPr="00037DA8">
              <w:rPr>
                <w:rFonts w:ascii="Times New Roman" w:eastAsia="Times New Roman" w:hAnsi="Times New Roman"/>
                <w:snapToGrid w:val="0"/>
              </w:rPr>
              <w:t xml:space="preserve"> </w:t>
            </w:r>
          </w:p>
        </w:tc>
      </w:tr>
      <w:tr w:rsidR="00992524" w:rsidRPr="00074768" w14:paraId="283980A1" w14:textId="77777777" w:rsidTr="00C326D9">
        <w:tblPrEx>
          <w:tblCellMar>
            <w:right w:w="17" w:type="dxa"/>
          </w:tblCellMar>
        </w:tblPrEx>
        <w:trPr>
          <w:trHeight w:val="269"/>
        </w:trPr>
        <w:tc>
          <w:tcPr>
            <w:tcW w:w="2159" w:type="dxa"/>
            <w:vMerge w:val="restart"/>
            <w:tcBorders>
              <w:top w:val="single" w:sz="4" w:space="0" w:color="000000"/>
              <w:left w:val="single" w:sz="4" w:space="0" w:color="000000"/>
              <w:right w:val="single" w:sz="4" w:space="0" w:color="000000"/>
            </w:tcBorders>
            <w:shd w:val="clear" w:color="auto" w:fill="auto"/>
            <w:vAlign w:val="center"/>
          </w:tcPr>
          <w:p w14:paraId="1F202860" w14:textId="77777777" w:rsidR="00992524" w:rsidRPr="0085406C" w:rsidRDefault="00992524" w:rsidP="0083509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Virškinimo trakto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FB9BE1F" w14:textId="77777777" w:rsidR="00992524" w:rsidRPr="004200DB" w:rsidRDefault="00992524" w:rsidP="00835094">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Viduriavimas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3BF7D89" w14:textId="4EED9C06" w:rsidR="00992524" w:rsidRPr="00037DA8" w:rsidRDefault="00992524" w:rsidP="00835094">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460</w:t>
            </w:r>
            <w:r w:rsidRPr="004200DB">
              <w:rPr>
                <w:rFonts w:ascii="Times New Roman" w:eastAsia="Times New Roman" w:hAnsi="Times New Roman"/>
                <w:snapToGrid w:val="0"/>
              </w:rPr>
              <w:t xml:space="preserve"> (4</w:t>
            </w:r>
            <w:r>
              <w:rPr>
                <w:rFonts w:ascii="Times New Roman" w:eastAsia="Times New Roman" w:hAnsi="Times New Roman"/>
                <w:snapToGrid w:val="0"/>
              </w:rPr>
              <w:t>2</w:t>
            </w:r>
            <w:r w:rsidRPr="00037DA8">
              <w:rPr>
                <w:rFonts w:ascii="Times New Roman" w:eastAsia="Times New Roman" w:hAnsi="Times New Roman"/>
                <w:snapToGrid w:val="0"/>
              </w:rPr>
              <w:t>,</w:t>
            </w:r>
            <w:r>
              <w:rPr>
                <w:rFonts w:ascii="Times New Roman" w:eastAsia="Times New Roman" w:hAnsi="Times New Roman"/>
                <w:snapToGrid w:val="0"/>
              </w:rPr>
              <w:t>1</w:t>
            </w: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43FB52D" w14:textId="0C8778C3"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157092DC"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167954" w14:textId="44307781"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51 (4</w:t>
            </w:r>
            <w:r>
              <w:rPr>
                <w:rFonts w:ascii="Times New Roman" w:hAnsi="Times New Roman"/>
              </w:rPr>
              <w:t>,</w:t>
            </w:r>
            <w:r w:rsidRPr="00F175BE">
              <w:rPr>
                <w:rFonts w:ascii="Times New Roman" w:hAnsi="Times New Roman"/>
              </w:rPr>
              <w:t>7)</w:t>
            </w:r>
          </w:p>
        </w:tc>
      </w:tr>
      <w:tr w:rsidR="00992524" w:rsidRPr="00074768" w14:paraId="203CC327" w14:textId="77777777" w:rsidTr="00C326D9">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410876BB"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CBFC064" w14:textId="77777777"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Pykinimas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344C213" w14:textId="12655F37"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347 (31</w:t>
            </w:r>
            <w:r>
              <w:rPr>
                <w:rFonts w:ascii="Times New Roman" w:hAnsi="Times New Roman"/>
              </w:rPr>
              <w:t>,</w:t>
            </w:r>
            <w:r w:rsidRPr="00F175BE">
              <w:rPr>
                <w:rFonts w:ascii="Times New Roman" w:hAnsi="Times New Roman"/>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D63595" w14:textId="5602822B"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08B713D5"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7D27770" w14:textId="39488683"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14 (1</w:t>
            </w:r>
            <w:r>
              <w:rPr>
                <w:rFonts w:ascii="Times New Roman" w:hAnsi="Times New Roman"/>
              </w:rPr>
              <w:t>,</w:t>
            </w:r>
            <w:r w:rsidRPr="00F175BE">
              <w:rPr>
                <w:rFonts w:ascii="Times New Roman" w:hAnsi="Times New Roman"/>
              </w:rPr>
              <w:t>3)</w:t>
            </w:r>
          </w:p>
        </w:tc>
      </w:tr>
      <w:tr w:rsidR="00992524" w:rsidRPr="00074768" w14:paraId="345D2436" w14:textId="77777777" w:rsidTr="00C326D9">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5617833D"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F128D5B" w14:textId="77777777"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Vėmimas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5C5BFDC" w14:textId="2E5D0FBB"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207 (19</w:t>
            </w:r>
            <w:r>
              <w:rPr>
                <w:rFonts w:ascii="Times New Roman" w:hAnsi="Times New Roman"/>
              </w:rPr>
              <w:t>,</w:t>
            </w:r>
            <w:r w:rsidRPr="00F175BE">
              <w:rPr>
                <w:rFonts w:ascii="Times New Roman" w:hAnsi="Times New Roman"/>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E5E5906" w14:textId="43313EFE"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7B0D878C"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8A2FEB" w14:textId="534A69BE"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14 (1</w:t>
            </w:r>
            <w:r>
              <w:rPr>
                <w:rFonts w:ascii="Times New Roman" w:hAnsi="Times New Roman"/>
              </w:rPr>
              <w:t>,</w:t>
            </w:r>
            <w:r w:rsidRPr="00F175BE">
              <w:rPr>
                <w:rFonts w:ascii="Times New Roman" w:hAnsi="Times New Roman"/>
              </w:rPr>
              <w:t>3)</w:t>
            </w:r>
          </w:p>
        </w:tc>
      </w:tr>
      <w:tr w:rsidR="00992524" w:rsidRPr="00074768" w14:paraId="51B1CD39" w14:textId="77777777" w:rsidTr="00C326D9">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7442FD49"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8FBD946" w14:textId="77777777"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Vidurių užkietėjimas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0CB20BC" w14:textId="68C78533"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202 (18</w:t>
            </w:r>
            <w:r>
              <w:rPr>
                <w:rFonts w:ascii="Times New Roman" w:hAnsi="Times New Roman"/>
              </w:rPr>
              <w:t>,</w:t>
            </w:r>
            <w:r w:rsidRPr="00F175BE">
              <w:rPr>
                <w:rFonts w:ascii="Times New Roman" w:hAnsi="Times New Roman"/>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B378A8" w14:textId="494DD3F0"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6057B534"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288CE3" w14:textId="49C872EE"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8 (0</w:t>
            </w:r>
            <w:r>
              <w:rPr>
                <w:rFonts w:ascii="Times New Roman" w:hAnsi="Times New Roman"/>
              </w:rPr>
              <w:t>,</w:t>
            </w:r>
            <w:r w:rsidRPr="00F175BE">
              <w:rPr>
                <w:rFonts w:ascii="Times New Roman" w:hAnsi="Times New Roman"/>
              </w:rPr>
              <w:t>7)</w:t>
            </w:r>
          </w:p>
        </w:tc>
      </w:tr>
      <w:tr w:rsidR="00992524" w:rsidRPr="00074768" w14:paraId="7884AC34" w14:textId="77777777" w:rsidTr="00C326D9">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2D1AE364"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B924B71" w14:textId="15C1A763"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Pilvo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6651F45" w14:textId="29EDFF03"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06D5F39" w14:textId="2A5CD4CE"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105 (9</w:t>
            </w:r>
            <w:r>
              <w:rPr>
                <w:rFonts w:ascii="Times New Roman" w:hAnsi="Times New Roman"/>
              </w:rPr>
              <w:t>,</w:t>
            </w:r>
            <w:r w:rsidRPr="00F175BE">
              <w:rPr>
                <w:rFonts w:ascii="Times New Roman" w:hAnsi="Times New Roman"/>
              </w:rPr>
              <w:t>6)</w:t>
            </w:r>
          </w:p>
        </w:tc>
        <w:tc>
          <w:tcPr>
            <w:tcW w:w="1134" w:type="dxa"/>
            <w:tcBorders>
              <w:top w:val="single" w:sz="4" w:space="0" w:color="000000"/>
              <w:left w:val="single" w:sz="4" w:space="0" w:color="000000"/>
              <w:bottom w:val="single" w:sz="4" w:space="0" w:color="000000"/>
              <w:right w:val="single" w:sz="4" w:space="0" w:color="000000"/>
            </w:tcBorders>
          </w:tcPr>
          <w:p w14:paraId="4349BA8F"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EEB00A5" w14:textId="465CBDF3"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15 (1</w:t>
            </w:r>
            <w:r>
              <w:rPr>
                <w:rFonts w:ascii="Times New Roman" w:hAnsi="Times New Roman"/>
              </w:rPr>
              <w:t>,</w:t>
            </w:r>
            <w:r w:rsidRPr="00F175BE">
              <w:rPr>
                <w:rFonts w:ascii="Times New Roman" w:hAnsi="Times New Roman"/>
              </w:rPr>
              <w:t>4)</w:t>
            </w:r>
          </w:p>
        </w:tc>
      </w:tr>
      <w:tr w:rsidR="00992524" w:rsidRPr="00074768" w14:paraId="68B97CE9" w14:textId="77777777" w:rsidTr="00C326D9">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14CF472C"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EEA1542" w14:textId="77777777"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Dispepsija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53E809C" w14:textId="6EEFE852"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9D8AF6B" w14:textId="04B071DA"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53 (4</w:t>
            </w:r>
            <w:r>
              <w:rPr>
                <w:rFonts w:ascii="Times New Roman" w:hAnsi="Times New Roman"/>
              </w:rPr>
              <w:t>,</w:t>
            </w:r>
            <w:r w:rsidRPr="00F175BE">
              <w:rPr>
                <w:rFonts w:ascii="Times New Roman" w:hAnsi="Times New Roman"/>
              </w:rPr>
              <w:t>9)</w:t>
            </w:r>
          </w:p>
        </w:tc>
        <w:tc>
          <w:tcPr>
            <w:tcW w:w="1134" w:type="dxa"/>
            <w:tcBorders>
              <w:top w:val="single" w:sz="4" w:space="0" w:color="000000"/>
              <w:left w:val="single" w:sz="4" w:space="0" w:color="000000"/>
              <w:bottom w:val="single" w:sz="4" w:space="0" w:color="000000"/>
              <w:right w:val="single" w:sz="4" w:space="0" w:color="000000"/>
            </w:tcBorders>
          </w:tcPr>
          <w:p w14:paraId="2702EC70"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CE9867" w14:textId="0161D17C"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992524" w:rsidRPr="00074768" w14:paraId="617DF847" w14:textId="77777777" w:rsidTr="00C326D9">
        <w:tblPrEx>
          <w:tblCellMar>
            <w:right w:w="17" w:type="dxa"/>
          </w:tblCellMar>
        </w:tblPrEx>
        <w:trPr>
          <w:trHeight w:val="530"/>
        </w:trPr>
        <w:tc>
          <w:tcPr>
            <w:tcW w:w="0" w:type="auto"/>
            <w:vMerge/>
            <w:tcBorders>
              <w:left w:val="single" w:sz="4" w:space="0" w:color="000000"/>
              <w:right w:val="single" w:sz="4" w:space="0" w:color="000000"/>
            </w:tcBorders>
            <w:shd w:val="clear" w:color="auto" w:fill="auto"/>
          </w:tcPr>
          <w:p w14:paraId="2EF9DA27"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232C609" w14:textId="77777777"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Viršutinės pilvo</w:t>
            </w:r>
          </w:p>
          <w:p w14:paraId="30E42621" w14:textId="77777777"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dalies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B97982E" w14:textId="000C6695"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B5EE88" w14:textId="76C7FFF3"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46 (4</w:t>
            </w:r>
            <w:r>
              <w:rPr>
                <w:rFonts w:ascii="Times New Roman" w:hAnsi="Times New Roman"/>
              </w:rPr>
              <w:t>,</w:t>
            </w:r>
            <w:r w:rsidRPr="00F175BE">
              <w:rPr>
                <w:rFonts w:ascii="Times New Roman" w:hAnsi="Times New Roman"/>
              </w:rPr>
              <w:t>2)</w:t>
            </w:r>
          </w:p>
        </w:tc>
        <w:tc>
          <w:tcPr>
            <w:tcW w:w="1134" w:type="dxa"/>
            <w:tcBorders>
              <w:top w:val="single" w:sz="4" w:space="0" w:color="000000"/>
              <w:left w:val="single" w:sz="4" w:space="0" w:color="000000"/>
              <w:bottom w:val="single" w:sz="4" w:space="0" w:color="000000"/>
              <w:right w:val="single" w:sz="4" w:space="0" w:color="000000"/>
            </w:tcBorders>
          </w:tcPr>
          <w:p w14:paraId="097200D0"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8CBEBB" w14:textId="71B2F25B"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1 (&lt;</w:t>
            </w:r>
            <w:r>
              <w:rPr>
                <w:rFonts w:ascii="Times New Roman" w:hAnsi="Times New Roman"/>
              </w:rPr>
              <w:t> </w:t>
            </w:r>
            <w:r w:rsidRPr="00F175BE">
              <w:rPr>
                <w:rFonts w:ascii="Times New Roman" w:hAnsi="Times New Roman"/>
              </w:rPr>
              <w:t>0</w:t>
            </w:r>
            <w:r>
              <w:rPr>
                <w:rFonts w:ascii="Times New Roman" w:hAnsi="Times New Roman"/>
              </w:rPr>
              <w:t>,</w:t>
            </w:r>
            <w:r w:rsidRPr="00F175BE">
              <w:rPr>
                <w:rFonts w:ascii="Times New Roman" w:hAnsi="Times New Roman"/>
              </w:rPr>
              <w:t>1)</w:t>
            </w:r>
          </w:p>
        </w:tc>
      </w:tr>
      <w:tr w:rsidR="00992524" w:rsidRPr="00074768" w14:paraId="757F449E" w14:textId="77777777" w:rsidTr="00C326D9">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38AAAECF"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7010E13" w14:textId="77777777"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Hemorojus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E859E55" w14:textId="790875E1"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17FBE4" w14:textId="549F3D6F"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22 (2</w:t>
            </w:r>
            <w:r>
              <w:rPr>
                <w:rFonts w:ascii="Times New Roman" w:hAnsi="Times New Roman"/>
              </w:rPr>
              <w:t>,</w:t>
            </w:r>
            <w:r w:rsidRPr="00F175BE">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143B0FD4"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E2751F0" w14:textId="7C025197"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992524" w:rsidRPr="00074768" w14:paraId="7371EECB" w14:textId="77777777" w:rsidTr="00C326D9">
        <w:tblPrEx>
          <w:tblCellMar>
            <w:right w:w="17" w:type="dxa"/>
          </w:tblCellMar>
        </w:tblPrEx>
        <w:trPr>
          <w:trHeight w:val="530"/>
        </w:trPr>
        <w:tc>
          <w:tcPr>
            <w:tcW w:w="0" w:type="auto"/>
            <w:vMerge/>
            <w:tcBorders>
              <w:left w:val="single" w:sz="4" w:space="0" w:color="000000"/>
              <w:right w:val="single" w:sz="4" w:space="0" w:color="000000"/>
            </w:tcBorders>
            <w:shd w:val="clear" w:color="auto" w:fill="auto"/>
          </w:tcPr>
          <w:p w14:paraId="2E7858E9"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9F7B1B1"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Gastroezofaginio</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refliukso</w:t>
            </w:r>
            <w:proofErr w:type="spellEnd"/>
            <w:r w:rsidRPr="00037DA8">
              <w:rPr>
                <w:rFonts w:ascii="Times New Roman" w:eastAsia="Times New Roman" w:hAnsi="Times New Roman"/>
                <w:snapToGrid w:val="0"/>
              </w:rPr>
              <w:t xml:space="preserve"> liga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E68C558" w14:textId="7C04BF89"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46785FA" w14:textId="5D34E068"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26 (2</w:t>
            </w:r>
            <w:r>
              <w:rPr>
                <w:rFonts w:ascii="Times New Roman" w:hAnsi="Times New Roman"/>
              </w:rPr>
              <w:t>,</w:t>
            </w:r>
            <w:r w:rsidRPr="00F175BE">
              <w:rPr>
                <w:rFonts w:ascii="Times New Roman" w:hAnsi="Times New Roman"/>
              </w:rPr>
              <w:t>4)</w:t>
            </w:r>
          </w:p>
        </w:tc>
        <w:tc>
          <w:tcPr>
            <w:tcW w:w="1134" w:type="dxa"/>
            <w:tcBorders>
              <w:top w:val="single" w:sz="4" w:space="0" w:color="000000"/>
              <w:left w:val="single" w:sz="4" w:space="0" w:color="000000"/>
              <w:bottom w:val="single" w:sz="4" w:space="0" w:color="000000"/>
              <w:right w:val="single" w:sz="4" w:space="0" w:color="000000"/>
            </w:tcBorders>
          </w:tcPr>
          <w:p w14:paraId="18006DA7"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8BACD2" w14:textId="5091D683"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1 (&lt;</w:t>
            </w:r>
            <w:r>
              <w:rPr>
                <w:rFonts w:ascii="Times New Roman" w:hAnsi="Times New Roman"/>
              </w:rPr>
              <w:t> </w:t>
            </w:r>
            <w:r w:rsidRPr="00F175BE">
              <w:rPr>
                <w:rFonts w:ascii="Times New Roman" w:hAnsi="Times New Roman"/>
              </w:rPr>
              <w:t>0</w:t>
            </w:r>
            <w:r>
              <w:rPr>
                <w:rFonts w:ascii="Times New Roman" w:hAnsi="Times New Roman"/>
              </w:rPr>
              <w:t>,</w:t>
            </w:r>
            <w:r w:rsidRPr="00F175BE">
              <w:rPr>
                <w:rFonts w:ascii="Times New Roman" w:hAnsi="Times New Roman"/>
              </w:rPr>
              <w:t>1)</w:t>
            </w:r>
          </w:p>
        </w:tc>
      </w:tr>
      <w:tr w:rsidR="00992524" w:rsidRPr="00074768" w14:paraId="3E406708" w14:textId="77777777" w:rsidTr="00C326D9">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74E2E159"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EEBFA0F" w14:textId="77777777"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Tiesiosios žarnos kraujavimas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DE4EC7C" w14:textId="05DF4C8A"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51457C" w14:textId="628801A7"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14 (1</w:t>
            </w:r>
            <w:r>
              <w:rPr>
                <w:rFonts w:ascii="Times New Roman" w:hAnsi="Times New Roman"/>
              </w:rPr>
              <w:t>,</w:t>
            </w:r>
            <w:r w:rsidRPr="00F175BE">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tcPr>
          <w:p w14:paraId="7E15D39D"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E38A61" w14:textId="16B4545D"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4 (0</w:t>
            </w:r>
            <w:r>
              <w:rPr>
                <w:rFonts w:ascii="Times New Roman" w:hAnsi="Times New Roman"/>
              </w:rPr>
              <w:t>,</w:t>
            </w:r>
            <w:r w:rsidRPr="00F175BE">
              <w:rPr>
                <w:rFonts w:ascii="Times New Roman" w:hAnsi="Times New Roman"/>
              </w:rPr>
              <w:t>4)</w:t>
            </w:r>
          </w:p>
        </w:tc>
      </w:tr>
      <w:tr w:rsidR="00992524" w:rsidRPr="00074768" w14:paraId="74234942" w14:textId="77777777" w:rsidTr="00C326D9">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47BD75CC"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A5CEF6C" w14:textId="77777777"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Burnos džiūvimas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A59D3AE" w14:textId="1F152E75"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1AA510" w14:textId="0AA3FA9A"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19 (1</w:t>
            </w:r>
            <w:r>
              <w:rPr>
                <w:rFonts w:ascii="Times New Roman" w:hAnsi="Times New Roman"/>
              </w:rPr>
              <w:t>,</w:t>
            </w:r>
            <w:r w:rsidRPr="00F175BE">
              <w:rPr>
                <w:rFonts w:ascii="Times New Roman" w:hAnsi="Times New Roman"/>
              </w:rPr>
              <w:t>7)</w:t>
            </w:r>
          </w:p>
        </w:tc>
        <w:tc>
          <w:tcPr>
            <w:tcW w:w="1134" w:type="dxa"/>
            <w:tcBorders>
              <w:top w:val="single" w:sz="4" w:space="0" w:color="000000"/>
              <w:left w:val="single" w:sz="4" w:space="0" w:color="000000"/>
              <w:bottom w:val="single" w:sz="4" w:space="0" w:color="000000"/>
              <w:right w:val="single" w:sz="4" w:space="0" w:color="000000"/>
            </w:tcBorders>
          </w:tcPr>
          <w:p w14:paraId="1BBC5208"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3B0B0B" w14:textId="4FD18CFB"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2 (0</w:t>
            </w:r>
            <w:r>
              <w:rPr>
                <w:rFonts w:ascii="Times New Roman" w:hAnsi="Times New Roman"/>
              </w:rPr>
              <w:t>,</w:t>
            </w:r>
            <w:r w:rsidRPr="00F175BE">
              <w:rPr>
                <w:rFonts w:ascii="Times New Roman" w:hAnsi="Times New Roman"/>
              </w:rPr>
              <w:t>2)</w:t>
            </w:r>
          </w:p>
        </w:tc>
      </w:tr>
      <w:tr w:rsidR="00992524" w:rsidRPr="00074768" w14:paraId="03D3FAED" w14:textId="77777777" w:rsidTr="00C326D9">
        <w:tblPrEx>
          <w:tblCellMar>
            <w:right w:w="17" w:type="dxa"/>
          </w:tblCellMar>
        </w:tblPrEx>
        <w:trPr>
          <w:trHeight w:val="530"/>
        </w:trPr>
        <w:tc>
          <w:tcPr>
            <w:tcW w:w="0" w:type="auto"/>
            <w:vMerge/>
            <w:tcBorders>
              <w:left w:val="single" w:sz="4" w:space="0" w:color="000000"/>
              <w:right w:val="single" w:sz="4" w:space="0" w:color="000000"/>
            </w:tcBorders>
            <w:shd w:val="clear" w:color="auto" w:fill="auto"/>
          </w:tcPr>
          <w:p w14:paraId="08BE65E3"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B576F8A" w14:textId="4474F360" w:rsidR="00992524" w:rsidRPr="00037DA8" w:rsidRDefault="00992524" w:rsidP="0083509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Pilvo pūtimas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45EABD8" w14:textId="351A6B60"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EF3457A" w14:textId="519614D2"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14 (1</w:t>
            </w:r>
            <w:r>
              <w:rPr>
                <w:rFonts w:ascii="Times New Roman" w:hAnsi="Times New Roman"/>
              </w:rPr>
              <w:t>,</w:t>
            </w:r>
            <w:r w:rsidRPr="00F175BE">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tcPr>
          <w:p w14:paraId="0F147F3C" w14:textId="77777777" w:rsidR="00992524" w:rsidRPr="00037DA8" w:rsidRDefault="00992524" w:rsidP="00835094">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BD2227" w14:textId="05A9990E" w:rsidR="00992524" w:rsidRPr="00037DA8" w:rsidRDefault="00992524" w:rsidP="00835094">
            <w:pPr>
              <w:tabs>
                <w:tab w:val="left" w:pos="567"/>
              </w:tabs>
              <w:spacing w:after="0" w:line="260" w:lineRule="exact"/>
              <w:rPr>
                <w:rFonts w:ascii="Times New Roman" w:eastAsia="Times New Roman" w:hAnsi="Times New Roman"/>
                <w:snapToGrid w:val="0"/>
              </w:rPr>
            </w:pPr>
            <w:r w:rsidRPr="00F175BE">
              <w:rPr>
                <w:rFonts w:ascii="Times New Roman" w:hAnsi="Times New Roman"/>
              </w:rPr>
              <w:t>1 (&lt;</w:t>
            </w:r>
            <w:r>
              <w:rPr>
                <w:rFonts w:ascii="Times New Roman" w:hAnsi="Times New Roman"/>
              </w:rPr>
              <w:t> </w:t>
            </w:r>
            <w:r w:rsidRPr="00F175BE">
              <w:rPr>
                <w:rFonts w:ascii="Times New Roman" w:hAnsi="Times New Roman"/>
              </w:rPr>
              <w:t>0</w:t>
            </w:r>
            <w:r>
              <w:rPr>
                <w:rFonts w:ascii="Times New Roman" w:hAnsi="Times New Roman"/>
              </w:rPr>
              <w:t>,</w:t>
            </w:r>
            <w:r w:rsidRPr="00F175BE">
              <w:rPr>
                <w:rFonts w:ascii="Times New Roman" w:hAnsi="Times New Roman"/>
              </w:rPr>
              <w:t>1)</w:t>
            </w:r>
          </w:p>
        </w:tc>
      </w:tr>
      <w:tr w:rsidR="00992524" w:rsidRPr="00074768" w14:paraId="1417B497" w14:textId="77777777" w:rsidTr="002A1FAB">
        <w:tblPrEx>
          <w:tblCellMar>
            <w:right w:w="17" w:type="dxa"/>
          </w:tblCellMar>
        </w:tblPrEx>
        <w:trPr>
          <w:trHeight w:val="195"/>
        </w:trPr>
        <w:tc>
          <w:tcPr>
            <w:tcW w:w="2159" w:type="dxa"/>
            <w:vMerge/>
            <w:tcBorders>
              <w:left w:val="single" w:sz="4" w:space="0" w:color="000000"/>
              <w:right w:val="single" w:sz="4" w:space="0" w:color="000000"/>
            </w:tcBorders>
            <w:shd w:val="clear" w:color="auto" w:fill="auto"/>
            <w:vAlign w:val="center"/>
          </w:tcPr>
          <w:p w14:paraId="64625FDF" w14:textId="77777777" w:rsidR="00992524" w:rsidRPr="0007476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auto"/>
              <w:right w:val="single" w:sz="4" w:space="0" w:color="000000"/>
            </w:tcBorders>
            <w:shd w:val="clear" w:color="auto" w:fill="auto"/>
          </w:tcPr>
          <w:p w14:paraId="2D04CC0C" w14:textId="68638CED" w:rsidR="00992524" w:rsidRPr="0030370E" w:rsidRDefault="00992524" w:rsidP="00835094">
            <w:pPr>
              <w:tabs>
                <w:tab w:val="left" w:pos="567"/>
              </w:tabs>
              <w:spacing w:after="0" w:line="260" w:lineRule="exact"/>
              <w:rPr>
                <w:rFonts w:ascii="Times New Roman" w:eastAsia="Times New Roman" w:hAnsi="Times New Roman"/>
                <w:snapToGrid w:val="0"/>
              </w:rPr>
            </w:pPr>
            <w:r w:rsidRPr="0030370E">
              <w:rPr>
                <w:rFonts w:ascii="Times New Roman" w:eastAsia="Times New Roman" w:hAnsi="Times New Roman"/>
                <w:snapToGrid w:val="0"/>
              </w:rPr>
              <w:t>Stomatitas</w:t>
            </w:r>
          </w:p>
        </w:tc>
        <w:tc>
          <w:tcPr>
            <w:tcW w:w="1455" w:type="dxa"/>
            <w:tcBorders>
              <w:top w:val="single" w:sz="4" w:space="0" w:color="000000"/>
              <w:left w:val="single" w:sz="4" w:space="0" w:color="000000"/>
              <w:bottom w:val="single" w:sz="4" w:space="0" w:color="auto"/>
              <w:right w:val="single" w:sz="4" w:space="0" w:color="000000"/>
            </w:tcBorders>
            <w:shd w:val="clear" w:color="auto" w:fill="auto"/>
          </w:tcPr>
          <w:p w14:paraId="2C14C0A0" w14:textId="1C798E82" w:rsidR="00992524" w:rsidRPr="0030370E" w:rsidRDefault="00992524" w:rsidP="00835094">
            <w:pPr>
              <w:tabs>
                <w:tab w:val="left" w:pos="567"/>
              </w:tabs>
              <w:spacing w:after="0" w:line="260" w:lineRule="exact"/>
              <w:rPr>
                <w:rFonts w:ascii="Times New Roman" w:eastAsia="Times New Roman" w:hAnsi="Times New Roman"/>
                <w:snapToGrid w:val="0"/>
              </w:rPr>
            </w:pPr>
            <w:r w:rsidRPr="0030370E">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14:paraId="332E92EB" w14:textId="7E5CE046" w:rsidR="00992524" w:rsidRPr="0030370E" w:rsidRDefault="00992524" w:rsidP="00835094">
            <w:pPr>
              <w:tabs>
                <w:tab w:val="left" w:pos="567"/>
              </w:tabs>
              <w:spacing w:after="0" w:line="260" w:lineRule="exact"/>
              <w:rPr>
                <w:rFonts w:ascii="Times New Roman" w:eastAsia="Times New Roman" w:hAnsi="Times New Roman"/>
                <w:snapToGrid w:val="0"/>
              </w:rPr>
            </w:pPr>
            <w:r w:rsidRPr="0030370E">
              <w:rPr>
                <w:rFonts w:ascii="Times New Roman" w:hAnsi="Times New Roman"/>
              </w:rPr>
              <w:t>46 (4,2)</w:t>
            </w:r>
          </w:p>
        </w:tc>
        <w:tc>
          <w:tcPr>
            <w:tcW w:w="1134" w:type="dxa"/>
            <w:tcBorders>
              <w:top w:val="single" w:sz="4" w:space="0" w:color="000000"/>
              <w:left w:val="single" w:sz="4" w:space="0" w:color="000000"/>
              <w:bottom w:val="single" w:sz="4" w:space="0" w:color="auto"/>
              <w:right w:val="single" w:sz="4" w:space="0" w:color="000000"/>
            </w:tcBorders>
          </w:tcPr>
          <w:p w14:paraId="1CC6FE37" w14:textId="6F94B5EC" w:rsidR="00992524" w:rsidRPr="0030370E" w:rsidRDefault="00992524" w:rsidP="00835094">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19134A57" w14:textId="46B3151A" w:rsidR="00992524" w:rsidRPr="0030370E" w:rsidRDefault="00992524" w:rsidP="00835094">
            <w:pPr>
              <w:tabs>
                <w:tab w:val="left" w:pos="567"/>
              </w:tabs>
              <w:spacing w:after="0" w:line="260" w:lineRule="exact"/>
              <w:rPr>
                <w:rFonts w:ascii="Times New Roman" w:eastAsia="Times New Roman" w:hAnsi="Times New Roman"/>
                <w:snapToGrid w:val="0"/>
              </w:rPr>
            </w:pPr>
            <w:r w:rsidRPr="0030370E">
              <w:rPr>
                <w:rFonts w:ascii="Times New Roman" w:hAnsi="Times New Roman"/>
              </w:rPr>
              <w:t>2 (0,2)</w:t>
            </w:r>
          </w:p>
        </w:tc>
      </w:tr>
      <w:tr w:rsidR="00992524" w:rsidRPr="00074768" w14:paraId="653026C8" w14:textId="77777777" w:rsidTr="00992524">
        <w:tblPrEx>
          <w:tblCellMar>
            <w:right w:w="17" w:type="dxa"/>
          </w:tblCellMar>
        </w:tblPrEx>
        <w:trPr>
          <w:trHeight w:val="495"/>
        </w:trPr>
        <w:tc>
          <w:tcPr>
            <w:tcW w:w="2159" w:type="dxa"/>
            <w:vMerge/>
            <w:tcBorders>
              <w:left w:val="single" w:sz="4" w:space="0" w:color="000000"/>
              <w:right w:val="single" w:sz="4" w:space="0" w:color="000000"/>
            </w:tcBorders>
            <w:shd w:val="clear" w:color="auto" w:fill="auto"/>
            <w:vAlign w:val="center"/>
          </w:tcPr>
          <w:p w14:paraId="7310D731" w14:textId="77777777" w:rsidR="00992524" w:rsidRPr="0007476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auto"/>
              <w:left w:val="single" w:sz="4" w:space="0" w:color="000000"/>
              <w:bottom w:val="single" w:sz="4" w:space="0" w:color="auto"/>
              <w:right w:val="single" w:sz="4" w:space="0" w:color="000000"/>
            </w:tcBorders>
            <w:shd w:val="clear" w:color="auto" w:fill="auto"/>
          </w:tcPr>
          <w:p w14:paraId="681C5D7F" w14:textId="1C5AE571" w:rsidR="00992524" w:rsidRPr="00992524" w:rsidRDefault="00992524" w:rsidP="00992524">
            <w:pPr>
              <w:tabs>
                <w:tab w:val="left" w:pos="567"/>
              </w:tabs>
              <w:spacing w:after="0" w:line="260" w:lineRule="exact"/>
              <w:rPr>
                <w:rFonts w:ascii="Times New Roman" w:eastAsia="Times New Roman" w:hAnsi="Times New Roman"/>
                <w:snapToGrid w:val="0"/>
              </w:rPr>
            </w:pPr>
            <w:r w:rsidRPr="00A1477B">
              <w:rPr>
                <w:rFonts w:ascii="Times New Roman" w:eastAsia="Times New Roman" w:hAnsi="Times New Roman"/>
              </w:rPr>
              <w:t>Žarnų nepraeinamumas*</w:t>
            </w:r>
          </w:p>
        </w:tc>
        <w:tc>
          <w:tcPr>
            <w:tcW w:w="1455" w:type="dxa"/>
            <w:tcBorders>
              <w:top w:val="single" w:sz="4" w:space="0" w:color="auto"/>
              <w:left w:val="single" w:sz="4" w:space="0" w:color="000000"/>
              <w:bottom w:val="single" w:sz="4" w:space="0" w:color="auto"/>
              <w:right w:val="single" w:sz="4" w:space="0" w:color="000000"/>
            </w:tcBorders>
            <w:shd w:val="clear" w:color="auto" w:fill="auto"/>
          </w:tcPr>
          <w:p w14:paraId="233BC427" w14:textId="77777777" w:rsidR="00992524" w:rsidRPr="0030370E" w:rsidRDefault="00992524" w:rsidP="00835094">
            <w:pPr>
              <w:tabs>
                <w:tab w:val="left" w:pos="567"/>
              </w:tabs>
              <w:spacing w:after="0" w:line="260" w:lineRule="exact"/>
              <w:rPr>
                <w:rFonts w:ascii="Times New Roman" w:eastAsia="Times New Roman" w:hAnsi="Times New Roman"/>
                <w:snapToGrid w:val="0"/>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46E0DF0A" w14:textId="77777777" w:rsidR="00992524" w:rsidRPr="0030370E" w:rsidRDefault="00992524" w:rsidP="00835094">
            <w:pPr>
              <w:tabs>
                <w:tab w:val="left" w:pos="567"/>
              </w:tabs>
              <w:spacing w:after="0" w:line="260" w:lineRule="exact"/>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14:paraId="3BD9586D" w14:textId="3894104F" w:rsidR="00992524" w:rsidRPr="0030370E" w:rsidRDefault="00992524" w:rsidP="00992524">
            <w:pPr>
              <w:tabs>
                <w:tab w:val="left" w:pos="567"/>
              </w:tabs>
              <w:spacing w:after="0" w:line="260" w:lineRule="exact"/>
              <w:rPr>
                <w:rFonts w:ascii="Times New Roman" w:eastAsia="Times New Roman" w:hAnsi="Times New Roman"/>
                <w:snapToGrid w:val="0"/>
              </w:rPr>
            </w:pPr>
            <w:r w:rsidRPr="0030370E">
              <w:rPr>
                <w:rFonts w:ascii="Times New Roman" w:eastAsia="Times New Roman" w:hAnsi="Times New Roman"/>
                <w:snapToGrid w:val="0"/>
              </w:rPr>
              <w:t>7 (0</w:t>
            </w:r>
            <w:r>
              <w:rPr>
                <w:rFonts w:ascii="Times New Roman" w:eastAsia="Times New Roman" w:hAnsi="Times New Roman"/>
                <w:snapToGrid w:val="0"/>
              </w:rPr>
              <w:t>,</w:t>
            </w:r>
            <w:r w:rsidRPr="0030370E">
              <w:rPr>
                <w:rFonts w:ascii="Times New Roman" w:eastAsia="Times New Roman" w:hAnsi="Times New Roman"/>
                <w:snapToGrid w:val="0"/>
              </w:rPr>
              <w:t>6)</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1C22269D" w14:textId="23427D78" w:rsidR="00992524" w:rsidRPr="00992524" w:rsidRDefault="00992524" w:rsidP="00992524">
            <w:pPr>
              <w:tabs>
                <w:tab w:val="left" w:pos="567"/>
              </w:tabs>
              <w:spacing w:after="0" w:line="260" w:lineRule="exact"/>
              <w:rPr>
                <w:rFonts w:ascii="Times New Roman" w:hAnsi="Times New Roman"/>
              </w:rPr>
            </w:pPr>
            <w:r w:rsidRPr="00A1477B">
              <w:rPr>
                <w:rFonts w:ascii="Times New Roman" w:eastAsia="Times New Roman" w:hAnsi="Times New Roman"/>
                <w:lang w:val="en-GB"/>
              </w:rPr>
              <w:t>5 (0,5)</w:t>
            </w:r>
          </w:p>
        </w:tc>
      </w:tr>
      <w:tr w:rsidR="00992524" w:rsidRPr="00074768" w14:paraId="289FFB8C" w14:textId="77777777" w:rsidTr="004D770B">
        <w:tblPrEx>
          <w:tblCellMar>
            <w:right w:w="17" w:type="dxa"/>
          </w:tblCellMar>
        </w:tblPrEx>
        <w:trPr>
          <w:trHeight w:val="270"/>
        </w:trPr>
        <w:tc>
          <w:tcPr>
            <w:tcW w:w="2159" w:type="dxa"/>
            <w:vMerge/>
            <w:tcBorders>
              <w:left w:val="single" w:sz="4" w:space="0" w:color="000000"/>
              <w:right w:val="single" w:sz="4" w:space="0" w:color="000000"/>
            </w:tcBorders>
            <w:shd w:val="clear" w:color="auto" w:fill="auto"/>
            <w:vAlign w:val="center"/>
          </w:tcPr>
          <w:p w14:paraId="38BCE9B6" w14:textId="77777777" w:rsidR="00992524" w:rsidRPr="0007476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auto"/>
              <w:left w:val="single" w:sz="4" w:space="0" w:color="000000"/>
              <w:bottom w:val="single" w:sz="4" w:space="0" w:color="auto"/>
              <w:right w:val="single" w:sz="4" w:space="0" w:color="000000"/>
            </w:tcBorders>
            <w:shd w:val="clear" w:color="auto" w:fill="auto"/>
          </w:tcPr>
          <w:p w14:paraId="425EADF4" w14:textId="77777777" w:rsidR="00992524" w:rsidRPr="00A1477B" w:rsidRDefault="00992524" w:rsidP="00992524">
            <w:pPr>
              <w:tabs>
                <w:tab w:val="left" w:pos="567"/>
              </w:tabs>
              <w:spacing w:after="0" w:line="260" w:lineRule="exact"/>
              <w:rPr>
                <w:rFonts w:ascii="Times New Roman" w:eastAsia="Times New Roman" w:hAnsi="Times New Roman"/>
              </w:rPr>
            </w:pPr>
            <w:r w:rsidRPr="00A1477B">
              <w:rPr>
                <w:rFonts w:ascii="Times New Roman" w:eastAsia="Times New Roman" w:hAnsi="Times New Roman"/>
                <w:snapToGrid w:val="0"/>
              </w:rPr>
              <w:t>Gastritas</w:t>
            </w:r>
          </w:p>
        </w:tc>
        <w:tc>
          <w:tcPr>
            <w:tcW w:w="1455" w:type="dxa"/>
            <w:tcBorders>
              <w:top w:val="single" w:sz="4" w:space="0" w:color="auto"/>
              <w:left w:val="single" w:sz="4" w:space="0" w:color="000000"/>
              <w:bottom w:val="single" w:sz="4" w:space="0" w:color="auto"/>
              <w:right w:val="single" w:sz="4" w:space="0" w:color="000000"/>
            </w:tcBorders>
            <w:shd w:val="clear" w:color="auto" w:fill="auto"/>
          </w:tcPr>
          <w:p w14:paraId="45444461" w14:textId="77777777" w:rsidR="00992524" w:rsidRPr="0030370E" w:rsidRDefault="00992524" w:rsidP="00835094">
            <w:pPr>
              <w:tabs>
                <w:tab w:val="left" w:pos="567"/>
              </w:tabs>
              <w:spacing w:after="0" w:line="260" w:lineRule="exact"/>
              <w:rPr>
                <w:rFonts w:ascii="Times New Roman" w:eastAsia="Times New Roman" w:hAnsi="Times New Roman"/>
                <w:snapToGrid w:val="0"/>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670015CD" w14:textId="77777777" w:rsidR="00992524" w:rsidRPr="0030370E" w:rsidRDefault="00992524" w:rsidP="00835094">
            <w:pPr>
              <w:tabs>
                <w:tab w:val="left" w:pos="567"/>
              </w:tabs>
              <w:spacing w:after="0" w:line="260" w:lineRule="exact"/>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14:paraId="09514E24" w14:textId="4A83899C" w:rsidR="00992524" w:rsidRPr="0030370E" w:rsidRDefault="00992524" w:rsidP="00992524">
            <w:pPr>
              <w:tabs>
                <w:tab w:val="left" w:pos="567"/>
              </w:tabs>
              <w:spacing w:after="0" w:line="260" w:lineRule="exact"/>
              <w:rPr>
                <w:rFonts w:ascii="Times New Roman" w:eastAsia="Times New Roman" w:hAnsi="Times New Roman"/>
                <w:snapToGrid w:val="0"/>
              </w:rPr>
            </w:pPr>
            <w:r w:rsidRPr="0030370E">
              <w:rPr>
                <w:rFonts w:ascii="Times New Roman" w:eastAsia="Times New Roman" w:hAnsi="Times New Roman"/>
                <w:snapToGrid w:val="0"/>
              </w:rPr>
              <w:t>10 (0</w:t>
            </w:r>
            <w:r>
              <w:rPr>
                <w:rFonts w:ascii="Times New Roman" w:eastAsia="Times New Roman" w:hAnsi="Times New Roman"/>
                <w:snapToGrid w:val="0"/>
              </w:rPr>
              <w:t>,</w:t>
            </w:r>
            <w:r w:rsidRPr="0030370E">
              <w:rPr>
                <w:rFonts w:ascii="Times New Roman" w:eastAsia="Times New Roman" w:hAnsi="Times New Roman"/>
                <w:snapToGrid w:val="0"/>
              </w:rPr>
              <w:t>9)</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0F2F6770" w14:textId="77777777" w:rsidR="00992524" w:rsidRPr="00A1477B" w:rsidRDefault="00992524" w:rsidP="00992524">
            <w:pPr>
              <w:tabs>
                <w:tab w:val="left" w:pos="567"/>
              </w:tabs>
              <w:spacing w:after="0" w:line="260" w:lineRule="exact"/>
              <w:rPr>
                <w:rFonts w:ascii="Times New Roman" w:eastAsia="Times New Roman" w:hAnsi="Times New Roman"/>
                <w:lang w:val="en-GB"/>
              </w:rPr>
            </w:pPr>
            <w:r w:rsidRPr="00A1477B">
              <w:rPr>
                <w:rFonts w:ascii="Times New Roman" w:eastAsia="Times New Roman" w:hAnsi="Times New Roman"/>
                <w:lang w:val="en-GB"/>
              </w:rPr>
              <w:t>0</w:t>
            </w:r>
          </w:p>
        </w:tc>
      </w:tr>
      <w:tr w:rsidR="00992524" w:rsidRPr="00074768" w14:paraId="028B8DF2" w14:textId="77777777" w:rsidTr="00992524">
        <w:tblPrEx>
          <w:tblCellMar>
            <w:right w:w="17" w:type="dxa"/>
          </w:tblCellMar>
        </w:tblPrEx>
        <w:trPr>
          <w:trHeight w:val="225"/>
        </w:trPr>
        <w:tc>
          <w:tcPr>
            <w:tcW w:w="2159" w:type="dxa"/>
            <w:vMerge/>
            <w:tcBorders>
              <w:left w:val="single" w:sz="4" w:space="0" w:color="000000"/>
              <w:right w:val="single" w:sz="4" w:space="0" w:color="000000"/>
            </w:tcBorders>
            <w:shd w:val="clear" w:color="auto" w:fill="auto"/>
            <w:vAlign w:val="center"/>
          </w:tcPr>
          <w:p w14:paraId="7371FB31" w14:textId="77777777" w:rsidR="00992524" w:rsidRPr="0007476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auto"/>
              <w:left w:val="single" w:sz="4" w:space="0" w:color="000000"/>
              <w:bottom w:val="single" w:sz="4" w:space="0" w:color="auto"/>
              <w:right w:val="single" w:sz="4" w:space="0" w:color="000000"/>
            </w:tcBorders>
            <w:shd w:val="clear" w:color="auto" w:fill="auto"/>
          </w:tcPr>
          <w:p w14:paraId="76BE6AFA" w14:textId="003BB315" w:rsidR="00992524" w:rsidRPr="00A1477B" w:rsidRDefault="00992524" w:rsidP="00992524">
            <w:pPr>
              <w:tabs>
                <w:tab w:val="left" w:pos="567"/>
              </w:tabs>
              <w:spacing w:after="0" w:line="260" w:lineRule="exact"/>
              <w:rPr>
                <w:rFonts w:ascii="Times New Roman" w:eastAsia="Times New Roman" w:hAnsi="Times New Roman"/>
              </w:rPr>
            </w:pPr>
            <w:r w:rsidRPr="00A1477B">
              <w:rPr>
                <w:rFonts w:ascii="Times New Roman" w:eastAsia="Times New Roman" w:hAnsi="Times New Roman"/>
              </w:rPr>
              <w:t>Kolitas*</w:t>
            </w:r>
          </w:p>
        </w:tc>
        <w:tc>
          <w:tcPr>
            <w:tcW w:w="1455" w:type="dxa"/>
            <w:tcBorders>
              <w:top w:val="single" w:sz="4" w:space="0" w:color="auto"/>
              <w:left w:val="single" w:sz="4" w:space="0" w:color="000000"/>
              <w:bottom w:val="single" w:sz="4" w:space="0" w:color="auto"/>
              <w:right w:val="single" w:sz="4" w:space="0" w:color="000000"/>
            </w:tcBorders>
            <w:shd w:val="clear" w:color="auto" w:fill="auto"/>
          </w:tcPr>
          <w:p w14:paraId="021AF37B" w14:textId="77777777" w:rsidR="00992524" w:rsidRPr="0030370E" w:rsidRDefault="00992524" w:rsidP="00835094">
            <w:pPr>
              <w:tabs>
                <w:tab w:val="left" w:pos="567"/>
              </w:tabs>
              <w:spacing w:after="0" w:line="260" w:lineRule="exact"/>
              <w:rPr>
                <w:rFonts w:ascii="Times New Roman" w:eastAsia="Times New Roman" w:hAnsi="Times New Roman"/>
                <w:snapToGrid w:val="0"/>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5EFB767F" w14:textId="77777777" w:rsidR="00992524" w:rsidRPr="0030370E" w:rsidRDefault="00992524" w:rsidP="00835094">
            <w:pPr>
              <w:tabs>
                <w:tab w:val="left" w:pos="567"/>
              </w:tabs>
              <w:spacing w:after="0" w:line="260" w:lineRule="exact"/>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14:paraId="6FFDC48C" w14:textId="1BCAC964" w:rsidR="00992524" w:rsidRPr="0030370E" w:rsidRDefault="00992524" w:rsidP="00992524">
            <w:pPr>
              <w:tabs>
                <w:tab w:val="left" w:pos="567"/>
              </w:tabs>
              <w:spacing w:after="0" w:line="260" w:lineRule="exact"/>
              <w:rPr>
                <w:rFonts w:ascii="Times New Roman" w:eastAsia="Times New Roman" w:hAnsi="Times New Roman"/>
                <w:snapToGrid w:val="0"/>
              </w:rPr>
            </w:pPr>
            <w:r w:rsidRPr="0030370E">
              <w:rPr>
                <w:rFonts w:ascii="Times New Roman" w:eastAsia="Times New Roman" w:hAnsi="Times New Roman"/>
                <w:snapToGrid w:val="0"/>
              </w:rPr>
              <w:t>10 (0</w:t>
            </w:r>
            <w:r w:rsidR="00CE4CCA">
              <w:rPr>
                <w:rFonts w:ascii="Times New Roman" w:eastAsia="Times New Roman" w:hAnsi="Times New Roman"/>
                <w:snapToGrid w:val="0"/>
              </w:rPr>
              <w:t>,</w:t>
            </w:r>
            <w:r w:rsidRPr="0030370E">
              <w:rPr>
                <w:rFonts w:ascii="Times New Roman" w:eastAsia="Times New Roman" w:hAnsi="Times New Roman"/>
                <w:snapToGrid w:val="0"/>
              </w:rPr>
              <w:t>9)</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756A1A9A" w14:textId="0A9651A4" w:rsidR="00992524" w:rsidRPr="00A1477B" w:rsidRDefault="00992524" w:rsidP="00992524">
            <w:pPr>
              <w:tabs>
                <w:tab w:val="left" w:pos="567"/>
              </w:tabs>
              <w:spacing w:after="0" w:line="260" w:lineRule="exact"/>
              <w:rPr>
                <w:rFonts w:ascii="Times New Roman" w:eastAsia="Times New Roman" w:hAnsi="Times New Roman"/>
                <w:lang w:val="en-GB"/>
              </w:rPr>
            </w:pPr>
            <w:r w:rsidRPr="00992524">
              <w:rPr>
                <w:rFonts w:ascii="Times New Roman" w:eastAsia="Times New Roman" w:hAnsi="Times New Roman"/>
                <w:snapToGrid w:val="0"/>
              </w:rPr>
              <w:t>5 (0,5)</w:t>
            </w:r>
          </w:p>
        </w:tc>
      </w:tr>
      <w:tr w:rsidR="00992524" w:rsidRPr="00074768" w14:paraId="7571D4D8" w14:textId="77777777" w:rsidTr="00E73BEE">
        <w:tblPrEx>
          <w:tblCellMar>
            <w:right w:w="17" w:type="dxa"/>
          </w:tblCellMar>
        </w:tblPrEx>
        <w:trPr>
          <w:trHeight w:val="549"/>
        </w:trPr>
        <w:tc>
          <w:tcPr>
            <w:tcW w:w="2159" w:type="dxa"/>
            <w:vMerge/>
            <w:tcBorders>
              <w:left w:val="single" w:sz="4" w:space="0" w:color="000000"/>
              <w:right w:val="single" w:sz="4" w:space="0" w:color="000000"/>
            </w:tcBorders>
            <w:shd w:val="clear" w:color="auto" w:fill="auto"/>
            <w:vAlign w:val="center"/>
          </w:tcPr>
          <w:p w14:paraId="5E0FC80B" w14:textId="77777777" w:rsidR="00992524" w:rsidRPr="0007476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auto"/>
              <w:left w:val="single" w:sz="4" w:space="0" w:color="000000"/>
              <w:bottom w:val="single" w:sz="4" w:space="0" w:color="auto"/>
              <w:right w:val="single" w:sz="4" w:space="0" w:color="000000"/>
            </w:tcBorders>
            <w:shd w:val="clear" w:color="auto" w:fill="auto"/>
          </w:tcPr>
          <w:p w14:paraId="1E7A3746" w14:textId="77777777" w:rsidR="00992524" w:rsidRPr="00A1477B" w:rsidRDefault="00992524" w:rsidP="00992524">
            <w:pPr>
              <w:tabs>
                <w:tab w:val="left" w:pos="567"/>
              </w:tabs>
              <w:spacing w:after="0" w:line="260" w:lineRule="exact"/>
              <w:rPr>
                <w:rFonts w:ascii="Times New Roman" w:eastAsia="Times New Roman" w:hAnsi="Times New Roman"/>
              </w:rPr>
            </w:pPr>
            <w:r w:rsidRPr="00A1477B">
              <w:rPr>
                <w:rFonts w:ascii="Times New Roman" w:eastAsia="Times New Roman" w:hAnsi="Times New Roman"/>
              </w:rPr>
              <w:t>Virškinimo trakto perforacija</w:t>
            </w:r>
          </w:p>
        </w:tc>
        <w:tc>
          <w:tcPr>
            <w:tcW w:w="1455" w:type="dxa"/>
            <w:tcBorders>
              <w:top w:val="single" w:sz="4" w:space="0" w:color="auto"/>
              <w:left w:val="single" w:sz="4" w:space="0" w:color="000000"/>
              <w:bottom w:val="single" w:sz="4" w:space="0" w:color="auto"/>
              <w:right w:val="single" w:sz="4" w:space="0" w:color="000000"/>
            </w:tcBorders>
            <w:shd w:val="clear" w:color="auto" w:fill="auto"/>
          </w:tcPr>
          <w:p w14:paraId="51A733C6" w14:textId="77777777" w:rsidR="00992524" w:rsidRPr="0030370E" w:rsidRDefault="00992524" w:rsidP="00835094">
            <w:pPr>
              <w:tabs>
                <w:tab w:val="left" w:pos="567"/>
              </w:tabs>
              <w:spacing w:after="0" w:line="260" w:lineRule="exact"/>
              <w:rPr>
                <w:rFonts w:ascii="Times New Roman" w:eastAsia="Times New Roman" w:hAnsi="Times New Roman"/>
                <w:snapToGrid w:val="0"/>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167A0760" w14:textId="77777777" w:rsidR="00992524" w:rsidRPr="0030370E" w:rsidRDefault="00992524" w:rsidP="00835094">
            <w:pPr>
              <w:tabs>
                <w:tab w:val="left" w:pos="567"/>
              </w:tabs>
              <w:spacing w:after="0" w:line="260" w:lineRule="exact"/>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14:paraId="6279BC8C" w14:textId="48D4251B" w:rsidR="00992524" w:rsidRPr="0030370E" w:rsidRDefault="00992524" w:rsidP="00992524">
            <w:pPr>
              <w:tabs>
                <w:tab w:val="left" w:pos="567"/>
              </w:tabs>
              <w:spacing w:after="0" w:line="260" w:lineRule="exact"/>
              <w:rPr>
                <w:rFonts w:ascii="Times New Roman" w:eastAsia="Times New Roman" w:hAnsi="Times New Roman"/>
                <w:snapToGrid w:val="0"/>
              </w:rPr>
            </w:pPr>
            <w:r w:rsidRPr="0030370E">
              <w:rPr>
                <w:rFonts w:ascii="Times New Roman" w:eastAsia="Times New Roman" w:hAnsi="Times New Roman"/>
                <w:snapToGrid w:val="0"/>
              </w:rPr>
              <w:t>3 (0,3)</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73433C6B" w14:textId="0DA065B6" w:rsidR="00992524" w:rsidRPr="00992524" w:rsidRDefault="00992524" w:rsidP="00992524">
            <w:pPr>
              <w:tabs>
                <w:tab w:val="left" w:pos="567"/>
              </w:tabs>
              <w:spacing w:after="0" w:line="260" w:lineRule="exact"/>
              <w:rPr>
                <w:rFonts w:ascii="Times New Roman" w:eastAsia="Times New Roman" w:hAnsi="Times New Roman"/>
                <w:snapToGrid w:val="0"/>
              </w:rPr>
            </w:pPr>
            <w:r w:rsidRPr="00A1477B">
              <w:rPr>
                <w:rFonts w:ascii="Times New Roman" w:eastAsia="Times New Roman" w:hAnsi="Times New Roman"/>
                <w:lang w:val="en-GB"/>
              </w:rPr>
              <w:t>1 (&lt; 0,1)</w:t>
            </w:r>
          </w:p>
        </w:tc>
      </w:tr>
      <w:tr w:rsidR="00992524" w:rsidRPr="00074768" w14:paraId="28043AD1" w14:textId="77777777" w:rsidTr="00A1477B">
        <w:tblPrEx>
          <w:tblCellMar>
            <w:right w:w="17" w:type="dxa"/>
          </w:tblCellMar>
        </w:tblPrEx>
        <w:trPr>
          <w:trHeight w:val="621"/>
        </w:trPr>
        <w:tc>
          <w:tcPr>
            <w:tcW w:w="2159" w:type="dxa"/>
            <w:vMerge/>
            <w:tcBorders>
              <w:left w:val="single" w:sz="4" w:space="0" w:color="000000"/>
              <w:bottom w:val="single" w:sz="4" w:space="0" w:color="000000"/>
              <w:right w:val="single" w:sz="4" w:space="0" w:color="000000"/>
            </w:tcBorders>
            <w:shd w:val="clear" w:color="auto" w:fill="auto"/>
            <w:vAlign w:val="center"/>
          </w:tcPr>
          <w:p w14:paraId="793C03CC" w14:textId="77777777" w:rsidR="00992524" w:rsidRPr="00074768" w:rsidRDefault="00992524" w:rsidP="00835094">
            <w:pPr>
              <w:tabs>
                <w:tab w:val="left" w:pos="567"/>
              </w:tabs>
              <w:spacing w:after="0" w:line="260" w:lineRule="exact"/>
              <w:rPr>
                <w:rFonts w:ascii="Times New Roman" w:eastAsia="Times New Roman" w:hAnsi="Times New Roman"/>
                <w:snapToGrid w:val="0"/>
              </w:rPr>
            </w:pPr>
          </w:p>
        </w:tc>
        <w:tc>
          <w:tcPr>
            <w:tcW w:w="1978" w:type="dxa"/>
            <w:tcBorders>
              <w:top w:val="single" w:sz="4" w:space="0" w:color="auto"/>
              <w:left w:val="single" w:sz="4" w:space="0" w:color="000000"/>
              <w:bottom w:val="single" w:sz="4" w:space="0" w:color="000000"/>
              <w:right w:val="single" w:sz="4" w:space="0" w:color="000000"/>
            </w:tcBorders>
            <w:shd w:val="clear" w:color="auto" w:fill="auto"/>
          </w:tcPr>
          <w:p w14:paraId="0E6A91CA" w14:textId="5D6AB5FB" w:rsidR="00992524" w:rsidRPr="00A1477B" w:rsidRDefault="00992524" w:rsidP="00835094">
            <w:pPr>
              <w:tabs>
                <w:tab w:val="left" w:pos="567"/>
              </w:tabs>
              <w:spacing w:after="0" w:line="260" w:lineRule="exact"/>
              <w:rPr>
                <w:rFonts w:ascii="Times New Roman" w:eastAsia="Times New Roman" w:hAnsi="Times New Roman"/>
              </w:rPr>
            </w:pPr>
            <w:r w:rsidRPr="00A1477B">
              <w:rPr>
                <w:rFonts w:ascii="Times New Roman" w:eastAsia="Times New Roman" w:hAnsi="Times New Roman"/>
              </w:rPr>
              <w:t>Kraujavimas iš virškinimo trakto</w:t>
            </w:r>
          </w:p>
        </w:tc>
        <w:tc>
          <w:tcPr>
            <w:tcW w:w="1455" w:type="dxa"/>
            <w:tcBorders>
              <w:top w:val="single" w:sz="4" w:space="0" w:color="auto"/>
              <w:left w:val="single" w:sz="4" w:space="0" w:color="000000"/>
              <w:bottom w:val="single" w:sz="4" w:space="0" w:color="000000"/>
              <w:right w:val="single" w:sz="4" w:space="0" w:color="000000"/>
            </w:tcBorders>
            <w:shd w:val="clear" w:color="auto" w:fill="auto"/>
          </w:tcPr>
          <w:p w14:paraId="29679C6B" w14:textId="77777777" w:rsidR="00992524" w:rsidRPr="0030370E" w:rsidRDefault="00992524" w:rsidP="00835094">
            <w:pPr>
              <w:tabs>
                <w:tab w:val="left" w:pos="567"/>
              </w:tabs>
              <w:spacing w:after="0" w:line="260" w:lineRule="exact"/>
              <w:rPr>
                <w:rFonts w:ascii="Times New Roman" w:eastAsia="Times New Roman" w:hAnsi="Times New Roman"/>
                <w:snapToGrid w:val="0"/>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14:paraId="06E88AE5" w14:textId="77777777" w:rsidR="00992524" w:rsidRPr="0030370E" w:rsidRDefault="00992524" w:rsidP="00835094">
            <w:pPr>
              <w:tabs>
                <w:tab w:val="left" w:pos="567"/>
              </w:tabs>
              <w:spacing w:after="0" w:line="260" w:lineRule="exact"/>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14:paraId="22251463" w14:textId="77777777" w:rsidR="00992524" w:rsidRPr="0030370E" w:rsidRDefault="00992524" w:rsidP="00992524">
            <w:pPr>
              <w:tabs>
                <w:tab w:val="left" w:pos="567"/>
              </w:tabs>
              <w:spacing w:after="0" w:line="260" w:lineRule="exact"/>
              <w:rPr>
                <w:rFonts w:ascii="Times New Roman" w:eastAsia="Times New Roman" w:hAnsi="Times New Roman"/>
                <w:snapToGrid w:val="0"/>
              </w:rPr>
            </w:pPr>
            <w:r w:rsidRPr="0030370E">
              <w:rPr>
                <w:rFonts w:ascii="Times New Roman" w:eastAsia="Times New Roman" w:hAnsi="Times New Roman"/>
                <w:snapToGrid w:val="0"/>
              </w:rPr>
              <w:t>2 (0,2)</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038BDF5A" w14:textId="77777777" w:rsidR="00992524" w:rsidRPr="00992524" w:rsidRDefault="00992524" w:rsidP="00992524">
            <w:pPr>
              <w:tabs>
                <w:tab w:val="left" w:pos="567"/>
              </w:tabs>
              <w:spacing w:after="0" w:line="260" w:lineRule="exact"/>
              <w:rPr>
                <w:rFonts w:ascii="Times New Roman" w:eastAsia="Times New Roman" w:hAnsi="Times New Roman"/>
                <w:snapToGrid w:val="0"/>
              </w:rPr>
            </w:pPr>
            <w:r w:rsidRPr="00A1477B">
              <w:rPr>
                <w:rFonts w:ascii="Times New Roman" w:eastAsia="Times New Roman" w:hAnsi="Times New Roman"/>
                <w:lang w:val="en-GB"/>
              </w:rPr>
              <w:t>1 (&lt; 0,1)</w:t>
            </w:r>
          </w:p>
        </w:tc>
      </w:tr>
      <w:tr w:rsidR="00A17222" w:rsidRPr="00074768" w14:paraId="0F25016E" w14:textId="77777777" w:rsidTr="00C326D9">
        <w:tblPrEx>
          <w:tblCellMar>
            <w:right w:w="17" w:type="dxa"/>
          </w:tblCellMar>
        </w:tblPrEx>
        <w:trPr>
          <w:trHeight w:val="269"/>
        </w:trPr>
        <w:tc>
          <w:tcPr>
            <w:tcW w:w="2159" w:type="dxa"/>
            <w:vMerge w:val="restart"/>
            <w:tcBorders>
              <w:top w:val="single" w:sz="4" w:space="0" w:color="000000"/>
              <w:left w:val="single" w:sz="4" w:space="0" w:color="000000"/>
              <w:right w:val="single" w:sz="4" w:space="0" w:color="000000"/>
            </w:tcBorders>
            <w:shd w:val="clear" w:color="auto" w:fill="auto"/>
            <w:vAlign w:val="center"/>
          </w:tcPr>
          <w:p w14:paraId="764E17E2" w14:textId="6463E41C" w:rsidR="00A17222" w:rsidRPr="0085406C" w:rsidRDefault="00A17222" w:rsidP="00A17222">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Odos ir poodinio audinio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CF72560" w14:textId="77777777" w:rsidR="00A17222" w:rsidRPr="004200DB" w:rsidRDefault="00A17222" w:rsidP="00A17222">
            <w:pPr>
              <w:tabs>
                <w:tab w:val="left" w:pos="567"/>
              </w:tabs>
              <w:spacing w:after="0" w:line="260" w:lineRule="exact"/>
              <w:rPr>
                <w:rFonts w:ascii="Times New Roman" w:eastAsia="Times New Roman" w:hAnsi="Times New Roman"/>
                <w:snapToGrid w:val="0"/>
              </w:rPr>
            </w:pPr>
            <w:proofErr w:type="spellStart"/>
            <w:r w:rsidRPr="004200DB">
              <w:rPr>
                <w:rFonts w:ascii="Times New Roman" w:eastAsia="Times New Roman" w:hAnsi="Times New Roman"/>
                <w:snapToGrid w:val="0"/>
              </w:rPr>
              <w:t>Alopecija</w:t>
            </w:r>
            <w:proofErr w:type="spellEnd"/>
            <w:r w:rsidRPr="004200DB">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061997C" w14:textId="56615C9E" w:rsidR="00A17222" w:rsidRPr="00037DA8" w:rsidRDefault="00A17222" w:rsidP="00A17222">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B49FA12" w14:textId="702AEB84" w:rsidR="00A17222" w:rsidRPr="00037DA8" w:rsidRDefault="00A17222" w:rsidP="00A17222">
            <w:pPr>
              <w:tabs>
                <w:tab w:val="left" w:pos="567"/>
              </w:tabs>
              <w:spacing w:after="0" w:line="260" w:lineRule="exact"/>
              <w:rPr>
                <w:rFonts w:ascii="Times New Roman" w:eastAsia="Times New Roman" w:hAnsi="Times New Roman"/>
                <w:snapToGrid w:val="0"/>
              </w:rPr>
            </w:pPr>
            <w:r w:rsidRPr="00F175BE">
              <w:rPr>
                <w:rFonts w:ascii="Times New Roman" w:hAnsi="Times New Roman"/>
              </w:rPr>
              <w:t>80 (7</w:t>
            </w:r>
            <w:r>
              <w:rPr>
                <w:rFonts w:ascii="Times New Roman" w:hAnsi="Times New Roman"/>
              </w:rPr>
              <w:t>,</w:t>
            </w:r>
            <w:r w:rsidRPr="00F175BE">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tcPr>
          <w:p w14:paraId="40ADAAE2" w14:textId="77777777" w:rsidR="00A17222" w:rsidRPr="00037DA8" w:rsidRDefault="00A17222" w:rsidP="00A17222">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0B5E14" w14:textId="4E557D1D" w:rsidR="00A17222" w:rsidRPr="00037DA8" w:rsidRDefault="00A17222" w:rsidP="00A1722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A17222" w:rsidRPr="00074768" w14:paraId="2A45E66A" w14:textId="77777777" w:rsidTr="00C326D9">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19B49C79" w14:textId="77777777" w:rsidR="00A17222" w:rsidRPr="00037DA8" w:rsidRDefault="00A17222" w:rsidP="00A17222">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0E39AAF" w14:textId="77777777" w:rsidR="00A17222" w:rsidRPr="00037DA8" w:rsidRDefault="00A17222" w:rsidP="00A1722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Odos sausumas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6B20569" w14:textId="77777777" w:rsidR="00A17222" w:rsidRPr="00037DA8" w:rsidRDefault="00A17222" w:rsidP="00A1722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686852E" w14:textId="399A2A27" w:rsidR="00A17222" w:rsidRPr="00037DA8" w:rsidRDefault="00A17222" w:rsidP="00A17222">
            <w:pPr>
              <w:tabs>
                <w:tab w:val="left" w:pos="567"/>
              </w:tabs>
              <w:spacing w:after="0" w:line="260" w:lineRule="exact"/>
              <w:rPr>
                <w:rFonts w:ascii="Times New Roman" w:eastAsia="Times New Roman" w:hAnsi="Times New Roman"/>
                <w:snapToGrid w:val="0"/>
              </w:rPr>
            </w:pPr>
            <w:r w:rsidRPr="00F175BE">
              <w:rPr>
                <w:rFonts w:ascii="Times New Roman" w:hAnsi="Times New Roman"/>
              </w:rPr>
              <w:t>23 (2</w:t>
            </w:r>
            <w:r>
              <w:rPr>
                <w:rFonts w:ascii="Times New Roman" w:hAnsi="Times New Roman"/>
              </w:rPr>
              <w:t>,</w:t>
            </w:r>
            <w:r w:rsidRPr="00F175BE">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3FA1ED75" w14:textId="77777777" w:rsidR="00A17222" w:rsidRPr="00037DA8" w:rsidRDefault="00A17222" w:rsidP="00A17222">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B00F41" w14:textId="75C91E72" w:rsidR="00A17222" w:rsidRPr="00037DA8" w:rsidRDefault="00A17222" w:rsidP="00A1722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A17222" w:rsidRPr="00074768" w14:paraId="516F4347" w14:textId="77777777" w:rsidTr="00C326D9">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56A53404" w14:textId="77777777" w:rsidR="00A17222" w:rsidRPr="00037DA8" w:rsidRDefault="00A17222" w:rsidP="00A17222">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AC9708C" w14:textId="77777777" w:rsidR="00A17222" w:rsidRPr="00037DA8" w:rsidRDefault="00A17222" w:rsidP="00A1722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Paraudimas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CEF5E56" w14:textId="77777777" w:rsidR="00A17222" w:rsidRPr="00037DA8" w:rsidRDefault="00A17222" w:rsidP="00A1722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602DAEA" w14:textId="6A4FF61A" w:rsidR="00A17222" w:rsidRPr="00037DA8" w:rsidRDefault="00A17222" w:rsidP="00A17222">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7468EC5A" w14:textId="303BB333" w:rsidR="00A17222" w:rsidRPr="00037DA8" w:rsidRDefault="00A17222" w:rsidP="00A17222">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8 (0,7)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6951C65" w14:textId="595A3325" w:rsidR="00A17222" w:rsidRPr="00037DA8" w:rsidRDefault="00A17222" w:rsidP="00A1722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A17222" w:rsidRPr="00074768" w14:paraId="63703072" w14:textId="77777777" w:rsidTr="00C326D9">
        <w:tblPrEx>
          <w:tblCellMar>
            <w:right w:w="17" w:type="dxa"/>
          </w:tblCellMar>
        </w:tblPrEx>
        <w:trPr>
          <w:trHeight w:val="269"/>
        </w:trPr>
        <w:tc>
          <w:tcPr>
            <w:tcW w:w="0" w:type="auto"/>
            <w:vMerge/>
            <w:tcBorders>
              <w:left w:val="single" w:sz="4" w:space="0" w:color="000000"/>
              <w:bottom w:val="single" w:sz="4" w:space="0" w:color="000000"/>
              <w:right w:val="single" w:sz="4" w:space="0" w:color="000000"/>
            </w:tcBorders>
            <w:shd w:val="clear" w:color="auto" w:fill="auto"/>
          </w:tcPr>
          <w:p w14:paraId="7874FDA3" w14:textId="77777777" w:rsidR="00A17222" w:rsidRPr="00037DA8" w:rsidRDefault="00A17222" w:rsidP="00A17222">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B33457C" w14:textId="4B2844C7" w:rsidR="00A17222" w:rsidRPr="00037DA8" w:rsidRDefault="00A17222" w:rsidP="00A17222">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Nagų sutrikimai</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8FD75D9" w14:textId="77777777" w:rsidR="00A17222" w:rsidRPr="00037DA8" w:rsidRDefault="00A17222" w:rsidP="00A17222">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E9ECA77" w14:textId="5EC10591" w:rsidR="00A17222" w:rsidRPr="00037DA8" w:rsidRDefault="00C326D9" w:rsidP="00A17222">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18 (1,6)</w:t>
            </w:r>
          </w:p>
        </w:tc>
        <w:tc>
          <w:tcPr>
            <w:tcW w:w="1134" w:type="dxa"/>
            <w:tcBorders>
              <w:top w:val="single" w:sz="4" w:space="0" w:color="000000"/>
              <w:left w:val="single" w:sz="4" w:space="0" w:color="000000"/>
              <w:bottom w:val="single" w:sz="4" w:space="0" w:color="000000"/>
              <w:right w:val="single" w:sz="4" w:space="0" w:color="000000"/>
            </w:tcBorders>
          </w:tcPr>
          <w:p w14:paraId="5CCA1FC1" w14:textId="07D7A6E7" w:rsidR="00A17222" w:rsidRPr="00037DA8" w:rsidRDefault="00A17222" w:rsidP="00A17222">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13117F0" w14:textId="78D34E87" w:rsidR="00A17222" w:rsidRPr="00037DA8" w:rsidRDefault="00A17222" w:rsidP="00A17222">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0</w:t>
            </w:r>
          </w:p>
        </w:tc>
      </w:tr>
      <w:tr w:rsidR="00253462" w:rsidRPr="00074768" w14:paraId="78003785" w14:textId="77777777" w:rsidTr="002642B8">
        <w:tblPrEx>
          <w:tblCellMar>
            <w:right w:w="17" w:type="dxa"/>
          </w:tblCellMar>
        </w:tblPrEx>
        <w:trPr>
          <w:trHeight w:val="271"/>
        </w:trPr>
        <w:tc>
          <w:tcPr>
            <w:tcW w:w="2159" w:type="dxa"/>
            <w:vMerge w:val="restart"/>
            <w:tcBorders>
              <w:top w:val="single" w:sz="4" w:space="0" w:color="000000"/>
              <w:left w:val="single" w:sz="4" w:space="0" w:color="000000"/>
              <w:right w:val="single" w:sz="4" w:space="0" w:color="000000"/>
            </w:tcBorders>
            <w:shd w:val="clear" w:color="auto" w:fill="auto"/>
          </w:tcPr>
          <w:p w14:paraId="3474ECE9" w14:textId="77777777" w:rsidR="00253462" w:rsidRPr="00074768" w:rsidRDefault="00253462" w:rsidP="00253462">
            <w:pPr>
              <w:tabs>
                <w:tab w:val="left" w:pos="567"/>
              </w:tabs>
              <w:spacing w:after="0" w:line="260" w:lineRule="exact"/>
              <w:rPr>
                <w:rFonts w:ascii="Times New Roman" w:eastAsia="Times New Roman" w:hAnsi="Times New Roman"/>
                <w:snapToGrid w:val="0"/>
              </w:rPr>
            </w:pPr>
          </w:p>
          <w:p w14:paraId="04B172A0" w14:textId="77777777" w:rsidR="00253462" w:rsidRPr="0085406C" w:rsidRDefault="00253462" w:rsidP="00253462">
            <w:pPr>
              <w:tabs>
                <w:tab w:val="left" w:pos="567"/>
              </w:tabs>
              <w:spacing w:after="0" w:line="260" w:lineRule="exact"/>
              <w:rPr>
                <w:rFonts w:ascii="Times New Roman" w:eastAsia="Times New Roman" w:hAnsi="Times New Roman"/>
                <w:snapToGrid w:val="0"/>
              </w:rPr>
            </w:pPr>
          </w:p>
          <w:p w14:paraId="26871EA5" w14:textId="77777777" w:rsidR="00253462" w:rsidRPr="004200DB" w:rsidRDefault="00253462" w:rsidP="00253462">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Skeleto, raumenų ir jungiamojo audinio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8AF7476" w14:textId="77777777" w:rsidR="00253462" w:rsidRPr="00037DA8" w:rsidRDefault="00253462" w:rsidP="00253462">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lastRenderedPageBreak/>
              <w:t>Nugaros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E13A882" w14:textId="18A13EC8" w:rsidR="00253462" w:rsidRPr="00037DA8" w:rsidRDefault="00253462" w:rsidP="00253462">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166</w:t>
            </w:r>
            <w:r w:rsidRPr="00037DA8">
              <w:rPr>
                <w:rFonts w:ascii="Times New Roman" w:eastAsia="Times New Roman" w:hAnsi="Times New Roman"/>
                <w:snapToGrid w:val="0"/>
              </w:rPr>
              <w:t xml:space="preserve"> (1</w:t>
            </w:r>
            <w:r>
              <w:rPr>
                <w:rFonts w:ascii="Times New Roman" w:eastAsia="Times New Roman" w:hAnsi="Times New Roman"/>
                <w:snapToGrid w:val="0"/>
              </w:rPr>
              <w:t>5</w:t>
            </w:r>
            <w:r w:rsidRPr="00037DA8">
              <w:rPr>
                <w:rFonts w:ascii="Times New Roman" w:eastAsia="Times New Roman" w:hAnsi="Times New Roman"/>
                <w:snapToGrid w:val="0"/>
              </w:rPr>
              <w:t xml:space="preserve">,2)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33474AC" w14:textId="7CF23161"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42F84E9C" w14:textId="77777777"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6C9E43" w14:textId="725D5550" w:rsidR="00253462" w:rsidRPr="00037DA8" w:rsidRDefault="00253462" w:rsidP="00253462">
            <w:pPr>
              <w:tabs>
                <w:tab w:val="left" w:pos="567"/>
              </w:tabs>
              <w:spacing w:after="0" w:line="260" w:lineRule="exact"/>
              <w:rPr>
                <w:rFonts w:ascii="Times New Roman" w:eastAsia="Times New Roman" w:hAnsi="Times New Roman"/>
                <w:snapToGrid w:val="0"/>
              </w:rPr>
            </w:pPr>
            <w:r w:rsidRPr="00F175BE">
              <w:rPr>
                <w:rFonts w:ascii="Times New Roman" w:hAnsi="Times New Roman"/>
              </w:rPr>
              <w:t>24 (2</w:t>
            </w:r>
            <w:r>
              <w:rPr>
                <w:rFonts w:ascii="Times New Roman" w:hAnsi="Times New Roman"/>
              </w:rPr>
              <w:t>,</w:t>
            </w:r>
            <w:r w:rsidRPr="00F175BE">
              <w:rPr>
                <w:rFonts w:ascii="Times New Roman" w:hAnsi="Times New Roman"/>
              </w:rPr>
              <w:t>2)</w:t>
            </w:r>
          </w:p>
        </w:tc>
      </w:tr>
      <w:tr w:rsidR="00253462" w:rsidRPr="00074768" w14:paraId="6D78FC8E" w14:textId="77777777" w:rsidTr="002642B8">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3B5EEF97" w14:textId="77777777"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41A3A83" w14:textId="77777777" w:rsidR="00253462" w:rsidRPr="00037DA8" w:rsidRDefault="00253462" w:rsidP="0025346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Sąnarių skausmas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D439872" w14:textId="019EE0AB"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53C139F" w14:textId="471DA450" w:rsidR="00253462" w:rsidRPr="00037DA8" w:rsidRDefault="00253462" w:rsidP="00253462">
            <w:pPr>
              <w:tabs>
                <w:tab w:val="left" w:pos="567"/>
              </w:tabs>
              <w:spacing w:after="0" w:line="260" w:lineRule="exact"/>
              <w:rPr>
                <w:rFonts w:ascii="Times New Roman" w:eastAsia="Times New Roman" w:hAnsi="Times New Roman"/>
                <w:snapToGrid w:val="0"/>
              </w:rPr>
            </w:pPr>
            <w:r w:rsidRPr="00F175BE">
              <w:rPr>
                <w:rFonts w:ascii="Times New Roman" w:hAnsi="Times New Roman"/>
              </w:rPr>
              <w:t>88 (8</w:t>
            </w:r>
            <w:r>
              <w:rPr>
                <w:rFonts w:ascii="Times New Roman" w:hAnsi="Times New Roman"/>
              </w:rPr>
              <w:t>,</w:t>
            </w:r>
            <w:r w:rsidRPr="00F175BE">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644406A3" w14:textId="77777777"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CC99C2B" w14:textId="573560A3" w:rsidR="00253462" w:rsidRPr="00037DA8" w:rsidRDefault="00253462" w:rsidP="00253462">
            <w:pPr>
              <w:tabs>
                <w:tab w:val="left" w:pos="567"/>
              </w:tabs>
              <w:spacing w:after="0" w:line="260" w:lineRule="exact"/>
              <w:rPr>
                <w:rFonts w:ascii="Times New Roman" w:eastAsia="Times New Roman" w:hAnsi="Times New Roman"/>
                <w:snapToGrid w:val="0"/>
              </w:rPr>
            </w:pPr>
            <w:r w:rsidRPr="00F175BE">
              <w:rPr>
                <w:rFonts w:ascii="Times New Roman" w:hAnsi="Times New Roman"/>
              </w:rPr>
              <w:t>9 (0</w:t>
            </w:r>
            <w:r>
              <w:rPr>
                <w:rFonts w:ascii="Times New Roman" w:hAnsi="Times New Roman"/>
              </w:rPr>
              <w:t>,</w:t>
            </w:r>
            <w:r w:rsidRPr="00F175BE">
              <w:rPr>
                <w:rFonts w:ascii="Times New Roman" w:hAnsi="Times New Roman"/>
              </w:rPr>
              <w:t>8)</w:t>
            </w:r>
          </w:p>
        </w:tc>
      </w:tr>
      <w:tr w:rsidR="00253462" w:rsidRPr="00074768" w14:paraId="7CC5CC02" w14:textId="77777777" w:rsidTr="002642B8">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557DB2BE" w14:textId="77777777"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23F173D" w14:textId="77777777" w:rsidR="00253462" w:rsidRPr="00037DA8" w:rsidRDefault="00253462" w:rsidP="0025346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Galūnių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96B4E6F" w14:textId="35C92EC6" w:rsidR="00253462" w:rsidRPr="00037DA8" w:rsidRDefault="00253462" w:rsidP="0025346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4ACD8E9" w14:textId="02142871" w:rsidR="00253462" w:rsidRPr="00037DA8" w:rsidRDefault="00253462" w:rsidP="00253462">
            <w:pPr>
              <w:tabs>
                <w:tab w:val="left" w:pos="567"/>
              </w:tabs>
              <w:spacing w:after="0" w:line="260" w:lineRule="exact"/>
              <w:rPr>
                <w:rFonts w:ascii="Times New Roman" w:eastAsia="Times New Roman" w:hAnsi="Times New Roman"/>
                <w:snapToGrid w:val="0"/>
              </w:rPr>
            </w:pPr>
            <w:r w:rsidRPr="00F175BE">
              <w:rPr>
                <w:rFonts w:ascii="Times New Roman" w:hAnsi="Times New Roman"/>
              </w:rPr>
              <w:t>76 (7</w:t>
            </w:r>
            <w:r>
              <w:rPr>
                <w:rFonts w:ascii="Times New Roman" w:hAnsi="Times New Roman"/>
              </w:rPr>
              <w:t>,</w:t>
            </w:r>
            <w:r w:rsidRPr="00F175BE">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5930A65E" w14:textId="77777777"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60A1B4A" w14:textId="5A60279A" w:rsidR="00253462" w:rsidRPr="00037DA8" w:rsidRDefault="00253462" w:rsidP="00253462">
            <w:pPr>
              <w:tabs>
                <w:tab w:val="left" w:pos="567"/>
              </w:tabs>
              <w:spacing w:after="0" w:line="260" w:lineRule="exact"/>
              <w:rPr>
                <w:rFonts w:ascii="Times New Roman" w:eastAsia="Times New Roman" w:hAnsi="Times New Roman"/>
                <w:snapToGrid w:val="0"/>
              </w:rPr>
            </w:pPr>
            <w:r w:rsidRPr="00F175BE">
              <w:rPr>
                <w:rFonts w:ascii="Times New Roman" w:hAnsi="Times New Roman"/>
              </w:rPr>
              <w:t>9 (0</w:t>
            </w:r>
            <w:r>
              <w:rPr>
                <w:rFonts w:ascii="Times New Roman" w:hAnsi="Times New Roman"/>
              </w:rPr>
              <w:t>,</w:t>
            </w:r>
            <w:r w:rsidRPr="00F175BE">
              <w:rPr>
                <w:rFonts w:ascii="Times New Roman" w:hAnsi="Times New Roman"/>
              </w:rPr>
              <w:t>8)</w:t>
            </w:r>
          </w:p>
        </w:tc>
      </w:tr>
      <w:tr w:rsidR="00253462" w:rsidRPr="00074768" w14:paraId="36585062" w14:textId="77777777" w:rsidTr="002642B8">
        <w:tblPrEx>
          <w:tblCellMar>
            <w:right w:w="17" w:type="dxa"/>
          </w:tblCellMar>
        </w:tblPrEx>
        <w:trPr>
          <w:trHeight w:val="269"/>
        </w:trPr>
        <w:tc>
          <w:tcPr>
            <w:tcW w:w="2159" w:type="dxa"/>
            <w:vMerge/>
            <w:tcBorders>
              <w:left w:val="single" w:sz="4" w:space="0" w:color="000000"/>
              <w:right w:val="single" w:sz="4" w:space="0" w:color="000000"/>
            </w:tcBorders>
            <w:shd w:val="clear" w:color="auto" w:fill="auto"/>
          </w:tcPr>
          <w:p w14:paraId="4B3058BE" w14:textId="77777777"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8C96025" w14:textId="77777777" w:rsidR="00253462" w:rsidRPr="00037DA8" w:rsidRDefault="00253462" w:rsidP="0025346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Raumenų spazmai</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07A2D3C" w14:textId="35DC33C3" w:rsidR="00253462" w:rsidRPr="00037DA8" w:rsidRDefault="00253462" w:rsidP="0025346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A25F657" w14:textId="5BBA9123" w:rsidR="00253462" w:rsidRPr="00037DA8" w:rsidRDefault="00253462" w:rsidP="00253462">
            <w:pPr>
              <w:tabs>
                <w:tab w:val="left" w:pos="567"/>
              </w:tabs>
              <w:spacing w:after="0" w:line="260" w:lineRule="exact"/>
              <w:rPr>
                <w:rFonts w:ascii="Times New Roman" w:eastAsia="Times New Roman" w:hAnsi="Times New Roman"/>
                <w:snapToGrid w:val="0"/>
              </w:rPr>
            </w:pPr>
            <w:r w:rsidRPr="00F175BE">
              <w:rPr>
                <w:rFonts w:ascii="Times New Roman" w:hAnsi="Times New Roman"/>
              </w:rPr>
              <w:t>51 (4</w:t>
            </w:r>
            <w:r>
              <w:rPr>
                <w:rFonts w:ascii="Times New Roman" w:hAnsi="Times New Roman"/>
              </w:rPr>
              <w:t>,</w:t>
            </w:r>
            <w:r w:rsidRPr="00F175BE">
              <w:rPr>
                <w:rFonts w:ascii="Times New Roman" w:hAnsi="Times New Roman"/>
              </w:rPr>
              <w:t>7)</w:t>
            </w:r>
          </w:p>
        </w:tc>
        <w:tc>
          <w:tcPr>
            <w:tcW w:w="1134" w:type="dxa"/>
            <w:tcBorders>
              <w:top w:val="single" w:sz="4" w:space="0" w:color="000000"/>
              <w:left w:val="single" w:sz="4" w:space="0" w:color="000000"/>
              <w:bottom w:val="single" w:sz="4" w:space="0" w:color="000000"/>
              <w:right w:val="single" w:sz="4" w:space="0" w:color="000000"/>
            </w:tcBorders>
          </w:tcPr>
          <w:p w14:paraId="188B47B8" w14:textId="77777777"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685381" w14:textId="01D581B6" w:rsidR="00253462" w:rsidRPr="00037DA8" w:rsidRDefault="00253462" w:rsidP="0025346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253462" w:rsidRPr="00074768" w14:paraId="1A70FC44" w14:textId="77777777" w:rsidTr="002642B8">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7510953E" w14:textId="77777777"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83A5CF8" w14:textId="77777777" w:rsidR="00253462" w:rsidRPr="00037DA8" w:rsidRDefault="00253462" w:rsidP="0025346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Raumenų skausmas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20D49DF" w14:textId="1F5EC8A1" w:rsidR="00253462" w:rsidRPr="00037DA8" w:rsidRDefault="00253462" w:rsidP="0025346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2D7B732" w14:textId="124384F5" w:rsidR="00253462" w:rsidRPr="00037DA8" w:rsidRDefault="00253462" w:rsidP="00253462">
            <w:pPr>
              <w:tabs>
                <w:tab w:val="left" w:pos="567"/>
              </w:tabs>
              <w:spacing w:after="0" w:line="260" w:lineRule="exact"/>
              <w:rPr>
                <w:rFonts w:ascii="Times New Roman" w:eastAsia="Times New Roman" w:hAnsi="Times New Roman"/>
                <w:snapToGrid w:val="0"/>
              </w:rPr>
            </w:pPr>
            <w:r w:rsidRPr="00F175BE">
              <w:rPr>
                <w:rFonts w:ascii="Times New Roman" w:hAnsi="Times New Roman"/>
              </w:rPr>
              <w:t>40 (3</w:t>
            </w:r>
            <w:r>
              <w:rPr>
                <w:rFonts w:ascii="Times New Roman" w:hAnsi="Times New Roman"/>
              </w:rPr>
              <w:t>,</w:t>
            </w:r>
            <w:r w:rsidRPr="00F175BE">
              <w:rPr>
                <w:rFonts w:ascii="Times New Roman" w:hAnsi="Times New Roman"/>
              </w:rPr>
              <w:t>7)</w:t>
            </w:r>
          </w:p>
        </w:tc>
        <w:tc>
          <w:tcPr>
            <w:tcW w:w="1134" w:type="dxa"/>
            <w:tcBorders>
              <w:top w:val="single" w:sz="4" w:space="0" w:color="000000"/>
              <w:left w:val="single" w:sz="4" w:space="0" w:color="000000"/>
              <w:bottom w:val="single" w:sz="4" w:space="0" w:color="000000"/>
              <w:right w:val="single" w:sz="4" w:space="0" w:color="000000"/>
            </w:tcBorders>
          </w:tcPr>
          <w:p w14:paraId="1CD041DB" w14:textId="77777777"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9BC212" w14:textId="435074E2" w:rsidR="00253462" w:rsidRPr="00037DA8" w:rsidRDefault="00253462" w:rsidP="00253462">
            <w:pPr>
              <w:tabs>
                <w:tab w:val="left" w:pos="567"/>
              </w:tabs>
              <w:spacing w:after="0" w:line="260" w:lineRule="exact"/>
              <w:rPr>
                <w:rFonts w:ascii="Times New Roman" w:eastAsia="Times New Roman" w:hAnsi="Times New Roman"/>
                <w:snapToGrid w:val="0"/>
              </w:rPr>
            </w:pPr>
            <w:r w:rsidRPr="00F175BE">
              <w:rPr>
                <w:rFonts w:ascii="Times New Roman" w:hAnsi="Times New Roman"/>
              </w:rPr>
              <w:t>2 (0</w:t>
            </w:r>
            <w:r>
              <w:rPr>
                <w:rFonts w:ascii="Times New Roman" w:hAnsi="Times New Roman"/>
              </w:rPr>
              <w:t>,</w:t>
            </w:r>
            <w:r w:rsidRPr="00F175BE">
              <w:rPr>
                <w:rFonts w:ascii="Times New Roman" w:hAnsi="Times New Roman"/>
              </w:rPr>
              <w:t>2)</w:t>
            </w:r>
          </w:p>
        </w:tc>
      </w:tr>
      <w:tr w:rsidR="00253462" w:rsidRPr="00074768" w14:paraId="5117C345" w14:textId="77777777" w:rsidTr="002642B8">
        <w:tblPrEx>
          <w:tblCellMar>
            <w:right w:w="17" w:type="dxa"/>
          </w:tblCellMar>
        </w:tblPrEx>
        <w:trPr>
          <w:trHeight w:val="530"/>
        </w:trPr>
        <w:tc>
          <w:tcPr>
            <w:tcW w:w="0" w:type="auto"/>
            <w:vMerge/>
            <w:tcBorders>
              <w:left w:val="single" w:sz="4" w:space="0" w:color="000000"/>
              <w:right w:val="single" w:sz="4" w:space="0" w:color="000000"/>
            </w:tcBorders>
            <w:shd w:val="clear" w:color="auto" w:fill="auto"/>
          </w:tcPr>
          <w:p w14:paraId="7B8A7A5E" w14:textId="77777777"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A8554CC" w14:textId="77777777" w:rsidR="00253462" w:rsidRPr="00037DA8" w:rsidRDefault="00253462" w:rsidP="0025346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Su griaučiais ir raumenimis susijęs krūtinės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812D846" w14:textId="00A0DFB1" w:rsidR="00253462" w:rsidRPr="00037DA8" w:rsidRDefault="00253462" w:rsidP="0025346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5FFB7D1" w14:textId="36B237C2" w:rsidR="00253462" w:rsidRPr="00037DA8" w:rsidRDefault="00253462" w:rsidP="00253462">
            <w:pPr>
              <w:tabs>
                <w:tab w:val="left" w:pos="567"/>
              </w:tabs>
              <w:spacing w:after="0" w:line="260" w:lineRule="exact"/>
              <w:rPr>
                <w:rFonts w:ascii="Times New Roman" w:eastAsia="Times New Roman" w:hAnsi="Times New Roman"/>
                <w:snapToGrid w:val="0"/>
              </w:rPr>
            </w:pPr>
            <w:r w:rsidRPr="00F175BE">
              <w:rPr>
                <w:rFonts w:ascii="Times New Roman" w:hAnsi="Times New Roman"/>
              </w:rPr>
              <w:t>34 (3</w:t>
            </w:r>
            <w:r>
              <w:rPr>
                <w:rFonts w:ascii="Times New Roman" w:hAnsi="Times New Roman"/>
              </w:rPr>
              <w:t>,</w:t>
            </w:r>
            <w:r w:rsidRPr="00F175BE">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5A26B401" w14:textId="77777777"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3BA437" w14:textId="6E11D8A1" w:rsidR="00253462" w:rsidRPr="00037DA8" w:rsidRDefault="00253462" w:rsidP="00253462">
            <w:pPr>
              <w:tabs>
                <w:tab w:val="left" w:pos="567"/>
              </w:tabs>
              <w:spacing w:after="0" w:line="260" w:lineRule="exact"/>
              <w:rPr>
                <w:rFonts w:ascii="Times New Roman" w:eastAsia="Times New Roman" w:hAnsi="Times New Roman"/>
                <w:snapToGrid w:val="0"/>
              </w:rPr>
            </w:pPr>
            <w:r w:rsidRPr="00F175BE">
              <w:rPr>
                <w:rFonts w:ascii="Times New Roman" w:hAnsi="Times New Roman"/>
              </w:rPr>
              <w:t>3 (0</w:t>
            </w:r>
            <w:r>
              <w:rPr>
                <w:rFonts w:ascii="Times New Roman" w:hAnsi="Times New Roman"/>
              </w:rPr>
              <w:t>,</w:t>
            </w:r>
            <w:r w:rsidRPr="00F175BE">
              <w:rPr>
                <w:rFonts w:ascii="Times New Roman" w:hAnsi="Times New Roman"/>
              </w:rPr>
              <w:t>3)</w:t>
            </w:r>
          </w:p>
        </w:tc>
      </w:tr>
      <w:tr w:rsidR="00253462" w:rsidRPr="00074768" w14:paraId="106F9490" w14:textId="77777777" w:rsidTr="000E3AD7">
        <w:tblPrEx>
          <w:tblCellMar>
            <w:right w:w="17" w:type="dxa"/>
          </w:tblCellMar>
        </w:tblPrEx>
        <w:trPr>
          <w:trHeight w:val="269"/>
        </w:trPr>
        <w:tc>
          <w:tcPr>
            <w:tcW w:w="0" w:type="auto"/>
            <w:vMerge/>
            <w:tcBorders>
              <w:left w:val="single" w:sz="4" w:space="0" w:color="000000"/>
              <w:bottom w:val="single" w:sz="4" w:space="0" w:color="000000"/>
              <w:right w:val="single" w:sz="4" w:space="0" w:color="000000"/>
            </w:tcBorders>
            <w:shd w:val="clear" w:color="auto" w:fill="auto"/>
          </w:tcPr>
          <w:p w14:paraId="0B66FDE4" w14:textId="77777777"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926C7D5" w14:textId="511C910A" w:rsidR="00253462" w:rsidRPr="00037DA8" w:rsidRDefault="00253462" w:rsidP="00253462">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Raumenų silpnumas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FCCEC1B" w14:textId="77777777"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8A8459" w14:textId="44079B86" w:rsidR="00253462" w:rsidRPr="00037DA8" w:rsidRDefault="00253462" w:rsidP="00253462">
            <w:pPr>
              <w:tabs>
                <w:tab w:val="left" w:pos="567"/>
              </w:tabs>
              <w:spacing w:after="0" w:line="260" w:lineRule="exact"/>
              <w:rPr>
                <w:rFonts w:ascii="Times New Roman" w:eastAsia="Times New Roman" w:hAnsi="Times New Roman"/>
                <w:snapToGrid w:val="0"/>
              </w:rPr>
            </w:pPr>
            <w:r w:rsidRPr="00F175BE">
              <w:rPr>
                <w:rFonts w:ascii="Times New Roman" w:hAnsi="Times New Roman"/>
              </w:rPr>
              <w:t>31 (2</w:t>
            </w:r>
            <w:r>
              <w:rPr>
                <w:rFonts w:ascii="Times New Roman" w:hAnsi="Times New Roman"/>
              </w:rPr>
              <w:t>,</w:t>
            </w:r>
            <w:r w:rsidRPr="00F175BE">
              <w:rPr>
                <w:rFonts w:ascii="Times New Roman" w:hAnsi="Times New Roman"/>
              </w:rPr>
              <w:t>8)</w:t>
            </w:r>
          </w:p>
        </w:tc>
        <w:tc>
          <w:tcPr>
            <w:tcW w:w="1134" w:type="dxa"/>
            <w:tcBorders>
              <w:top w:val="single" w:sz="4" w:space="0" w:color="000000"/>
              <w:left w:val="single" w:sz="4" w:space="0" w:color="000000"/>
              <w:bottom w:val="single" w:sz="4" w:space="0" w:color="000000"/>
              <w:right w:val="single" w:sz="4" w:space="0" w:color="000000"/>
            </w:tcBorders>
          </w:tcPr>
          <w:p w14:paraId="5404418B" w14:textId="77777777"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534AF6" w14:textId="72E63E1E" w:rsidR="00253462" w:rsidRPr="00037DA8" w:rsidRDefault="00253462" w:rsidP="00253462">
            <w:pPr>
              <w:tabs>
                <w:tab w:val="left" w:pos="567"/>
              </w:tabs>
              <w:spacing w:after="0" w:line="260" w:lineRule="exact"/>
              <w:rPr>
                <w:rFonts w:ascii="Times New Roman" w:eastAsia="Times New Roman" w:hAnsi="Times New Roman"/>
                <w:snapToGrid w:val="0"/>
              </w:rPr>
            </w:pPr>
            <w:r w:rsidRPr="00F175BE">
              <w:rPr>
                <w:rFonts w:ascii="Times New Roman" w:hAnsi="Times New Roman"/>
              </w:rPr>
              <w:t>1 (0</w:t>
            </w:r>
            <w:r>
              <w:rPr>
                <w:rFonts w:ascii="Times New Roman" w:hAnsi="Times New Roman"/>
              </w:rPr>
              <w:t>,</w:t>
            </w:r>
            <w:r w:rsidRPr="00F175BE">
              <w:rPr>
                <w:rFonts w:ascii="Times New Roman" w:hAnsi="Times New Roman"/>
              </w:rPr>
              <w:t>2)</w:t>
            </w:r>
          </w:p>
        </w:tc>
      </w:tr>
      <w:tr w:rsidR="00253462" w:rsidRPr="00074768" w14:paraId="6B366019" w14:textId="77777777" w:rsidTr="002642B8">
        <w:tblPrEx>
          <w:tblCellMar>
            <w:right w:w="17" w:type="dxa"/>
          </w:tblCellMar>
        </w:tblPrEx>
        <w:trPr>
          <w:trHeight w:val="269"/>
        </w:trPr>
        <w:tc>
          <w:tcPr>
            <w:tcW w:w="0" w:type="auto"/>
            <w:vMerge/>
            <w:tcBorders>
              <w:left w:val="single" w:sz="4" w:space="0" w:color="000000"/>
              <w:bottom w:val="single" w:sz="4" w:space="0" w:color="000000"/>
              <w:right w:val="single" w:sz="4" w:space="0" w:color="000000"/>
            </w:tcBorders>
            <w:shd w:val="clear" w:color="auto" w:fill="auto"/>
          </w:tcPr>
          <w:p w14:paraId="17AB207C" w14:textId="77777777"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B09F689" w14:textId="77777777" w:rsidR="00253462" w:rsidRPr="00037DA8" w:rsidRDefault="00253462" w:rsidP="0025346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Šono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843B62A" w14:textId="3DB084E9" w:rsidR="00253462" w:rsidRPr="00037DA8" w:rsidRDefault="00253462" w:rsidP="00253462">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B065A4" w14:textId="37E7B231" w:rsidR="00253462" w:rsidRPr="00037DA8" w:rsidRDefault="00253462" w:rsidP="00253462">
            <w:pPr>
              <w:tabs>
                <w:tab w:val="left" w:pos="567"/>
              </w:tabs>
              <w:spacing w:after="0" w:line="260" w:lineRule="exact"/>
              <w:rPr>
                <w:rFonts w:ascii="Times New Roman" w:eastAsia="Times New Roman" w:hAnsi="Times New Roman"/>
                <w:snapToGrid w:val="0"/>
              </w:rPr>
            </w:pPr>
            <w:r w:rsidRPr="00F175BE">
              <w:rPr>
                <w:rFonts w:ascii="Times New Roman" w:hAnsi="Times New Roman"/>
              </w:rPr>
              <w:t>17 (1</w:t>
            </w:r>
            <w:r>
              <w:rPr>
                <w:rFonts w:ascii="Times New Roman" w:hAnsi="Times New Roman"/>
              </w:rPr>
              <w:t>,</w:t>
            </w:r>
            <w:r w:rsidRPr="00F175BE">
              <w:rPr>
                <w:rFonts w:ascii="Times New Roman" w:hAnsi="Times New Roman"/>
              </w:rPr>
              <w:t>6)</w:t>
            </w:r>
          </w:p>
        </w:tc>
        <w:tc>
          <w:tcPr>
            <w:tcW w:w="1134" w:type="dxa"/>
            <w:tcBorders>
              <w:top w:val="single" w:sz="4" w:space="0" w:color="000000"/>
              <w:left w:val="single" w:sz="4" w:space="0" w:color="000000"/>
              <w:bottom w:val="single" w:sz="4" w:space="0" w:color="000000"/>
              <w:right w:val="single" w:sz="4" w:space="0" w:color="000000"/>
            </w:tcBorders>
          </w:tcPr>
          <w:p w14:paraId="77CCE27E" w14:textId="77777777" w:rsidR="00253462" w:rsidRPr="00037DA8" w:rsidRDefault="00253462" w:rsidP="00253462">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380C22" w14:textId="4EABC995" w:rsidR="00253462" w:rsidRPr="00037DA8" w:rsidRDefault="00253462" w:rsidP="00253462">
            <w:pPr>
              <w:tabs>
                <w:tab w:val="left" w:pos="567"/>
              </w:tabs>
              <w:spacing w:after="0" w:line="260" w:lineRule="exact"/>
              <w:rPr>
                <w:rFonts w:ascii="Times New Roman" w:eastAsia="Times New Roman" w:hAnsi="Times New Roman"/>
                <w:snapToGrid w:val="0"/>
              </w:rPr>
            </w:pPr>
            <w:r w:rsidRPr="00F175BE">
              <w:rPr>
                <w:rFonts w:ascii="Times New Roman" w:hAnsi="Times New Roman"/>
              </w:rPr>
              <w:t>5 (0</w:t>
            </w:r>
            <w:r>
              <w:rPr>
                <w:rFonts w:ascii="Times New Roman" w:hAnsi="Times New Roman"/>
              </w:rPr>
              <w:t>,</w:t>
            </w:r>
            <w:r w:rsidRPr="00F175BE">
              <w:rPr>
                <w:rFonts w:ascii="Times New Roman" w:hAnsi="Times New Roman"/>
              </w:rPr>
              <w:t>5)</w:t>
            </w:r>
          </w:p>
        </w:tc>
      </w:tr>
      <w:tr w:rsidR="00E64811" w:rsidRPr="00074768" w14:paraId="25EDB87D" w14:textId="77777777" w:rsidTr="002642B8">
        <w:tblPrEx>
          <w:tblCellMar>
            <w:right w:w="17" w:type="dxa"/>
          </w:tblCellMar>
        </w:tblPrEx>
        <w:trPr>
          <w:trHeight w:val="271"/>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1180B7" w14:textId="77777777" w:rsidR="00E64811" w:rsidRPr="00074768" w:rsidRDefault="00E64811" w:rsidP="00E64811">
            <w:pPr>
              <w:tabs>
                <w:tab w:val="left" w:pos="567"/>
              </w:tabs>
              <w:spacing w:after="0" w:line="260" w:lineRule="exact"/>
              <w:rPr>
                <w:rFonts w:ascii="Times New Roman" w:eastAsia="Times New Roman" w:hAnsi="Times New Roman"/>
                <w:snapToGrid w:val="0"/>
              </w:rPr>
            </w:pPr>
          </w:p>
          <w:p w14:paraId="5A83BA08" w14:textId="77777777" w:rsidR="00E64811" w:rsidRPr="0085406C" w:rsidRDefault="00E64811" w:rsidP="00E64811">
            <w:pPr>
              <w:tabs>
                <w:tab w:val="left" w:pos="567"/>
              </w:tabs>
              <w:spacing w:after="0" w:line="260" w:lineRule="exact"/>
              <w:rPr>
                <w:rFonts w:ascii="Times New Roman" w:eastAsia="Times New Roman" w:hAnsi="Times New Roman"/>
                <w:snapToGrid w:val="0"/>
              </w:rPr>
            </w:pPr>
          </w:p>
          <w:p w14:paraId="0A849EAD" w14:textId="77777777" w:rsidR="00E64811" w:rsidRPr="004200DB" w:rsidRDefault="00E64811" w:rsidP="00E64811">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Inkstų ir šlapimo takų</w:t>
            </w:r>
          </w:p>
          <w:p w14:paraId="1CC7F731" w14:textId="77777777" w:rsidR="00E64811" w:rsidRPr="004200DB" w:rsidRDefault="00E64811" w:rsidP="00E64811">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E62C9F3" w14:textId="77777777"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Ūminis inkstų nepakankamumas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EEA3D20" w14:textId="2F61336B"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37EA44" w14:textId="3EFE64FD" w:rsidR="00E64811" w:rsidRPr="00037DA8" w:rsidRDefault="00E64811" w:rsidP="00E6481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21</w:t>
            </w:r>
            <w:r w:rsidRPr="0024159B">
              <w:rPr>
                <w:rFonts w:ascii="Times New Roman" w:eastAsia="Times New Roman" w:hAnsi="Times New Roman"/>
                <w:snapToGrid w:val="0"/>
              </w:rPr>
              <w:t xml:space="preserve"> (1,</w:t>
            </w:r>
            <w:r>
              <w:rPr>
                <w:rFonts w:ascii="Times New Roman" w:eastAsia="Times New Roman" w:hAnsi="Times New Roman"/>
                <w:snapToGrid w:val="0"/>
              </w:rPr>
              <w:t>9</w:t>
            </w:r>
            <w:r w:rsidRPr="0024159B">
              <w:rPr>
                <w:rFonts w:ascii="Times New Roman" w:eastAsia="Times New Roman" w:hAnsi="Times New Roman"/>
                <w:snapToGrid w:val="0"/>
              </w:rPr>
              <w:t>)</w:t>
            </w:r>
          </w:p>
        </w:tc>
        <w:tc>
          <w:tcPr>
            <w:tcW w:w="1134" w:type="dxa"/>
            <w:tcBorders>
              <w:top w:val="single" w:sz="4" w:space="0" w:color="000000"/>
              <w:left w:val="single" w:sz="4" w:space="0" w:color="000000"/>
              <w:bottom w:val="single" w:sz="4" w:space="0" w:color="000000"/>
              <w:right w:val="single" w:sz="4" w:space="0" w:color="000000"/>
            </w:tcBorders>
          </w:tcPr>
          <w:p w14:paraId="009F06A6"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22ED13" w14:textId="407524F0" w:rsidR="00E64811" w:rsidRPr="00037DA8" w:rsidRDefault="00E64811" w:rsidP="00E6481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14</w:t>
            </w:r>
            <w:r w:rsidRPr="00037DA8">
              <w:rPr>
                <w:rFonts w:ascii="Times New Roman" w:eastAsia="Times New Roman" w:hAnsi="Times New Roman"/>
                <w:snapToGrid w:val="0"/>
              </w:rPr>
              <w:t xml:space="preserve"> (1,</w:t>
            </w:r>
            <w:r>
              <w:rPr>
                <w:rFonts w:ascii="Times New Roman" w:eastAsia="Times New Roman" w:hAnsi="Times New Roman"/>
                <w:snapToGrid w:val="0"/>
              </w:rPr>
              <w:t>3</w:t>
            </w:r>
            <w:r w:rsidRPr="00037DA8">
              <w:rPr>
                <w:rFonts w:ascii="Times New Roman" w:eastAsia="Times New Roman" w:hAnsi="Times New Roman"/>
                <w:snapToGrid w:val="0"/>
              </w:rPr>
              <w:t xml:space="preserve">) </w:t>
            </w:r>
          </w:p>
        </w:tc>
      </w:tr>
      <w:tr w:rsidR="00E64811" w:rsidRPr="00074768" w14:paraId="4777661B" w14:textId="77777777" w:rsidTr="002642B8">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2BCB4AEF"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1067D28" w14:textId="77777777"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Inkstų nepakankamumas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0FC2233" w14:textId="6916DBA9"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3B8E0FC" w14:textId="2CF5BF62"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563DDB19" w14:textId="6F8A1FEB" w:rsidR="00E64811" w:rsidRPr="00037DA8" w:rsidRDefault="00E64811" w:rsidP="00E6481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8</w:t>
            </w:r>
            <w:r w:rsidRPr="0024159B">
              <w:rPr>
                <w:rFonts w:ascii="Times New Roman" w:eastAsia="Times New Roman" w:hAnsi="Times New Roman"/>
                <w:snapToGrid w:val="0"/>
              </w:rPr>
              <w:t xml:space="preserve"> (</w:t>
            </w:r>
            <w:r>
              <w:rPr>
                <w:rFonts w:ascii="Times New Roman" w:eastAsia="Times New Roman" w:hAnsi="Times New Roman"/>
                <w:snapToGrid w:val="0"/>
              </w:rPr>
              <w:t>0</w:t>
            </w:r>
            <w:r w:rsidRPr="0024159B">
              <w:rPr>
                <w:rFonts w:ascii="Times New Roman" w:eastAsia="Times New Roman" w:hAnsi="Times New Roman"/>
                <w:snapToGrid w:val="0"/>
              </w:rPr>
              <w:t>,</w:t>
            </w:r>
            <w:r>
              <w:rPr>
                <w:rFonts w:ascii="Times New Roman" w:eastAsia="Times New Roman" w:hAnsi="Times New Roman"/>
                <w:snapToGrid w:val="0"/>
              </w:rPr>
              <w:t>7</w:t>
            </w:r>
            <w:r w:rsidRPr="0024159B">
              <w:rPr>
                <w:rFonts w:ascii="Times New Roman" w:eastAsia="Times New Roman" w:hAnsi="Times New Roman"/>
                <w:snapToGrid w:val="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69BF0F3" w14:textId="6ABBD609"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6 (</w:t>
            </w:r>
            <w:r>
              <w:rPr>
                <w:rFonts w:ascii="Times New Roman" w:eastAsia="Times New Roman" w:hAnsi="Times New Roman"/>
                <w:snapToGrid w:val="0"/>
              </w:rPr>
              <w:t>0</w:t>
            </w:r>
            <w:r w:rsidRPr="00037DA8">
              <w:rPr>
                <w:rFonts w:ascii="Times New Roman" w:eastAsia="Times New Roman" w:hAnsi="Times New Roman"/>
                <w:snapToGrid w:val="0"/>
              </w:rPr>
              <w:t>,</w:t>
            </w:r>
            <w:r>
              <w:rPr>
                <w:rFonts w:ascii="Times New Roman" w:eastAsia="Times New Roman" w:hAnsi="Times New Roman"/>
                <w:snapToGrid w:val="0"/>
              </w:rPr>
              <w:t>5</w:t>
            </w:r>
            <w:r w:rsidRPr="00037DA8">
              <w:rPr>
                <w:rFonts w:ascii="Times New Roman" w:eastAsia="Times New Roman" w:hAnsi="Times New Roman"/>
                <w:snapToGrid w:val="0"/>
              </w:rPr>
              <w:t xml:space="preserve">) </w:t>
            </w:r>
          </w:p>
        </w:tc>
      </w:tr>
      <w:tr w:rsidR="00E64811" w:rsidRPr="00074768" w14:paraId="0843624C" w14:textId="77777777" w:rsidTr="002642B8">
        <w:tblPrEx>
          <w:tblCellMar>
            <w:right w:w="17" w:type="dxa"/>
          </w:tblCellMar>
        </w:tblPrEx>
        <w:trPr>
          <w:trHeight w:val="271"/>
        </w:trPr>
        <w:tc>
          <w:tcPr>
            <w:tcW w:w="0" w:type="auto"/>
            <w:vMerge/>
            <w:tcBorders>
              <w:top w:val="nil"/>
              <w:left w:val="single" w:sz="4" w:space="0" w:color="000000"/>
              <w:bottom w:val="nil"/>
              <w:right w:val="single" w:sz="4" w:space="0" w:color="000000"/>
            </w:tcBorders>
            <w:shd w:val="clear" w:color="auto" w:fill="auto"/>
          </w:tcPr>
          <w:p w14:paraId="4A94ECC1"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E4B84E0"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Dizurija</w:t>
            </w:r>
            <w:proofErr w:type="spellEnd"/>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2355A45" w14:textId="430F0364"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D4DB31" w14:textId="3201F14A" w:rsidR="00E64811" w:rsidRPr="00037DA8" w:rsidRDefault="00E64811" w:rsidP="00E6481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52 (4,8)</w:t>
            </w:r>
          </w:p>
        </w:tc>
        <w:tc>
          <w:tcPr>
            <w:tcW w:w="1134" w:type="dxa"/>
            <w:tcBorders>
              <w:top w:val="single" w:sz="4" w:space="0" w:color="000000"/>
              <w:left w:val="single" w:sz="4" w:space="0" w:color="000000"/>
              <w:bottom w:val="single" w:sz="4" w:space="0" w:color="000000"/>
              <w:right w:val="single" w:sz="4" w:space="0" w:color="000000"/>
            </w:tcBorders>
          </w:tcPr>
          <w:p w14:paraId="0543A19C"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7E99D46" w14:textId="4E487312"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E64811" w:rsidRPr="00074768" w14:paraId="33A8C328" w14:textId="77777777" w:rsidTr="002642B8">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1C1EA540"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EB63F19" w14:textId="77777777"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Inkstų </w:t>
            </w:r>
            <w:proofErr w:type="spellStart"/>
            <w:r w:rsidRPr="00037DA8">
              <w:rPr>
                <w:rFonts w:ascii="Times New Roman" w:eastAsia="Times New Roman" w:hAnsi="Times New Roman"/>
                <w:snapToGrid w:val="0"/>
              </w:rPr>
              <w:t>kolika</w:t>
            </w:r>
            <w:proofErr w:type="spellEnd"/>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09F7A6D" w14:textId="0F92752F"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12860FE" w14:textId="00A642A0" w:rsidR="00E64811" w:rsidRPr="00037DA8" w:rsidRDefault="00E64811" w:rsidP="00E64811">
            <w:pPr>
              <w:tabs>
                <w:tab w:val="left" w:pos="567"/>
              </w:tabs>
              <w:spacing w:after="0" w:line="260" w:lineRule="exact"/>
              <w:rPr>
                <w:rFonts w:ascii="Times New Roman" w:eastAsia="Times New Roman" w:hAnsi="Times New Roman"/>
                <w:snapToGrid w:val="0"/>
              </w:rPr>
            </w:pPr>
            <w:r w:rsidRPr="0024159B">
              <w:rPr>
                <w:rFonts w:ascii="Times New Roman" w:eastAsia="Times New Roman" w:hAnsi="Times New Roman"/>
                <w:snapToGrid w:val="0"/>
              </w:rPr>
              <w:t>1</w:t>
            </w:r>
            <w:r>
              <w:rPr>
                <w:rFonts w:ascii="Times New Roman" w:eastAsia="Times New Roman" w:hAnsi="Times New Roman"/>
                <w:snapToGrid w:val="0"/>
              </w:rPr>
              <w:t>4</w:t>
            </w:r>
            <w:r w:rsidRPr="0024159B">
              <w:rPr>
                <w:rFonts w:ascii="Times New Roman" w:eastAsia="Times New Roman" w:hAnsi="Times New Roman"/>
                <w:snapToGrid w:val="0"/>
              </w:rPr>
              <w:t xml:space="preserve"> (1,</w:t>
            </w:r>
            <w:r>
              <w:rPr>
                <w:rFonts w:ascii="Times New Roman" w:eastAsia="Times New Roman" w:hAnsi="Times New Roman"/>
                <w:snapToGrid w:val="0"/>
              </w:rPr>
              <w:t>3</w:t>
            </w:r>
            <w:r w:rsidRPr="0024159B">
              <w:rPr>
                <w:rFonts w:ascii="Times New Roman" w:eastAsia="Times New Roman" w:hAnsi="Times New Roman"/>
                <w:snapToGrid w:val="0"/>
              </w:rPr>
              <w:t>)</w:t>
            </w:r>
          </w:p>
        </w:tc>
        <w:tc>
          <w:tcPr>
            <w:tcW w:w="1134" w:type="dxa"/>
            <w:tcBorders>
              <w:top w:val="single" w:sz="4" w:space="0" w:color="000000"/>
              <w:left w:val="single" w:sz="4" w:space="0" w:color="000000"/>
              <w:bottom w:val="single" w:sz="4" w:space="0" w:color="000000"/>
              <w:right w:val="single" w:sz="4" w:space="0" w:color="000000"/>
            </w:tcBorders>
          </w:tcPr>
          <w:p w14:paraId="55853D4F"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1DCF5C" w14:textId="0556B099" w:rsidR="00E64811" w:rsidRPr="00037DA8" w:rsidRDefault="00E64811" w:rsidP="00E6481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w:t>
            </w:r>
            <w:r w:rsidRPr="00037DA8">
              <w:rPr>
                <w:rFonts w:ascii="Times New Roman" w:eastAsia="Times New Roman" w:hAnsi="Times New Roman"/>
                <w:snapToGrid w:val="0"/>
              </w:rPr>
              <w:t xml:space="preserve"> (0,</w:t>
            </w:r>
            <w:r>
              <w:rPr>
                <w:rFonts w:ascii="Times New Roman" w:eastAsia="Times New Roman" w:hAnsi="Times New Roman"/>
                <w:snapToGrid w:val="0"/>
              </w:rPr>
              <w:t>2</w:t>
            </w:r>
            <w:r w:rsidRPr="00037DA8">
              <w:rPr>
                <w:rFonts w:ascii="Times New Roman" w:eastAsia="Times New Roman" w:hAnsi="Times New Roman"/>
                <w:snapToGrid w:val="0"/>
              </w:rPr>
              <w:t xml:space="preserve">) </w:t>
            </w:r>
          </w:p>
        </w:tc>
      </w:tr>
      <w:tr w:rsidR="00E64811" w:rsidRPr="00074768" w14:paraId="07229DD0" w14:textId="77777777" w:rsidTr="002642B8">
        <w:tblPrEx>
          <w:tblCellMar>
            <w:right w:w="17" w:type="dxa"/>
          </w:tblCellMar>
        </w:tblPrEx>
        <w:trPr>
          <w:trHeight w:val="271"/>
        </w:trPr>
        <w:tc>
          <w:tcPr>
            <w:tcW w:w="0" w:type="auto"/>
            <w:vMerge/>
            <w:tcBorders>
              <w:top w:val="nil"/>
              <w:left w:val="single" w:sz="4" w:space="0" w:color="000000"/>
              <w:bottom w:val="nil"/>
              <w:right w:val="single" w:sz="4" w:space="0" w:color="000000"/>
            </w:tcBorders>
            <w:shd w:val="clear" w:color="auto" w:fill="auto"/>
          </w:tcPr>
          <w:p w14:paraId="6C539AFD"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E6DC45C"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Hematurija</w:t>
            </w:r>
            <w:proofErr w:type="spellEnd"/>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412DF5B" w14:textId="69C18119" w:rsidR="00E64811" w:rsidRPr="00037DA8" w:rsidRDefault="00E64811" w:rsidP="00E6481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205</w:t>
            </w:r>
            <w:r w:rsidRPr="00037DA8">
              <w:rPr>
                <w:rFonts w:ascii="Times New Roman" w:eastAsia="Times New Roman" w:hAnsi="Times New Roman"/>
                <w:snapToGrid w:val="0"/>
              </w:rPr>
              <w:t xml:space="preserve"> (1</w:t>
            </w:r>
            <w:r>
              <w:rPr>
                <w:rFonts w:ascii="Times New Roman" w:eastAsia="Times New Roman" w:hAnsi="Times New Roman"/>
                <w:snapToGrid w:val="0"/>
              </w:rPr>
              <w:t>8</w:t>
            </w:r>
            <w:r w:rsidRPr="00037DA8">
              <w:rPr>
                <w:rFonts w:ascii="Times New Roman" w:eastAsia="Times New Roman" w:hAnsi="Times New Roman"/>
                <w:snapToGrid w:val="0"/>
              </w:rPr>
              <w:t>,</w:t>
            </w:r>
            <w:r>
              <w:rPr>
                <w:rFonts w:ascii="Times New Roman" w:eastAsia="Times New Roman" w:hAnsi="Times New Roman"/>
                <w:snapToGrid w:val="0"/>
              </w:rPr>
              <w:t>8</w:t>
            </w: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30F690B" w14:textId="3F82852A"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789ED83B"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3DB3AD" w14:textId="0D3B7820" w:rsidR="00E64811" w:rsidRPr="00037DA8" w:rsidRDefault="00E64811" w:rsidP="00E6481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33</w:t>
            </w:r>
            <w:r w:rsidRPr="00037DA8">
              <w:rPr>
                <w:rFonts w:ascii="Times New Roman" w:eastAsia="Times New Roman" w:hAnsi="Times New Roman"/>
                <w:snapToGrid w:val="0"/>
              </w:rPr>
              <w:t xml:space="preserve"> (</w:t>
            </w:r>
            <w:r>
              <w:rPr>
                <w:rFonts w:ascii="Times New Roman" w:eastAsia="Times New Roman" w:hAnsi="Times New Roman"/>
                <w:snapToGrid w:val="0"/>
              </w:rPr>
              <w:t>3</w:t>
            </w:r>
            <w:r w:rsidRPr="00037DA8">
              <w:rPr>
                <w:rFonts w:ascii="Times New Roman" w:eastAsia="Times New Roman" w:hAnsi="Times New Roman"/>
                <w:snapToGrid w:val="0"/>
              </w:rPr>
              <w:t>,</w:t>
            </w:r>
            <w:r>
              <w:rPr>
                <w:rFonts w:ascii="Times New Roman" w:eastAsia="Times New Roman" w:hAnsi="Times New Roman"/>
                <w:snapToGrid w:val="0"/>
              </w:rPr>
              <w:t>0</w:t>
            </w:r>
            <w:r w:rsidRPr="00037DA8">
              <w:rPr>
                <w:rFonts w:ascii="Times New Roman" w:eastAsia="Times New Roman" w:hAnsi="Times New Roman"/>
                <w:snapToGrid w:val="0"/>
              </w:rPr>
              <w:t xml:space="preserve">) </w:t>
            </w:r>
          </w:p>
        </w:tc>
      </w:tr>
      <w:tr w:rsidR="00E64811" w:rsidRPr="00074768" w14:paraId="08FC7BD0" w14:textId="77777777" w:rsidTr="002642B8">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560CDD3F"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690ABED"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Polakiurija</w:t>
            </w:r>
            <w:proofErr w:type="spellEnd"/>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7208E79" w14:textId="3D7C0B43"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067698" w14:textId="5AC8E68D" w:rsidR="00E64811" w:rsidRPr="00037DA8" w:rsidRDefault="00E64811" w:rsidP="00E6481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26</w:t>
            </w:r>
            <w:r w:rsidRPr="00BF2C26">
              <w:rPr>
                <w:rFonts w:ascii="Times New Roman" w:eastAsia="Times New Roman" w:hAnsi="Times New Roman"/>
                <w:snapToGrid w:val="0"/>
              </w:rPr>
              <w:t xml:space="preserve"> (</w:t>
            </w:r>
            <w:r>
              <w:rPr>
                <w:rFonts w:ascii="Times New Roman" w:eastAsia="Times New Roman" w:hAnsi="Times New Roman"/>
                <w:snapToGrid w:val="0"/>
              </w:rPr>
              <w:t>2</w:t>
            </w:r>
            <w:r w:rsidRPr="00BF2C26">
              <w:rPr>
                <w:rFonts w:ascii="Times New Roman" w:eastAsia="Times New Roman" w:hAnsi="Times New Roman"/>
                <w:snapToGrid w:val="0"/>
              </w:rPr>
              <w:t>,</w:t>
            </w:r>
            <w:r>
              <w:rPr>
                <w:rFonts w:ascii="Times New Roman" w:eastAsia="Times New Roman" w:hAnsi="Times New Roman"/>
                <w:snapToGrid w:val="0"/>
              </w:rPr>
              <w:t>4</w:t>
            </w:r>
            <w:r w:rsidRPr="00BF2C26">
              <w:rPr>
                <w:rFonts w:ascii="Times New Roman" w:eastAsia="Times New Roman" w:hAnsi="Times New Roman"/>
                <w:snapToGrid w:val="0"/>
              </w:rPr>
              <w:t>)</w:t>
            </w:r>
          </w:p>
        </w:tc>
        <w:tc>
          <w:tcPr>
            <w:tcW w:w="1134" w:type="dxa"/>
            <w:tcBorders>
              <w:top w:val="single" w:sz="4" w:space="0" w:color="000000"/>
              <w:left w:val="single" w:sz="4" w:space="0" w:color="000000"/>
              <w:bottom w:val="single" w:sz="4" w:space="0" w:color="000000"/>
              <w:right w:val="single" w:sz="4" w:space="0" w:color="000000"/>
            </w:tcBorders>
          </w:tcPr>
          <w:p w14:paraId="5839924F"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E009FBA" w14:textId="68418790" w:rsidR="00E64811" w:rsidRPr="00037DA8" w:rsidRDefault="00E64811" w:rsidP="00E6481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w:t>
            </w:r>
            <w:r w:rsidRPr="00037DA8">
              <w:rPr>
                <w:rFonts w:ascii="Times New Roman" w:eastAsia="Times New Roman" w:hAnsi="Times New Roman"/>
                <w:snapToGrid w:val="0"/>
              </w:rPr>
              <w:t xml:space="preserve"> (0,</w:t>
            </w:r>
            <w:r>
              <w:rPr>
                <w:rFonts w:ascii="Times New Roman" w:eastAsia="Times New Roman" w:hAnsi="Times New Roman"/>
                <w:snapToGrid w:val="0"/>
              </w:rPr>
              <w:t>2</w:t>
            </w:r>
            <w:r w:rsidRPr="00037DA8">
              <w:rPr>
                <w:rFonts w:ascii="Times New Roman" w:eastAsia="Times New Roman" w:hAnsi="Times New Roman"/>
                <w:snapToGrid w:val="0"/>
              </w:rPr>
              <w:t xml:space="preserve">) </w:t>
            </w:r>
          </w:p>
        </w:tc>
      </w:tr>
      <w:tr w:rsidR="00E64811" w:rsidRPr="00074768" w14:paraId="27777D6A" w14:textId="77777777" w:rsidTr="002642B8">
        <w:tblPrEx>
          <w:tblCellMar>
            <w:right w:w="17" w:type="dxa"/>
          </w:tblCellMar>
        </w:tblPrEx>
        <w:trPr>
          <w:trHeight w:val="271"/>
        </w:trPr>
        <w:tc>
          <w:tcPr>
            <w:tcW w:w="0" w:type="auto"/>
            <w:vMerge/>
            <w:tcBorders>
              <w:top w:val="nil"/>
              <w:left w:val="single" w:sz="4" w:space="0" w:color="000000"/>
              <w:bottom w:val="nil"/>
              <w:right w:val="single" w:sz="4" w:space="0" w:color="000000"/>
            </w:tcBorders>
            <w:shd w:val="clear" w:color="auto" w:fill="auto"/>
          </w:tcPr>
          <w:p w14:paraId="59269ADA"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90F7131"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Hidronefrozė</w:t>
            </w:r>
            <w:proofErr w:type="spellEnd"/>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0763008" w14:textId="34FA7F12"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11D6477" w14:textId="08E9B4A0" w:rsidR="00E64811" w:rsidRPr="00037DA8" w:rsidRDefault="00E64811" w:rsidP="00E6481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25</w:t>
            </w:r>
            <w:r w:rsidRPr="008C774B">
              <w:rPr>
                <w:rFonts w:ascii="Times New Roman" w:eastAsia="Times New Roman" w:hAnsi="Times New Roman"/>
                <w:snapToGrid w:val="0"/>
              </w:rPr>
              <w:t xml:space="preserve"> (</w:t>
            </w:r>
            <w:r>
              <w:rPr>
                <w:rFonts w:ascii="Times New Roman" w:eastAsia="Times New Roman" w:hAnsi="Times New Roman"/>
                <w:snapToGrid w:val="0"/>
              </w:rPr>
              <w:t>2</w:t>
            </w:r>
            <w:r w:rsidRPr="008C774B">
              <w:rPr>
                <w:rFonts w:ascii="Times New Roman" w:eastAsia="Times New Roman" w:hAnsi="Times New Roman"/>
                <w:snapToGrid w:val="0"/>
              </w:rPr>
              <w:t>,</w:t>
            </w:r>
            <w:r>
              <w:rPr>
                <w:rFonts w:ascii="Times New Roman" w:eastAsia="Times New Roman" w:hAnsi="Times New Roman"/>
                <w:snapToGrid w:val="0"/>
              </w:rPr>
              <w:t>3</w:t>
            </w:r>
            <w:r w:rsidRPr="008C774B">
              <w:rPr>
                <w:rFonts w:ascii="Times New Roman" w:eastAsia="Times New Roman" w:hAnsi="Times New Roman"/>
                <w:snapToGrid w:val="0"/>
              </w:rPr>
              <w:t>)</w:t>
            </w:r>
          </w:p>
        </w:tc>
        <w:tc>
          <w:tcPr>
            <w:tcW w:w="1134" w:type="dxa"/>
            <w:tcBorders>
              <w:top w:val="single" w:sz="4" w:space="0" w:color="000000"/>
              <w:left w:val="single" w:sz="4" w:space="0" w:color="000000"/>
              <w:bottom w:val="single" w:sz="4" w:space="0" w:color="000000"/>
              <w:right w:val="single" w:sz="4" w:space="0" w:color="000000"/>
            </w:tcBorders>
          </w:tcPr>
          <w:p w14:paraId="5A6B475B"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FA426F7" w14:textId="08C324DC" w:rsidR="00E64811" w:rsidRPr="00037DA8" w:rsidRDefault="00E64811" w:rsidP="00E6481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13</w:t>
            </w:r>
            <w:r w:rsidRPr="00037DA8">
              <w:rPr>
                <w:rFonts w:ascii="Times New Roman" w:eastAsia="Times New Roman" w:hAnsi="Times New Roman"/>
                <w:snapToGrid w:val="0"/>
              </w:rPr>
              <w:t xml:space="preserve"> (</w:t>
            </w:r>
            <w:r>
              <w:rPr>
                <w:rFonts w:ascii="Times New Roman" w:eastAsia="Times New Roman" w:hAnsi="Times New Roman"/>
                <w:snapToGrid w:val="0"/>
              </w:rPr>
              <w:t>1</w:t>
            </w:r>
            <w:r w:rsidRPr="00037DA8">
              <w:rPr>
                <w:rFonts w:ascii="Times New Roman" w:eastAsia="Times New Roman" w:hAnsi="Times New Roman"/>
                <w:snapToGrid w:val="0"/>
              </w:rPr>
              <w:t>,</w:t>
            </w:r>
            <w:r>
              <w:rPr>
                <w:rFonts w:ascii="Times New Roman" w:eastAsia="Times New Roman" w:hAnsi="Times New Roman"/>
                <w:snapToGrid w:val="0"/>
              </w:rPr>
              <w:t>2</w:t>
            </w:r>
            <w:r w:rsidRPr="00037DA8">
              <w:rPr>
                <w:rFonts w:ascii="Times New Roman" w:eastAsia="Times New Roman" w:hAnsi="Times New Roman"/>
                <w:snapToGrid w:val="0"/>
              </w:rPr>
              <w:t xml:space="preserve">) </w:t>
            </w:r>
          </w:p>
        </w:tc>
      </w:tr>
      <w:tr w:rsidR="00E64811" w:rsidRPr="00074768" w14:paraId="12D7EA4E" w14:textId="77777777" w:rsidTr="002642B8">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2E132161"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EF43FDC" w14:textId="77777777"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Šlapimo susilaikymas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B42A88C" w14:textId="4169D161"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48E397" w14:textId="13925EB1" w:rsidR="00E64811" w:rsidRPr="00037DA8" w:rsidRDefault="00E64811" w:rsidP="00E64811">
            <w:pPr>
              <w:tabs>
                <w:tab w:val="left" w:pos="567"/>
              </w:tabs>
              <w:spacing w:after="0" w:line="260" w:lineRule="exact"/>
              <w:rPr>
                <w:rFonts w:ascii="Times New Roman" w:eastAsia="Times New Roman" w:hAnsi="Times New Roman"/>
                <w:snapToGrid w:val="0"/>
              </w:rPr>
            </w:pPr>
            <w:r w:rsidRPr="00F175BE">
              <w:rPr>
                <w:rFonts w:ascii="Times New Roman" w:hAnsi="Times New Roman"/>
              </w:rPr>
              <w:t>36 (3</w:t>
            </w:r>
            <w:r>
              <w:rPr>
                <w:rFonts w:ascii="Times New Roman" w:hAnsi="Times New Roman"/>
              </w:rPr>
              <w:t>,</w:t>
            </w:r>
            <w:r w:rsidRPr="00F175BE">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tcPr>
          <w:p w14:paraId="6166D721"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5004E0" w14:textId="714767B7" w:rsidR="00E64811" w:rsidRPr="00037DA8" w:rsidRDefault="00E64811" w:rsidP="00E6481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4</w:t>
            </w:r>
            <w:r w:rsidRPr="00037DA8">
              <w:rPr>
                <w:rFonts w:ascii="Times New Roman" w:eastAsia="Times New Roman" w:hAnsi="Times New Roman"/>
                <w:snapToGrid w:val="0"/>
              </w:rPr>
              <w:t xml:space="preserve"> (0,</w:t>
            </w:r>
            <w:r>
              <w:rPr>
                <w:rFonts w:ascii="Times New Roman" w:eastAsia="Times New Roman" w:hAnsi="Times New Roman"/>
                <w:snapToGrid w:val="0"/>
              </w:rPr>
              <w:t>4</w:t>
            </w:r>
            <w:r w:rsidRPr="00037DA8">
              <w:rPr>
                <w:rFonts w:ascii="Times New Roman" w:eastAsia="Times New Roman" w:hAnsi="Times New Roman"/>
                <w:snapToGrid w:val="0"/>
              </w:rPr>
              <w:t xml:space="preserve">) </w:t>
            </w:r>
          </w:p>
        </w:tc>
      </w:tr>
      <w:tr w:rsidR="00E64811" w:rsidRPr="00074768" w14:paraId="10A6067D" w14:textId="77777777" w:rsidTr="002642B8">
        <w:tblPrEx>
          <w:tblCellMar>
            <w:right w:w="17" w:type="dxa"/>
          </w:tblCellMar>
        </w:tblPrEx>
        <w:trPr>
          <w:trHeight w:val="530"/>
        </w:trPr>
        <w:tc>
          <w:tcPr>
            <w:tcW w:w="0" w:type="auto"/>
            <w:vMerge/>
            <w:tcBorders>
              <w:top w:val="nil"/>
              <w:left w:val="single" w:sz="4" w:space="0" w:color="000000"/>
              <w:bottom w:val="nil"/>
              <w:right w:val="single" w:sz="4" w:space="0" w:color="000000"/>
            </w:tcBorders>
            <w:shd w:val="clear" w:color="auto" w:fill="auto"/>
          </w:tcPr>
          <w:p w14:paraId="00447F84"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EDCA1E0" w14:textId="77777777"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Šlapimo nelaikymas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13AEDAF" w14:textId="5B62D941"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CBD3C99" w14:textId="7A358387" w:rsidR="00E64811" w:rsidRPr="00037DA8" w:rsidRDefault="00E64811" w:rsidP="00E64811">
            <w:pPr>
              <w:tabs>
                <w:tab w:val="left" w:pos="567"/>
              </w:tabs>
              <w:spacing w:after="0" w:line="260" w:lineRule="exact"/>
              <w:rPr>
                <w:rFonts w:ascii="Times New Roman" w:eastAsia="Times New Roman" w:hAnsi="Times New Roman"/>
                <w:snapToGrid w:val="0"/>
              </w:rPr>
            </w:pPr>
            <w:r w:rsidRPr="00F175BE">
              <w:rPr>
                <w:rFonts w:ascii="Times New Roman" w:hAnsi="Times New Roman"/>
              </w:rPr>
              <w:t>22 (2</w:t>
            </w:r>
            <w:r>
              <w:rPr>
                <w:rFonts w:ascii="Times New Roman" w:hAnsi="Times New Roman"/>
              </w:rPr>
              <w:t>,</w:t>
            </w:r>
            <w:r w:rsidRPr="00F175BE">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4C6A32CF"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2CA943E" w14:textId="14ACD31D"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E64811" w:rsidRPr="00074768" w14:paraId="33B9076C" w14:textId="77777777" w:rsidTr="002642B8">
        <w:tblPrEx>
          <w:tblCellMar>
            <w:right w:w="17" w:type="dxa"/>
          </w:tblCellMar>
        </w:tblPrEx>
        <w:trPr>
          <w:trHeight w:val="269"/>
        </w:trPr>
        <w:tc>
          <w:tcPr>
            <w:tcW w:w="0" w:type="auto"/>
            <w:vMerge/>
            <w:tcBorders>
              <w:top w:val="nil"/>
              <w:left w:val="single" w:sz="4" w:space="0" w:color="000000"/>
              <w:bottom w:val="single" w:sz="4" w:space="0" w:color="000000"/>
              <w:right w:val="single" w:sz="4" w:space="0" w:color="000000"/>
            </w:tcBorders>
            <w:shd w:val="clear" w:color="auto" w:fill="auto"/>
          </w:tcPr>
          <w:p w14:paraId="4C539578" w14:textId="77777777"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D99EEF1" w14:textId="77777777"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Šlapimtakio obstrukcija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5705EED" w14:textId="7203C7FA" w:rsidR="00E64811" w:rsidRPr="00037DA8" w:rsidRDefault="00E64811" w:rsidP="00E6481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F69FF6" w14:textId="161BBE6E" w:rsidR="00E64811" w:rsidRPr="00037DA8" w:rsidRDefault="00E64811" w:rsidP="00E64811">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08E96BE1" w14:textId="04F6578C" w:rsidR="00E64811" w:rsidRPr="00037DA8" w:rsidRDefault="00E64811" w:rsidP="00E6481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8 (0,7)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636F7D" w14:textId="41653822" w:rsidR="00E64811" w:rsidRPr="00037DA8" w:rsidRDefault="00E64811" w:rsidP="00E6481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6</w:t>
            </w:r>
            <w:r w:rsidRPr="00037DA8">
              <w:rPr>
                <w:rFonts w:ascii="Times New Roman" w:eastAsia="Times New Roman" w:hAnsi="Times New Roman"/>
                <w:snapToGrid w:val="0"/>
              </w:rPr>
              <w:t xml:space="preserve"> (</w:t>
            </w:r>
            <w:r>
              <w:rPr>
                <w:rFonts w:ascii="Times New Roman" w:eastAsia="Times New Roman" w:hAnsi="Times New Roman"/>
                <w:snapToGrid w:val="0"/>
              </w:rPr>
              <w:t>0</w:t>
            </w:r>
            <w:r w:rsidRPr="00037DA8">
              <w:rPr>
                <w:rFonts w:ascii="Times New Roman" w:eastAsia="Times New Roman" w:hAnsi="Times New Roman"/>
                <w:snapToGrid w:val="0"/>
              </w:rPr>
              <w:t>,</w:t>
            </w:r>
            <w:r>
              <w:rPr>
                <w:rFonts w:ascii="Times New Roman" w:eastAsia="Times New Roman" w:hAnsi="Times New Roman"/>
                <w:snapToGrid w:val="0"/>
              </w:rPr>
              <w:t>5</w:t>
            </w:r>
            <w:r w:rsidRPr="00037DA8">
              <w:rPr>
                <w:rFonts w:ascii="Times New Roman" w:eastAsia="Times New Roman" w:hAnsi="Times New Roman"/>
                <w:snapToGrid w:val="0"/>
              </w:rPr>
              <w:t xml:space="preserve">) </w:t>
            </w:r>
          </w:p>
        </w:tc>
      </w:tr>
      <w:tr w:rsidR="009831A7" w:rsidRPr="00074768" w14:paraId="208DF6C1" w14:textId="77777777" w:rsidTr="002642B8">
        <w:tblPrEx>
          <w:tblCellMar>
            <w:right w:w="17" w:type="dxa"/>
          </w:tblCellMar>
        </w:tblPrEx>
        <w:trPr>
          <w:trHeight w:val="530"/>
        </w:trPr>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5C5E7B1F" w14:textId="77777777" w:rsidR="009831A7" w:rsidRPr="0085406C" w:rsidRDefault="009831A7" w:rsidP="009831A7">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Lytinės sistemos ir krūties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FA639A4" w14:textId="77777777" w:rsidR="009831A7" w:rsidRPr="004200DB" w:rsidRDefault="009831A7" w:rsidP="009831A7">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Dubens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6FE1934" w14:textId="632756B4" w:rsidR="009831A7" w:rsidRPr="004200DB" w:rsidRDefault="009831A7" w:rsidP="009831A7">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19A474" w14:textId="773615DF" w:rsidR="009831A7" w:rsidRPr="00037DA8" w:rsidRDefault="009831A7" w:rsidP="009831A7">
            <w:pPr>
              <w:tabs>
                <w:tab w:val="left" w:pos="567"/>
              </w:tabs>
              <w:spacing w:after="0" w:line="260" w:lineRule="exact"/>
              <w:rPr>
                <w:rFonts w:ascii="Times New Roman" w:eastAsia="Times New Roman" w:hAnsi="Times New Roman"/>
                <w:snapToGrid w:val="0"/>
              </w:rPr>
            </w:pPr>
            <w:r w:rsidRPr="001211CB">
              <w:rPr>
                <w:rFonts w:ascii="Times New Roman" w:eastAsia="Times New Roman" w:hAnsi="Times New Roman"/>
                <w:snapToGrid w:val="0"/>
              </w:rPr>
              <w:t>2</w:t>
            </w:r>
            <w:r>
              <w:rPr>
                <w:rFonts w:ascii="Times New Roman" w:eastAsia="Times New Roman" w:hAnsi="Times New Roman"/>
                <w:snapToGrid w:val="0"/>
              </w:rPr>
              <w:t>0</w:t>
            </w:r>
            <w:r w:rsidRPr="001211CB">
              <w:rPr>
                <w:rFonts w:ascii="Times New Roman" w:eastAsia="Times New Roman" w:hAnsi="Times New Roman"/>
                <w:snapToGrid w:val="0"/>
              </w:rPr>
              <w:t xml:space="preserve"> (</w:t>
            </w:r>
            <w:r>
              <w:rPr>
                <w:rFonts w:ascii="Times New Roman" w:eastAsia="Times New Roman" w:hAnsi="Times New Roman"/>
                <w:snapToGrid w:val="0"/>
              </w:rPr>
              <w:t>1</w:t>
            </w:r>
            <w:r w:rsidRPr="001211CB">
              <w:rPr>
                <w:rFonts w:ascii="Times New Roman" w:eastAsia="Times New Roman" w:hAnsi="Times New Roman"/>
                <w:snapToGrid w:val="0"/>
              </w:rPr>
              <w:t>,</w:t>
            </w:r>
            <w:r>
              <w:rPr>
                <w:rFonts w:ascii="Times New Roman" w:eastAsia="Times New Roman" w:hAnsi="Times New Roman"/>
                <w:snapToGrid w:val="0"/>
              </w:rPr>
              <w:t>8</w:t>
            </w:r>
            <w:r w:rsidRPr="001211CB">
              <w:rPr>
                <w:rFonts w:ascii="Times New Roman" w:eastAsia="Times New Roman" w:hAnsi="Times New Roman"/>
                <w:snapToGrid w:val="0"/>
              </w:rPr>
              <w:t>)</w:t>
            </w:r>
          </w:p>
        </w:tc>
        <w:tc>
          <w:tcPr>
            <w:tcW w:w="1134" w:type="dxa"/>
            <w:tcBorders>
              <w:top w:val="single" w:sz="4" w:space="0" w:color="000000"/>
              <w:left w:val="single" w:sz="4" w:space="0" w:color="000000"/>
              <w:bottom w:val="single" w:sz="4" w:space="0" w:color="000000"/>
              <w:right w:val="single" w:sz="4" w:space="0" w:color="000000"/>
            </w:tcBorders>
          </w:tcPr>
          <w:p w14:paraId="01F1BCCC"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C6B155" w14:textId="70F20E16" w:rsidR="009831A7" w:rsidRPr="00037DA8" w:rsidRDefault="009831A7" w:rsidP="009831A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5</w:t>
            </w:r>
            <w:r w:rsidRPr="00037DA8">
              <w:rPr>
                <w:rFonts w:ascii="Times New Roman" w:eastAsia="Times New Roman" w:hAnsi="Times New Roman"/>
                <w:snapToGrid w:val="0"/>
              </w:rPr>
              <w:t xml:space="preserve"> (0,</w:t>
            </w:r>
            <w:r>
              <w:rPr>
                <w:rFonts w:ascii="Times New Roman" w:eastAsia="Times New Roman" w:hAnsi="Times New Roman"/>
                <w:snapToGrid w:val="0"/>
              </w:rPr>
              <w:t>5</w:t>
            </w:r>
            <w:r w:rsidRPr="00037DA8">
              <w:rPr>
                <w:rFonts w:ascii="Times New Roman" w:eastAsia="Times New Roman" w:hAnsi="Times New Roman"/>
                <w:snapToGrid w:val="0"/>
              </w:rPr>
              <w:t xml:space="preserve">) </w:t>
            </w:r>
          </w:p>
        </w:tc>
      </w:tr>
      <w:tr w:rsidR="009831A7" w:rsidRPr="00074768" w14:paraId="4F1C5A99" w14:textId="77777777" w:rsidTr="002642B8">
        <w:tblPrEx>
          <w:tblCellMar>
            <w:right w:w="17" w:type="dxa"/>
          </w:tblCellMar>
        </w:tblPrEx>
        <w:trPr>
          <w:trHeight w:val="271"/>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3FFAAC" w14:textId="77777777" w:rsidR="009831A7" w:rsidRPr="0085406C" w:rsidRDefault="009831A7" w:rsidP="009831A7">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Bendrieji sutrikimai ir vartojimo vietos pažeidimai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E804093" w14:textId="77777777" w:rsidR="009831A7" w:rsidRPr="004200DB" w:rsidRDefault="009831A7" w:rsidP="009831A7">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Nuovargis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93A01B2" w14:textId="2BCE1667" w:rsidR="009831A7" w:rsidRPr="00037DA8" w:rsidRDefault="009831A7" w:rsidP="009831A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333</w:t>
            </w:r>
            <w:r w:rsidRPr="004200DB">
              <w:rPr>
                <w:rFonts w:ascii="Times New Roman" w:eastAsia="Times New Roman" w:hAnsi="Times New Roman"/>
                <w:snapToGrid w:val="0"/>
              </w:rPr>
              <w:t xml:space="preserve"> (3</w:t>
            </w:r>
            <w:r>
              <w:rPr>
                <w:rFonts w:ascii="Times New Roman" w:eastAsia="Times New Roman" w:hAnsi="Times New Roman"/>
                <w:snapToGrid w:val="0"/>
              </w:rPr>
              <w:t>0</w:t>
            </w:r>
            <w:r w:rsidRPr="00037DA8">
              <w:rPr>
                <w:rFonts w:ascii="Times New Roman" w:eastAsia="Times New Roman" w:hAnsi="Times New Roman"/>
                <w:snapToGrid w:val="0"/>
              </w:rPr>
              <w:t>,</w:t>
            </w:r>
            <w:r>
              <w:rPr>
                <w:rFonts w:ascii="Times New Roman" w:eastAsia="Times New Roman" w:hAnsi="Times New Roman"/>
                <w:snapToGrid w:val="0"/>
              </w:rPr>
              <w:t>5</w:t>
            </w: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15FFB24" w14:textId="1C3E259E"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217B2EE4"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A3284C6" w14:textId="1735DAB8" w:rsidR="009831A7" w:rsidRPr="00037DA8" w:rsidRDefault="009831A7" w:rsidP="009831A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42</w:t>
            </w:r>
            <w:r w:rsidRPr="00037DA8">
              <w:rPr>
                <w:rFonts w:ascii="Times New Roman" w:eastAsia="Times New Roman" w:hAnsi="Times New Roman"/>
                <w:snapToGrid w:val="0"/>
              </w:rPr>
              <w:t xml:space="preserve"> (</w:t>
            </w:r>
            <w:r>
              <w:rPr>
                <w:rFonts w:ascii="Times New Roman" w:eastAsia="Times New Roman" w:hAnsi="Times New Roman"/>
                <w:snapToGrid w:val="0"/>
              </w:rPr>
              <w:t>3</w:t>
            </w:r>
            <w:r w:rsidRPr="00037DA8">
              <w:rPr>
                <w:rFonts w:ascii="Times New Roman" w:eastAsia="Times New Roman" w:hAnsi="Times New Roman"/>
                <w:snapToGrid w:val="0"/>
              </w:rPr>
              <w:t>,</w:t>
            </w:r>
            <w:r>
              <w:rPr>
                <w:rFonts w:ascii="Times New Roman" w:eastAsia="Times New Roman" w:hAnsi="Times New Roman"/>
                <w:snapToGrid w:val="0"/>
              </w:rPr>
              <w:t>8</w:t>
            </w:r>
            <w:r w:rsidRPr="00037DA8">
              <w:rPr>
                <w:rFonts w:ascii="Times New Roman" w:eastAsia="Times New Roman" w:hAnsi="Times New Roman"/>
                <w:snapToGrid w:val="0"/>
              </w:rPr>
              <w:t xml:space="preserve">) </w:t>
            </w:r>
          </w:p>
        </w:tc>
      </w:tr>
      <w:tr w:rsidR="009831A7" w:rsidRPr="00074768" w14:paraId="462BBC61" w14:textId="77777777" w:rsidTr="002642B8">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0DCC820B"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9A58708"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Astenija</w:t>
            </w:r>
            <w:proofErr w:type="spellEnd"/>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E3A3018" w14:textId="081480CA" w:rsidR="009831A7" w:rsidRPr="00037DA8" w:rsidRDefault="009831A7" w:rsidP="009831A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227</w:t>
            </w:r>
            <w:r w:rsidRPr="00037DA8">
              <w:rPr>
                <w:rFonts w:ascii="Times New Roman" w:eastAsia="Times New Roman" w:hAnsi="Times New Roman"/>
                <w:snapToGrid w:val="0"/>
              </w:rPr>
              <w:t xml:space="preserve"> (20,</w:t>
            </w:r>
            <w:r>
              <w:rPr>
                <w:rFonts w:ascii="Times New Roman" w:eastAsia="Times New Roman" w:hAnsi="Times New Roman"/>
                <w:snapToGrid w:val="0"/>
              </w:rPr>
              <w:t>8</w:t>
            </w: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9540206" w14:textId="159D84DA"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2E0123E9"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6DEA34E" w14:textId="56FE4CE7" w:rsidR="009831A7" w:rsidRPr="00037DA8" w:rsidRDefault="009831A7" w:rsidP="009831A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32</w:t>
            </w:r>
            <w:r w:rsidRPr="00037DA8">
              <w:rPr>
                <w:rFonts w:ascii="Times New Roman" w:eastAsia="Times New Roman" w:hAnsi="Times New Roman"/>
                <w:snapToGrid w:val="0"/>
              </w:rPr>
              <w:t xml:space="preserve"> (</w:t>
            </w:r>
            <w:r>
              <w:rPr>
                <w:rFonts w:ascii="Times New Roman" w:eastAsia="Times New Roman" w:hAnsi="Times New Roman"/>
                <w:snapToGrid w:val="0"/>
              </w:rPr>
              <w:t>2</w:t>
            </w:r>
            <w:r w:rsidRPr="00037DA8">
              <w:rPr>
                <w:rFonts w:ascii="Times New Roman" w:eastAsia="Times New Roman" w:hAnsi="Times New Roman"/>
                <w:snapToGrid w:val="0"/>
              </w:rPr>
              <w:t>,</w:t>
            </w:r>
            <w:r>
              <w:rPr>
                <w:rFonts w:ascii="Times New Roman" w:eastAsia="Times New Roman" w:hAnsi="Times New Roman"/>
                <w:snapToGrid w:val="0"/>
              </w:rPr>
              <w:t>9</w:t>
            </w:r>
            <w:r w:rsidRPr="00037DA8">
              <w:rPr>
                <w:rFonts w:ascii="Times New Roman" w:eastAsia="Times New Roman" w:hAnsi="Times New Roman"/>
                <w:snapToGrid w:val="0"/>
              </w:rPr>
              <w:t xml:space="preserve">) </w:t>
            </w:r>
          </w:p>
        </w:tc>
      </w:tr>
      <w:tr w:rsidR="009831A7" w:rsidRPr="00074768" w14:paraId="063E6BC2" w14:textId="77777777" w:rsidTr="002642B8">
        <w:tblPrEx>
          <w:tblCellMar>
            <w:right w:w="17" w:type="dxa"/>
          </w:tblCellMar>
        </w:tblPrEx>
        <w:trPr>
          <w:trHeight w:val="271"/>
        </w:trPr>
        <w:tc>
          <w:tcPr>
            <w:tcW w:w="0" w:type="auto"/>
            <w:vMerge/>
            <w:tcBorders>
              <w:top w:val="nil"/>
              <w:left w:val="single" w:sz="4" w:space="0" w:color="000000"/>
              <w:bottom w:val="nil"/>
              <w:right w:val="single" w:sz="4" w:space="0" w:color="000000"/>
            </w:tcBorders>
            <w:shd w:val="clear" w:color="auto" w:fill="auto"/>
          </w:tcPr>
          <w:p w14:paraId="16E6B54D"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BC5F934" w14:textId="77777777"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Karščiavimas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4F61C80" w14:textId="74D90C1D"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B047D2" w14:textId="45B29857" w:rsidR="009831A7" w:rsidRPr="00037DA8" w:rsidRDefault="009831A7" w:rsidP="009831A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90</w:t>
            </w:r>
            <w:r w:rsidRPr="00037DA8">
              <w:rPr>
                <w:rFonts w:ascii="Times New Roman" w:eastAsia="Times New Roman" w:hAnsi="Times New Roman"/>
                <w:snapToGrid w:val="0"/>
              </w:rPr>
              <w:t xml:space="preserve"> (</w:t>
            </w:r>
            <w:r>
              <w:rPr>
                <w:rFonts w:ascii="Times New Roman" w:eastAsia="Times New Roman" w:hAnsi="Times New Roman"/>
                <w:snapToGrid w:val="0"/>
              </w:rPr>
              <w:t>8</w:t>
            </w:r>
            <w:r w:rsidRPr="00037DA8">
              <w:rPr>
                <w:rFonts w:ascii="Times New Roman" w:eastAsia="Times New Roman" w:hAnsi="Times New Roman"/>
                <w:snapToGrid w:val="0"/>
              </w:rPr>
              <w:t>,</w:t>
            </w:r>
            <w:r>
              <w:rPr>
                <w:rFonts w:ascii="Times New Roman" w:eastAsia="Times New Roman" w:hAnsi="Times New Roman"/>
                <w:snapToGrid w:val="0"/>
              </w:rPr>
              <w:t>2</w:t>
            </w:r>
            <w:r w:rsidRPr="00037DA8">
              <w:rPr>
                <w:rFonts w:ascii="Times New Roman" w:eastAsia="Times New Roman" w:hAnsi="Times New Roman"/>
                <w:snapToGrid w:val="0"/>
              </w:rPr>
              <w:t>)</w:t>
            </w:r>
          </w:p>
        </w:tc>
        <w:tc>
          <w:tcPr>
            <w:tcW w:w="1134" w:type="dxa"/>
            <w:tcBorders>
              <w:top w:val="single" w:sz="4" w:space="0" w:color="000000"/>
              <w:left w:val="single" w:sz="4" w:space="0" w:color="000000"/>
              <w:bottom w:val="single" w:sz="4" w:space="0" w:color="000000"/>
              <w:right w:val="single" w:sz="4" w:space="0" w:color="000000"/>
            </w:tcBorders>
          </w:tcPr>
          <w:p w14:paraId="08BAC06B"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C01DA8" w14:textId="6F8B1958" w:rsidR="009831A7" w:rsidRPr="00037DA8" w:rsidRDefault="009831A7" w:rsidP="009831A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5</w:t>
            </w:r>
            <w:r w:rsidRPr="00037DA8">
              <w:rPr>
                <w:rFonts w:ascii="Times New Roman" w:eastAsia="Times New Roman" w:hAnsi="Times New Roman"/>
                <w:snapToGrid w:val="0"/>
              </w:rPr>
              <w:t xml:space="preserve"> (</w:t>
            </w:r>
            <w:r>
              <w:rPr>
                <w:rFonts w:ascii="Times New Roman" w:eastAsia="Times New Roman" w:hAnsi="Times New Roman"/>
                <w:snapToGrid w:val="0"/>
              </w:rPr>
              <w:t>0</w:t>
            </w:r>
            <w:r w:rsidRPr="00037DA8">
              <w:rPr>
                <w:rFonts w:ascii="Times New Roman" w:eastAsia="Times New Roman" w:hAnsi="Times New Roman"/>
                <w:snapToGrid w:val="0"/>
              </w:rPr>
              <w:t>,</w:t>
            </w:r>
            <w:r>
              <w:rPr>
                <w:rFonts w:ascii="Times New Roman" w:eastAsia="Times New Roman" w:hAnsi="Times New Roman"/>
                <w:snapToGrid w:val="0"/>
              </w:rPr>
              <w:t>5</w:t>
            </w:r>
            <w:r w:rsidRPr="00037DA8">
              <w:rPr>
                <w:rFonts w:ascii="Times New Roman" w:eastAsia="Times New Roman" w:hAnsi="Times New Roman"/>
                <w:snapToGrid w:val="0"/>
              </w:rPr>
              <w:t xml:space="preserve">) </w:t>
            </w:r>
          </w:p>
        </w:tc>
      </w:tr>
      <w:tr w:rsidR="009831A7" w:rsidRPr="00074768" w14:paraId="2F2A4E5B" w14:textId="77777777" w:rsidTr="002642B8">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23B8AE05"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EF8C6A9" w14:textId="77777777"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Periferinė edema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8EA4139" w14:textId="465839B5"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DD4FD0D" w14:textId="41AAAE98" w:rsidR="009831A7" w:rsidRPr="00037DA8" w:rsidRDefault="009831A7" w:rsidP="009831A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96 (8,8)</w:t>
            </w:r>
          </w:p>
        </w:tc>
        <w:tc>
          <w:tcPr>
            <w:tcW w:w="1134" w:type="dxa"/>
            <w:tcBorders>
              <w:top w:val="single" w:sz="4" w:space="0" w:color="000000"/>
              <w:left w:val="single" w:sz="4" w:space="0" w:color="000000"/>
              <w:bottom w:val="single" w:sz="4" w:space="0" w:color="000000"/>
              <w:right w:val="single" w:sz="4" w:space="0" w:color="000000"/>
            </w:tcBorders>
          </w:tcPr>
          <w:p w14:paraId="26F95BFE"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FCB14B" w14:textId="4BF8CEE4"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2 (0,</w:t>
            </w:r>
            <w:r>
              <w:rPr>
                <w:rFonts w:ascii="Times New Roman" w:eastAsia="Times New Roman" w:hAnsi="Times New Roman"/>
                <w:snapToGrid w:val="0"/>
              </w:rPr>
              <w:t>2</w:t>
            </w:r>
            <w:r w:rsidRPr="00037DA8">
              <w:rPr>
                <w:rFonts w:ascii="Times New Roman" w:eastAsia="Times New Roman" w:hAnsi="Times New Roman"/>
                <w:snapToGrid w:val="0"/>
              </w:rPr>
              <w:t xml:space="preserve">) </w:t>
            </w:r>
          </w:p>
        </w:tc>
      </w:tr>
      <w:tr w:rsidR="009831A7" w:rsidRPr="00074768" w14:paraId="5235019A" w14:textId="77777777" w:rsidTr="002642B8">
        <w:tblPrEx>
          <w:tblCellMar>
            <w:right w:w="17" w:type="dxa"/>
          </w:tblCellMar>
        </w:tblPrEx>
        <w:trPr>
          <w:trHeight w:val="530"/>
        </w:trPr>
        <w:tc>
          <w:tcPr>
            <w:tcW w:w="0" w:type="auto"/>
            <w:vMerge/>
            <w:tcBorders>
              <w:top w:val="nil"/>
              <w:left w:val="single" w:sz="4" w:space="0" w:color="000000"/>
              <w:bottom w:val="nil"/>
              <w:right w:val="single" w:sz="4" w:space="0" w:color="000000"/>
            </w:tcBorders>
            <w:shd w:val="clear" w:color="auto" w:fill="auto"/>
          </w:tcPr>
          <w:p w14:paraId="050CD72C"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8A76BDB" w14:textId="77777777"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Gleivinės uždegimas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9E1853B" w14:textId="2325DA38"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BC0E5A6" w14:textId="7E316491" w:rsidR="009831A7" w:rsidRPr="00037DA8" w:rsidRDefault="009831A7" w:rsidP="009831A7">
            <w:pPr>
              <w:tabs>
                <w:tab w:val="left" w:pos="567"/>
              </w:tabs>
              <w:spacing w:after="0" w:line="260" w:lineRule="exact"/>
              <w:rPr>
                <w:rFonts w:ascii="Times New Roman" w:eastAsia="Times New Roman" w:hAnsi="Times New Roman"/>
                <w:snapToGrid w:val="0"/>
              </w:rPr>
            </w:pPr>
            <w:r w:rsidRPr="00F175BE">
              <w:rPr>
                <w:rFonts w:ascii="Times New Roman" w:hAnsi="Times New Roman"/>
              </w:rPr>
              <w:t>23 (2</w:t>
            </w:r>
            <w:r>
              <w:rPr>
                <w:rFonts w:ascii="Times New Roman" w:hAnsi="Times New Roman"/>
              </w:rPr>
              <w:t>,</w:t>
            </w:r>
            <w:r w:rsidRPr="00F175BE">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40CC1D84"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36FA81" w14:textId="47EC00CB" w:rsidR="009831A7" w:rsidRPr="00037DA8" w:rsidRDefault="009831A7" w:rsidP="009831A7">
            <w:pPr>
              <w:tabs>
                <w:tab w:val="left" w:pos="567"/>
              </w:tabs>
              <w:spacing w:after="0" w:line="260" w:lineRule="exact"/>
              <w:rPr>
                <w:rFonts w:ascii="Times New Roman" w:eastAsia="Times New Roman" w:hAnsi="Times New Roman"/>
                <w:snapToGrid w:val="0"/>
              </w:rPr>
            </w:pPr>
            <w:r w:rsidRPr="00F175BE">
              <w:rPr>
                <w:rFonts w:ascii="Times New Roman" w:hAnsi="Times New Roman"/>
              </w:rPr>
              <w:t>1 (&lt;</w:t>
            </w:r>
            <w:r w:rsidR="00C20CC2">
              <w:rPr>
                <w:rFonts w:ascii="Times New Roman" w:hAnsi="Times New Roman"/>
              </w:rPr>
              <w:t> </w:t>
            </w:r>
            <w:r w:rsidRPr="00F175BE">
              <w:rPr>
                <w:rFonts w:ascii="Times New Roman" w:hAnsi="Times New Roman"/>
              </w:rPr>
              <w:t>0</w:t>
            </w:r>
            <w:r>
              <w:rPr>
                <w:rFonts w:ascii="Times New Roman" w:hAnsi="Times New Roman"/>
              </w:rPr>
              <w:t>,</w:t>
            </w:r>
            <w:r w:rsidRPr="00F175BE">
              <w:rPr>
                <w:rFonts w:ascii="Times New Roman" w:hAnsi="Times New Roman"/>
              </w:rPr>
              <w:t>1)</w:t>
            </w:r>
          </w:p>
        </w:tc>
      </w:tr>
      <w:tr w:rsidR="009831A7" w:rsidRPr="00074768" w14:paraId="560F5BAD" w14:textId="77777777" w:rsidTr="002642B8">
        <w:tblPrEx>
          <w:tblCellMar>
            <w:right w:w="17" w:type="dxa"/>
          </w:tblCellMar>
        </w:tblPrEx>
        <w:trPr>
          <w:trHeight w:val="271"/>
        </w:trPr>
        <w:tc>
          <w:tcPr>
            <w:tcW w:w="0" w:type="auto"/>
            <w:vMerge/>
            <w:tcBorders>
              <w:top w:val="nil"/>
              <w:left w:val="single" w:sz="4" w:space="0" w:color="000000"/>
              <w:bottom w:val="nil"/>
              <w:right w:val="single" w:sz="4" w:space="0" w:color="000000"/>
            </w:tcBorders>
            <w:shd w:val="clear" w:color="auto" w:fill="auto"/>
          </w:tcPr>
          <w:p w14:paraId="568B4982"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88FF4E4" w14:textId="77777777"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Skausmas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5B2A18E" w14:textId="43E737CC"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0EC6615" w14:textId="185474F6" w:rsidR="009831A7" w:rsidRPr="00037DA8" w:rsidRDefault="009831A7" w:rsidP="009831A7">
            <w:pPr>
              <w:tabs>
                <w:tab w:val="left" w:pos="567"/>
              </w:tabs>
              <w:spacing w:after="0" w:line="260" w:lineRule="exact"/>
              <w:rPr>
                <w:rFonts w:ascii="Times New Roman" w:eastAsia="Times New Roman" w:hAnsi="Times New Roman"/>
                <w:snapToGrid w:val="0"/>
              </w:rPr>
            </w:pPr>
            <w:r w:rsidRPr="00F175BE">
              <w:rPr>
                <w:rFonts w:ascii="Times New Roman" w:hAnsi="Times New Roman"/>
              </w:rPr>
              <w:t>36 (3</w:t>
            </w:r>
            <w:r>
              <w:rPr>
                <w:rFonts w:ascii="Times New Roman" w:hAnsi="Times New Roman"/>
              </w:rPr>
              <w:t>,</w:t>
            </w:r>
            <w:r w:rsidRPr="00F175BE">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tcPr>
          <w:p w14:paraId="425C672B"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14EE85" w14:textId="7B17D1C3" w:rsidR="009831A7" w:rsidRPr="00037DA8" w:rsidRDefault="009831A7" w:rsidP="009831A7">
            <w:pPr>
              <w:tabs>
                <w:tab w:val="left" w:pos="567"/>
              </w:tabs>
              <w:spacing w:after="0" w:line="260" w:lineRule="exact"/>
              <w:rPr>
                <w:rFonts w:ascii="Times New Roman" w:eastAsia="Times New Roman" w:hAnsi="Times New Roman"/>
                <w:snapToGrid w:val="0"/>
              </w:rPr>
            </w:pPr>
            <w:r w:rsidRPr="00F175BE">
              <w:rPr>
                <w:rFonts w:ascii="Times New Roman" w:hAnsi="Times New Roman"/>
              </w:rPr>
              <w:t>7 (0</w:t>
            </w:r>
            <w:r>
              <w:rPr>
                <w:rFonts w:ascii="Times New Roman" w:hAnsi="Times New Roman"/>
              </w:rPr>
              <w:t>,</w:t>
            </w:r>
            <w:r w:rsidRPr="00F175BE">
              <w:rPr>
                <w:rFonts w:ascii="Times New Roman" w:hAnsi="Times New Roman"/>
              </w:rPr>
              <w:t>6)</w:t>
            </w:r>
          </w:p>
        </w:tc>
      </w:tr>
      <w:tr w:rsidR="009831A7" w:rsidRPr="00074768" w14:paraId="56EE99EA" w14:textId="77777777" w:rsidTr="002642B8">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263CE353"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8E9BB13" w14:textId="77777777"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Krūtinės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9BA8C2A" w14:textId="5BD72238"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49FECF1" w14:textId="6748AC43" w:rsidR="009831A7" w:rsidRPr="00037DA8" w:rsidRDefault="009831A7" w:rsidP="009831A7">
            <w:pPr>
              <w:tabs>
                <w:tab w:val="left" w:pos="567"/>
              </w:tabs>
              <w:spacing w:after="0" w:line="260" w:lineRule="exact"/>
              <w:rPr>
                <w:rFonts w:ascii="Times New Roman" w:eastAsia="Times New Roman" w:hAnsi="Times New Roman"/>
                <w:snapToGrid w:val="0"/>
              </w:rPr>
            </w:pPr>
            <w:r w:rsidRPr="00F175BE">
              <w:rPr>
                <w:rFonts w:ascii="Times New Roman" w:hAnsi="Times New Roman"/>
              </w:rPr>
              <w:t>11 (1</w:t>
            </w:r>
            <w:r>
              <w:rPr>
                <w:rFonts w:ascii="Times New Roman" w:hAnsi="Times New Roman"/>
              </w:rPr>
              <w:t>,</w:t>
            </w:r>
            <w:r w:rsidRPr="00F175BE">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7170540D"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651B08C" w14:textId="6A057216" w:rsidR="009831A7" w:rsidRPr="00037DA8" w:rsidRDefault="009831A7" w:rsidP="009831A7">
            <w:pPr>
              <w:tabs>
                <w:tab w:val="left" w:pos="567"/>
              </w:tabs>
              <w:spacing w:after="0" w:line="260" w:lineRule="exact"/>
              <w:rPr>
                <w:rFonts w:ascii="Times New Roman" w:eastAsia="Times New Roman" w:hAnsi="Times New Roman"/>
                <w:snapToGrid w:val="0"/>
              </w:rPr>
            </w:pPr>
            <w:r w:rsidRPr="00F175BE">
              <w:rPr>
                <w:rFonts w:ascii="Times New Roman" w:hAnsi="Times New Roman"/>
              </w:rPr>
              <w:t>2 (0</w:t>
            </w:r>
            <w:r>
              <w:rPr>
                <w:rFonts w:ascii="Times New Roman" w:hAnsi="Times New Roman"/>
              </w:rPr>
              <w:t>,</w:t>
            </w:r>
            <w:r w:rsidRPr="00F175BE">
              <w:rPr>
                <w:rFonts w:ascii="Times New Roman" w:hAnsi="Times New Roman"/>
              </w:rPr>
              <w:t>2)</w:t>
            </w:r>
          </w:p>
        </w:tc>
      </w:tr>
      <w:tr w:rsidR="009831A7" w:rsidRPr="00074768" w14:paraId="76AC1587" w14:textId="77777777" w:rsidTr="002642B8">
        <w:tblPrEx>
          <w:tblCellMar>
            <w:right w:w="17" w:type="dxa"/>
          </w:tblCellMar>
        </w:tblPrEx>
        <w:trPr>
          <w:trHeight w:val="271"/>
        </w:trPr>
        <w:tc>
          <w:tcPr>
            <w:tcW w:w="0" w:type="auto"/>
            <w:vMerge/>
            <w:tcBorders>
              <w:top w:val="nil"/>
              <w:left w:val="single" w:sz="4" w:space="0" w:color="000000"/>
              <w:bottom w:val="nil"/>
              <w:right w:val="single" w:sz="4" w:space="0" w:color="000000"/>
            </w:tcBorders>
            <w:shd w:val="clear" w:color="auto" w:fill="auto"/>
          </w:tcPr>
          <w:p w14:paraId="1A93828C"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803F4DA" w14:textId="77777777"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Edema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AD50751" w14:textId="6DF69779"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868A24" w14:textId="281DE2DC"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4D29AEB1" w14:textId="50DBC47F" w:rsidR="009831A7" w:rsidRPr="00037DA8" w:rsidRDefault="009831A7" w:rsidP="009831A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8 (0,7)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96E4724" w14:textId="1D94ECF6" w:rsidR="009831A7" w:rsidRPr="00037DA8" w:rsidRDefault="009831A7" w:rsidP="009831A7">
            <w:pPr>
              <w:tabs>
                <w:tab w:val="left" w:pos="567"/>
              </w:tabs>
              <w:spacing w:after="0" w:line="260" w:lineRule="exact"/>
              <w:rPr>
                <w:rFonts w:ascii="Times New Roman" w:eastAsia="Times New Roman" w:hAnsi="Times New Roman"/>
                <w:snapToGrid w:val="0"/>
              </w:rPr>
            </w:pPr>
            <w:r w:rsidRPr="00F175BE">
              <w:rPr>
                <w:rFonts w:ascii="Times New Roman" w:hAnsi="Times New Roman"/>
              </w:rPr>
              <w:t>1 (&lt;</w:t>
            </w:r>
            <w:r w:rsidR="00C20CC2">
              <w:rPr>
                <w:rFonts w:ascii="Times New Roman" w:hAnsi="Times New Roman"/>
              </w:rPr>
              <w:t> </w:t>
            </w:r>
            <w:r w:rsidRPr="00F175BE">
              <w:rPr>
                <w:rFonts w:ascii="Times New Roman" w:hAnsi="Times New Roman"/>
              </w:rPr>
              <w:t>0</w:t>
            </w:r>
            <w:r>
              <w:rPr>
                <w:rFonts w:ascii="Times New Roman" w:hAnsi="Times New Roman"/>
              </w:rPr>
              <w:t>,</w:t>
            </w:r>
            <w:r w:rsidRPr="00F175BE">
              <w:rPr>
                <w:rFonts w:ascii="Times New Roman" w:hAnsi="Times New Roman"/>
              </w:rPr>
              <w:t>1)</w:t>
            </w:r>
          </w:p>
        </w:tc>
      </w:tr>
      <w:tr w:rsidR="009831A7" w:rsidRPr="00074768" w14:paraId="01F71F82" w14:textId="77777777" w:rsidTr="002642B8">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42C2D9FF"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831F283"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Šaltkrėtis</w:t>
            </w:r>
            <w:proofErr w:type="spellEnd"/>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F31747D" w14:textId="75536771"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4EC4A3" w14:textId="1BB43E3C" w:rsidR="009831A7" w:rsidRPr="00037DA8" w:rsidRDefault="009831A7" w:rsidP="009831A7">
            <w:pPr>
              <w:tabs>
                <w:tab w:val="left" w:pos="567"/>
              </w:tabs>
              <w:spacing w:after="0" w:line="260" w:lineRule="exact"/>
              <w:rPr>
                <w:rFonts w:ascii="Times New Roman" w:eastAsia="Times New Roman" w:hAnsi="Times New Roman"/>
                <w:snapToGrid w:val="0"/>
              </w:rPr>
            </w:pPr>
            <w:r w:rsidRPr="00F175BE">
              <w:rPr>
                <w:rFonts w:ascii="Times New Roman" w:hAnsi="Times New Roman"/>
              </w:rPr>
              <w:t>12 (1</w:t>
            </w:r>
            <w:r>
              <w:rPr>
                <w:rFonts w:ascii="Times New Roman" w:hAnsi="Times New Roman"/>
              </w:rPr>
              <w:t>,</w:t>
            </w:r>
            <w:r w:rsidRPr="00F175BE">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6D10C83F"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DA8A43" w14:textId="55563C3B"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9831A7" w:rsidRPr="00074768" w14:paraId="00D382EE" w14:textId="77777777" w:rsidTr="002642B8">
        <w:tblPrEx>
          <w:tblCellMar>
            <w:right w:w="17" w:type="dxa"/>
          </w:tblCellMar>
        </w:tblPrEx>
        <w:trPr>
          <w:trHeight w:val="271"/>
        </w:trPr>
        <w:tc>
          <w:tcPr>
            <w:tcW w:w="0" w:type="auto"/>
            <w:vMerge/>
            <w:tcBorders>
              <w:top w:val="nil"/>
              <w:left w:val="single" w:sz="4" w:space="0" w:color="000000"/>
              <w:bottom w:val="single" w:sz="4" w:space="0" w:color="000000"/>
              <w:right w:val="single" w:sz="4" w:space="0" w:color="000000"/>
            </w:tcBorders>
            <w:shd w:val="clear" w:color="auto" w:fill="auto"/>
          </w:tcPr>
          <w:p w14:paraId="008078AD"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BA22C09" w14:textId="77777777"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Bendrasis negalavimas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7804607" w14:textId="6CC431BA"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0B75CE" w14:textId="3DB493AC" w:rsidR="009831A7" w:rsidRPr="00037DA8" w:rsidRDefault="009831A7" w:rsidP="009831A7">
            <w:pPr>
              <w:tabs>
                <w:tab w:val="left" w:pos="567"/>
              </w:tabs>
              <w:spacing w:after="0" w:line="260" w:lineRule="exact"/>
              <w:rPr>
                <w:rFonts w:ascii="Times New Roman" w:eastAsia="Times New Roman" w:hAnsi="Times New Roman"/>
                <w:snapToGrid w:val="0"/>
              </w:rPr>
            </w:pPr>
            <w:r w:rsidRPr="00F175BE">
              <w:rPr>
                <w:rFonts w:ascii="Times New Roman" w:hAnsi="Times New Roman"/>
              </w:rPr>
              <w:t>21 (1</w:t>
            </w:r>
            <w:r>
              <w:rPr>
                <w:rFonts w:ascii="Times New Roman" w:hAnsi="Times New Roman"/>
              </w:rPr>
              <w:t>,</w:t>
            </w:r>
            <w:r w:rsidRPr="00F175BE">
              <w:rPr>
                <w:rFonts w:ascii="Times New Roman" w:hAnsi="Times New Roman"/>
              </w:rPr>
              <w:t>9)</w:t>
            </w:r>
          </w:p>
        </w:tc>
        <w:tc>
          <w:tcPr>
            <w:tcW w:w="1134" w:type="dxa"/>
            <w:tcBorders>
              <w:top w:val="single" w:sz="4" w:space="0" w:color="000000"/>
              <w:left w:val="single" w:sz="4" w:space="0" w:color="000000"/>
              <w:bottom w:val="single" w:sz="4" w:space="0" w:color="000000"/>
              <w:right w:val="single" w:sz="4" w:space="0" w:color="000000"/>
            </w:tcBorders>
          </w:tcPr>
          <w:p w14:paraId="6180A000"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B30BAB" w14:textId="2E21DEF0"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9831A7" w:rsidRPr="00074768" w14:paraId="398066B2" w14:textId="77777777" w:rsidTr="002642B8">
        <w:tblPrEx>
          <w:tblCellMar>
            <w:right w:w="17" w:type="dxa"/>
          </w:tblCellMar>
        </w:tblPrEx>
        <w:trPr>
          <w:trHeight w:val="269"/>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5295D7" w14:textId="77777777" w:rsidR="009831A7" w:rsidRPr="00F159B6" w:rsidRDefault="009831A7" w:rsidP="009831A7">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Tyrimai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44B277B" w14:textId="77777777" w:rsidR="009831A7" w:rsidRPr="004200DB" w:rsidRDefault="009831A7" w:rsidP="009831A7">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 xml:space="preserve">Kūno svorio </w:t>
            </w:r>
            <w:r w:rsidRPr="004200DB">
              <w:rPr>
                <w:rFonts w:ascii="Times New Roman" w:eastAsia="Times New Roman" w:hAnsi="Times New Roman"/>
                <w:snapToGrid w:val="0"/>
              </w:rPr>
              <w:t>mažėjimas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2367ED7" w14:textId="539204ED" w:rsidR="009831A7" w:rsidRPr="004200DB" w:rsidRDefault="009831A7" w:rsidP="009831A7">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FACB9F8" w14:textId="23D3D0F7" w:rsidR="009831A7" w:rsidRPr="00037DA8" w:rsidRDefault="009831A7" w:rsidP="009831A7">
            <w:pPr>
              <w:tabs>
                <w:tab w:val="left" w:pos="567"/>
              </w:tabs>
              <w:spacing w:after="0" w:line="260" w:lineRule="exact"/>
              <w:rPr>
                <w:rFonts w:ascii="Times New Roman" w:eastAsia="Times New Roman" w:hAnsi="Times New Roman"/>
                <w:snapToGrid w:val="0"/>
              </w:rPr>
            </w:pPr>
            <w:r w:rsidRPr="00F175BE">
              <w:rPr>
                <w:rFonts w:ascii="Times New Roman" w:hAnsi="Times New Roman"/>
              </w:rPr>
              <w:t>81 (7</w:t>
            </w:r>
            <w:r>
              <w:rPr>
                <w:rFonts w:ascii="Times New Roman" w:hAnsi="Times New Roman"/>
              </w:rPr>
              <w:t>,</w:t>
            </w:r>
            <w:r w:rsidRPr="00F175BE">
              <w:rPr>
                <w:rFonts w:ascii="Times New Roman" w:hAnsi="Times New Roman"/>
              </w:rPr>
              <w:t>4)</w:t>
            </w:r>
          </w:p>
        </w:tc>
        <w:tc>
          <w:tcPr>
            <w:tcW w:w="1134" w:type="dxa"/>
            <w:tcBorders>
              <w:top w:val="single" w:sz="4" w:space="0" w:color="000000"/>
              <w:left w:val="single" w:sz="4" w:space="0" w:color="000000"/>
              <w:bottom w:val="single" w:sz="4" w:space="0" w:color="000000"/>
              <w:right w:val="single" w:sz="4" w:space="0" w:color="000000"/>
            </w:tcBorders>
          </w:tcPr>
          <w:p w14:paraId="2C046914"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676452" w14:textId="69EF573A"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9831A7" w:rsidRPr="00074768" w14:paraId="74E4E40F" w14:textId="77777777" w:rsidTr="002642B8">
        <w:tblPrEx>
          <w:tblCellMar>
            <w:right w:w="17" w:type="dxa"/>
          </w:tblCellMar>
        </w:tblPrEx>
        <w:trPr>
          <w:trHeight w:val="790"/>
        </w:trPr>
        <w:tc>
          <w:tcPr>
            <w:tcW w:w="0" w:type="auto"/>
            <w:vMerge/>
            <w:tcBorders>
              <w:top w:val="nil"/>
              <w:left w:val="single" w:sz="4" w:space="0" w:color="000000"/>
              <w:bottom w:val="nil"/>
              <w:right w:val="single" w:sz="4" w:space="0" w:color="000000"/>
            </w:tcBorders>
            <w:shd w:val="clear" w:color="auto" w:fill="auto"/>
          </w:tcPr>
          <w:p w14:paraId="0DF08A64"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FF9DBFE"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Aspartato</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aminotransferazės</w:t>
            </w:r>
            <w:proofErr w:type="spellEnd"/>
            <w:r w:rsidRPr="00037DA8">
              <w:rPr>
                <w:rFonts w:ascii="Times New Roman" w:eastAsia="Times New Roman" w:hAnsi="Times New Roman"/>
                <w:snapToGrid w:val="0"/>
              </w:rPr>
              <w:t xml:space="preserve"> aktyvumo padidėjimas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F798BEC" w14:textId="1004578B"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4F99EBF" w14:textId="119F31BC" w:rsidR="009831A7" w:rsidRPr="00037DA8" w:rsidRDefault="009831A7" w:rsidP="009831A7">
            <w:pPr>
              <w:tabs>
                <w:tab w:val="left" w:pos="567"/>
              </w:tabs>
              <w:spacing w:after="0" w:line="260" w:lineRule="exact"/>
              <w:rPr>
                <w:rFonts w:ascii="Times New Roman" w:eastAsia="Times New Roman" w:hAnsi="Times New Roman"/>
                <w:snapToGrid w:val="0"/>
              </w:rPr>
            </w:pPr>
            <w:r w:rsidRPr="00F175BE">
              <w:rPr>
                <w:rFonts w:ascii="Times New Roman" w:hAnsi="Times New Roman"/>
              </w:rPr>
              <w:t>13 (1</w:t>
            </w:r>
            <w:r>
              <w:rPr>
                <w:rFonts w:ascii="Times New Roman" w:hAnsi="Times New Roman"/>
              </w:rPr>
              <w:t>,</w:t>
            </w:r>
            <w:r w:rsidRPr="00F175BE">
              <w:rPr>
                <w:rFonts w:ascii="Times New Roman" w:hAnsi="Times New Roman"/>
              </w:rPr>
              <w:t>2)</w:t>
            </w:r>
          </w:p>
        </w:tc>
        <w:tc>
          <w:tcPr>
            <w:tcW w:w="1134" w:type="dxa"/>
            <w:tcBorders>
              <w:top w:val="single" w:sz="4" w:space="0" w:color="000000"/>
              <w:left w:val="single" w:sz="4" w:space="0" w:color="000000"/>
              <w:bottom w:val="single" w:sz="4" w:space="0" w:color="000000"/>
              <w:right w:val="single" w:sz="4" w:space="0" w:color="000000"/>
            </w:tcBorders>
          </w:tcPr>
          <w:p w14:paraId="2EBB916E"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74BE033" w14:textId="2343C2A7" w:rsidR="009831A7" w:rsidRPr="00037DA8" w:rsidRDefault="009831A7" w:rsidP="009831A7">
            <w:pPr>
              <w:tabs>
                <w:tab w:val="left" w:pos="567"/>
              </w:tabs>
              <w:spacing w:after="0" w:line="260" w:lineRule="exact"/>
              <w:rPr>
                <w:rFonts w:ascii="Times New Roman" w:eastAsia="Times New Roman" w:hAnsi="Times New Roman"/>
                <w:snapToGrid w:val="0"/>
              </w:rPr>
            </w:pPr>
            <w:r w:rsidRPr="006A1731">
              <w:rPr>
                <w:rFonts w:ascii="Times New Roman" w:eastAsia="Times New Roman" w:hAnsi="Times New Roman"/>
                <w:snapToGrid w:val="0"/>
              </w:rPr>
              <w:t>1 (&lt;</w:t>
            </w:r>
            <w:r w:rsidR="00C20CC2">
              <w:rPr>
                <w:rFonts w:ascii="Times New Roman" w:eastAsia="Times New Roman" w:hAnsi="Times New Roman"/>
                <w:snapToGrid w:val="0"/>
              </w:rPr>
              <w:t> </w:t>
            </w:r>
            <w:r w:rsidRPr="006A1731">
              <w:rPr>
                <w:rFonts w:ascii="Times New Roman" w:eastAsia="Times New Roman" w:hAnsi="Times New Roman"/>
                <w:snapToGrid w:val="0"/>
              </w:rPr>
              <w:t>0,1)</w:t>
            </w:r>
            <w:r w:rsidRPr="00037DA8">
              <w:rPr>
                <w:rFonts w:ascii="Times New Roman" w:eastAsia="Times New Roman" w:hAnsi="Times New Roman"/>
                <w:snapToGrid w:val="0"/>
              </w:rPr>
              <w:t xml:space="preserve"> </w:t>
            </w:r>
          </w:p>
        </w:tc>
      </w:tr>
      <w:tr w:rsidR="009831A7" w:rsidRPr="00074768" w14:paraId="1119D9E8" w14:textId="77777777" w:rsidTr="002642B8">
        <w:tblPrEx>
          <w:tblCellMar>
            <w:right w:w="17" w:type="dxa"/>
          </w:tblCellMar>
        </w:tblPrEx>
        <w:trPr>
          <w:trHeight w:val="530"/>
        </w:trPr>
        <w:tc>
          <w:tcPr>
            <w:tcW w:w="0" w:type="auto"/>
            <w:vMerge/>
            <w:tcBorders>
              <w:top w:val="nil"/>
              <w:left w:val="single" w:sz="4" w:space="0" w:color="000000"/>
              <w:bottom w:val="single" w:sz="4" w:space="0" w:color="000000"/>
              <w:right w:val="single" w:sz="4" w:space="0" w:color="000000"/>
            </w:tcBorders>
            <w:shd w:val="clear" w:color="auto" w:fill="auto"/>
          </w:tcPr>
          <w:p w14:paraId="0C0E03FF"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0BBFA86" w14:textId="77777777" w:rsidR="009831A7" w:rsidRPr="00037DA8" w:rsidRDefault="009831A7" w:rsidP="009831A7">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Transaminazių</w:t>
            </w:r>
            <w:proofErr w:type="spellEnd"/>
            <w:r w:rsidRPr="00037DA8">
              <w:rPr>
                <w:rFonts w:ascii="Times New Roman" w:eastAsia="Times New Roman" w:hAnsi="Times New Roman"/>
                <w:snapToGrid w:val="0"/>
              </w:rPr>
              <w:t xml:space="preserve"> aktyvumo padidėjimas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6869297" w14:textId="798F53D6" w:rsidR="009831A7" w:rsidRPr="00037DA8" w:rsidRDefault="009831A7" w:rsidP="009831A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3B26F44" w14:textId="0A902A69" w:rsidR="009831A7" w:rsidRPr="00037DA8" w:rsidRDefault="009831A7" w:rsidP="009831A7">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2C98EF65" w14:textId="7866804F" w:rsidR="009831A7" w:rsidRPr="00037DA8" w:rsidRDefault="009831A7" w:rsidP="009831A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7</w:t>
            </w:r>
            <w:r w:rsidRPr="006A1731">
              <w:rPr>
                <w:rFonts w:ascii="Times New Roman" w:eastAsia="Times New Roman" w:hAnsi="Times New Roman"/>
                <w:snapToGrid w:val="0"/>
              </w:rPr>
              <w:t xml:space="preserve"> (</w:t>
            </w:r>
            <w:r>
              <w:rPr>
                <w:rFonts w:ascii="Times New Roman" w:eastAsia="Times New Roman" w:hAnsi="Times New Roman"/>
                <w:snapToGrid w:val="0"/>
              </w:rPr>
              <w:t>0</w:t>
            </w:r>
            <w:r w:rsidRPr="006A1731">
              <w:rPr>
                <w:rFonts w:ascii="Times New Roman" w:eastAsia="Times New Roman" w:hAnsi="Times New Roman"/>
                <w:snapToGrid w:val="0"/>
              </w:rPr>
              <w:t>,</w:t>
            </w:r>
            <w:r>
              <w:rPr>
                <w:rFonts w:ascii="Times New Roman" w:eastAsia="Times New Roman" w:hAnsi="Times New Roman"/>
                <w:snapToGrid w:val="0"/>
              </w:rPr>
              <w:t>6</w:t>
            </w:r>
            <w:r w:rsidRPr="006A1731">
              <w:rPr>
                <w:rFonts w:ascii="Times New Roman" w:eastAsia="Times New Roman" w:hAnsi="Times New Roman"/>
                <w:snapToGrid w:val="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635753" w14:textId="57B7C6C0" w:rsidR="009831A7" w:rsidRPr="00037DA8" w:rsidRDefault="009831A7" w:rsidP="009831A7">
            <w:pPr>
              <w:tabs>
                <w:tab w:val="left" w:pos="567"/>
              </w:tabs>
              <w:spacing w:after="0" w:line="260" w:lineRule="exact"/>
              <w:rPr>
                <w:rFonts w:ascii="Times New Roman" w:eastAsia="Times New Roman" w:hAnsi="Times New Roman"/>
                <w:snapToGrid w:val="0"/>
              </w:rPr>
            </w:pPr>
            <w:r w:rsidRPr="006A1731">
              <w:rPr>
                <w:rFonts w:ascii="Times New Roman" w:eastAsia="Times New Roman" w:hAnsi="Times New Roman"/>
                <w:snapToGrid w:val="0"/>
              </w:rPr>
              <w:t>1 (&lt;</w:t>
            </w:r>
            <w:r w:rsidR="00C20CC2">
              <w:rPr>
                <w:rFonts w:ascii="Times New Roman" w:eastAsia="Times New Roman" w:hAnsi="Times New Roman"/>
                <w:snapToGrid w:val="0"/>
              </w:rPr>
              <w:t> </w:t>
            </w:r>
            <w:r w:rsidRPr="006A1731">
              <w:rPr>
                <w:rFonts w:ascii="Times New Roman" w:eastAsia="Times New Roman" w:hAnsi="Times New Roman"/>
                <w:snapToGrid w:val="0"/>
              </w:rPr>
              <w:t>0,1)</w:t>
            </w:r>
          </w:p>
        </w:tc>
      </w:tr>
    </w:tbl>
    <w:p w14:paraId="27C94916" w14:textId="77777777" w:rsidR="00CE71C9" w:rsidRPr="00074768" w:rsidRDefault="00CE71C9" w:rsidP="00CE71C9">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vertAlign w:val="superscript"/>
        </w:rPr>
        <w:t>a</w:t>
      </w:r>
      <w:r w:rsidRPr="00074768">
        <w:rPr>
          <w:rFonts w:ascii="Times New Roman" w:eastAsia="Times New Roman" w:hAnsi="Times New Roman"/>
          <w:snapToGrid w:val="0"/>
        </w:rPr>
        <w:t xml:space="preserve"> remiantis laboratoriniais duomenimis</w:t>
      </w:r>
    </w:p>
    <w:p w14:paraId="7005A67C" w14:textId="772AAED3" w:rsidR="001F0F9B" w:rsidRPr="0085406C" w:rsidRDefault="00CE71C9" w:rsidP="00CE71C9">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 xml:space="preserve">* </w:t>
      </w:r>
      <w:r w:rsidR="00D663E6" w:rsidRPr="00D663E6">
        <w:rPr>
          <w:rFonts w:ascii="Times New Roman" w:eastAsia="Times New Roman" w:hAnsi="Times New Roman"/>
        </w:rPr>
        <w:t xml:space="preserve"> </w:t>
      </w:r>
      <w:r w:rsidR="00D663E6" w:rsidRPr="003730F3">
        <w:rPr>
          <w:rFonts w:ascii="Times New Roman" w:eastAsia="Times New Roman" w:hAnsi="Times New Roman"/>
        </w:rPr>
        <w:t>detaliau aprašyta žemiau</w:t>
      </w:r>
    </w:p>
    <w:p w14:paraId="23D0C68E" w14:textId="77777777" w:rsidR="001F0F9B" w:rsidRPr="004200DB" w:rsidRDefault="001F0F9B" w:rsidP="00267DDB">
      <w:pPr>
        <w:tabs>
          <w:tab w:val="left" w:pos="567"/>
        </w:tabs>
        <w:spacing w:after="0" w:line="260" w:lineRule="exact"/>
        <w:rPr>
          <w:rFonts w:ascii="Times New Roman" w:eastAsia="Times New Roman" w:hAnsi="Times New Roman"/>
          <w:snapToGrid w:val="0"/>
        </w:rPr>
      </w:pPr>
    </w:p>
    <w:p w14:paraId="1B5DF175" w14:textId="77777777" w:rsidR="00CE71C9" w:rsidRPr="004200DB" w:rsidRDefault="00CE71C9" w:rsidP="00CE71C9">
      <w:pPr>
        <w:tabs>
          <w:tab w:val="left" w:pos="567"/>
        </w:tabs>
        <w:spacing w:after="0" w:line="260" w:lineRule="exact"/>
        <w:rPr>
          <w:rFonts w:ascii="Times New Roman" w:eastAsia="Times New Roman" w:hAnsi="Times New Roman"/>
          <w:snapToGrid w:val="0"/>
          <w:u w:val="single"/>
        </w:rPr>
      </w:pPr>
      <w:r w:rsidRPr="004200DB">
        <w:rPr>
          <w:rFonts w:ascii="Times New Roman" w:eastAsia="Times New Roman" w:hAnsi="Times New Roman"/>
          <w:snapToGrid w:val="0"/>
          <w:u w:val="single"/>
        </w:rPr>
        <w:t>Atrinktų nepageidaujamų reakcijų apibūdinimas</w:t>
      </w:r>
    </w:p>
    <w:p w14:paraId="7E04CDFF" w14:textId="77777777" w:rsidR="00CE71C9" w:rsidRPr="00037DA8" w:rsidRDefault="00CE71C9" w:rsidP="00CE71C9">
      <w:pPr>
        <w:tabs>
          <w:tab w:val="left" w:pos="567"/>
        </w:tabs>
        <w:spacing w:after="0" w:line="260" w:lineRule="exact"/>
        <w:rPr>
          <w:rFonts w:ascii="Times New Roman" w:eastAsia="Times New Roman" w:hAnsi="Times New Roman"/>
          <w:i/>
          <w:iCs/>
          <w:snapToGrid w:val="0"/>
        </w:rPr>
      </w:pPr>
    </w:p>
    <w:p w14:paraId="195FAE31" w14:textId="77777777" w:rsidR="00CE71C9" w:rsidRPr="00037DA8" w:rsidRDefault="00CE71C9" w:rsidP="00CE71C9">
      <w:pPr>
        <w:tabs>
          <w:tab w:val="left" w:pos="567"/>
        </w:tabs>
        <w:spacing w:after="0" w:line="260" w:lineRule="exact"/>
        <w:rPr>
          <w:rFonts w:ascii="Times New Roman" w:eastAsia="Times New Roman" w:hAnsi="Times New Roman"/>
          <w:i/>
          <w:iCs/>
          <w:snapToGrid w:val="0"/>
        </w:rPr>
      </w:pPr>
      <w:proofErr w:type="spellStart"/>
      <w:r w:rsidRPr="00037DA8">
        <w:rPr>
          <w:rFonts w:ascii="Times New Roman" w:eastAsia="Times New Roman" w:hAnsi="Times New Roman"/>
          <w:i/>
          <w:iCs/>
          <w:snapToGrid w:val="0"/>
        </w:rPr>
        <w:t>Neutropenija</w:t>
      </w:r>
      <w:proofErr w:type="spellEnd"/>
      <w:r w:rsidRPr="00037DA8">
        <w:rPr>
          <w:rFonts w:ascii="Times New Roman" w:eastAsia="Times New Roman" w:hAnsi="Times New Roman"/>
          <w:i/>
          <w:iCs/>
          <w:snapToGrid w:val="0"/>
        </w:rPr>
        <w:t xml:space="preserve"> ir susiję klinikiniai reiškiniai</w:t>
      </w:r>
    </w:p>
    <w:p w14:paraId="1BDFC249" w14:textId="61D4473B" w:rsidR="00CF7E9D" w:rsidRPr="00C5317C" w:rsidRDefault="00CF7E9D" w:rsidP="00CF7E9D">
      <w:pPr>
        <w:tabs>
          <w:tab w:val="left" w:pos="567"/>
        </w:tabs>
        <w:spacing w:after="0" w:line="260" w:lineRule="exact"/>
        <w:rPr>
          <w:rFonts w:ascii="Times New Roman" w:eastAsia="Times New Roman" w:hAnsi="Times New Roman"/>
          <w:snapToGrid w:val="0"/>
        </w:rPr>
      </w:pPr>
      <w:r w:rsidRPr="00C5317C">
        <w:rPr>
          <w:rFonts w:ascii="Times New Roman" w:eastAsia="Times New Roman" w:hAnsi="Times New Roman"/>
          <w:snapToGrid w:val="0"/>
        </w:rPr>
        <w:lastRenderedPageBreak/>
        <w:t xml:space="preserve">Nustatyta, kad G-KSF vartojimas mažina </w:t>
      </w:r>
      <w:proofErr w:type="spellStart"/>
      <w:r w:rsidRPr="00C5317C">
        <w:rPr>
          <w:rFonts w:ascii="Times New Roman" w:eastAsia="Times New Roman" w:hAnsi="Times New Roman"/>
          <w:snapToGrid w:val="0"/>
        </w:rPr>
        <w:t>neutropenijos</w:t>
      </w:r>
      <w:proofErr w:type="spellEnd"/>
      <w:r w:rsidRPr="00C5317C">
        <w:rPr>
          <w:rFonts w:ascii="Times New Roman" w:eastAsia="Times New Roman" w:hAnsi="Times New Roman"/>
          <w:snapToGrid w:val="0"/>
        </w:rPr>
        <w:t xml:space="preserve"> dažnį ir sunkumą (žr. 4.2 ir 4.4</w:t>
      </w:r>
      <w:r w:rsidR="00C25E8C">
        <w:rPr>
          <w:rFonts w:ascii="Times New Roman" w:eastAsia="Times New Roman" w:hAnsi="Times New Roman"/>
          <w:snapToGrid w:val="0"/>
        </w:rPr>
        <w:t> </w:t>
      </w:r>
      <w:r w:rsidRPr="00C5317C">
        <w:rPr>
          <w:rFonts w:ascii="Times New Roman" w:eastAsia="Times New Roman" w:hAnsi="Times New Roman"/>
          <w:snapToGrid w:val="0"/>
        </w:rPr>
        <w:t>skyrius).</w:t>
      </w:r>
    </w:p>
    <w:p w14:paraId="722D287C" w14:textId="77777777" w:rsidR="00CF7E9D" w:rsidRPr="00C5317C" w:rsidRDefault="00CF7E9D" w:rsidP="00CF7E9D">
      <w:pPr>
        <w:tabs>
          <w:tab w:val="left" w:pos="567"/>
        </w:tabs>
        <w:spacing w:after="0" w:line="260" w:lineRule="exact"/>
        <w:rPr>
          <w:rFonts w:ascii="Times New Roman" w:eastAsia="Times New Roman" w:hAnsi="Times New Roman"/>
          <w:snapToGrid w:val="0"/>
        </w:rPr>
      </w:pPr>
      <w:r w:rsidRPr="00C5317C">
        <w:rPr>
          <w:rFonts w:ascii="Times New Roman" w:eastAsia="Times New Roman" w:hAnsi="Times New Roman"/>
          <w:snapToGrid w:val="0"/>
        </w:rPr>
        <w:t>≥</w:t>
      </w:r>
      <w:r>
        <w:rPr>
          <w:rFonts w:ascii="Times New Roman" w:eastAsia="Times New Roman" w:hAnsi="Times New Roman"/>
          <w:snapToGrid w:val="0"/>
        </w:rPr>
        <w:t> </w:t>
      </w:r>
      <w:r w:rsidRPr="00C5317C">
        <w:rPr>
          <w:rFonts w:ascii="Times New Roman" w:eastAsia="Times New Roman" w:hAnsi="Times New Roman"/>
          <w:snapToGrid w:val="0"/>
        </w:rPr>
        <w:t xml:space="preserve">3 laipsnio </w:t>
      </w:r>
      <w:proofErr w:type="spellStart"/>
      <w:r w:rsidRPr="00C5317C">
        <w:rPr>
          <w:rFonts w:ascii="Times New Roman" w:eastAsia="Times New Roman" w:hAnsi="Times New Roman"/>
          <w:snapToGrid w:val="0"/>
        </w:rPr>
        <w:t>neutropenijos</w:t>
      </w:r>
      <w:proofErr w:type="spellEnd"/>
      <w:r w:rsidRPr="00C5317C">
        <w:rPr>
          <w:rFonts w:ascii="Times New Roman" w:eastAsia="Times New Roman" w:hAnsi="Times New Roman"/>
          <w:snapToGrid w:val="0"/>
        </w:rPr>
        <w:t xml:space="preserve"> (remiantis laboratoriniais duomenimis) dažnis skyrėsi priklausomai nuo G-</w:t>
      </w:r>
      <w:r>
        <w:rPr>
          <w:rFonts w:ascii="Times New Roman" w:eastAsia="Times New Roman" w:hAnsi="Times New Roman"/>
          <w:snapToGrid w:val="0"/>
        </w:rPr>
        <w:t> </w:t>
      </w:r>
      <w:r w:rsidRPr="00C5317C">
        <w:rPr>
          <w:rFonts w:ascii="Times New Roman" w:eastAsia="Times New Roman" w:hAnsi="Times New Roman"/>
          <w:snapToGrid w:val="0"/>
        </w:rPr>
        <w:t>KSF vartojimo ir buvo nuo 44,7</w:t>
      </w:r>
      <w:r>
        <w:rPr>
          <w:rFonts w:ascii="Times New Roman" w:eastAsia="Times New Roman" w:hAnsi="Times New Roman"/>
          <w:snapToGrid w:val="0"/>
        </w:rPr>
        <w:t> </w:t>
      </w:r>
      <w:r w:rsidRPr="00C5317C">
        <w:rPr>
          <w:rFonts w:ascii="Times New Roman" w:eastAsia="Times New Roman" w:hAnsi="Times New Roman"/>
          <w:snapToGrid w:val="0"/>
        </w:rPr>
        <w:t>% iki 76,7</w:t>
      </w:r>
      <w:r>
        <w:rPr>
          <w:rFonts w:ascii="Times New Roman" w:eastAsia="Times New Roman" w:hAnsi="Times New Roman"/>
          <w:snapToGrid w:val="0"/>
        </w:rPr>
        <w:t> </w:t>
      </w:r>
      <w:r w:rsidRPr="00C5317C">
        <w:rPr>
          <w:rFonts w:ascii="Times New Roman" w:eastAsia="Times New Roman" w:hAnsi="Times New Roman"/>
          <w:snapToGrid w:val="0"/>
        </w:rPr>
        <w:t>% (mažiausias dažnis praneštas skiriant profilaktiką G-</w:t>
      </w:r>
      <w:r>
        <w:rPr>
          <w:rFonts w:ascii="Times New Roman" w:eastAsia="Times New Roman" w:hAnsi="Times New Roman"/>
          <w:snapToGrid w:val="0"/>
        </w:rPr>
        <w:t> </w:t>
      </w:r>
      <w:r w:rsidRPr="00C5317C">
        <w:rPr>
          <w:rFonts w:ascii="Times New Roman" w:eastAsia="Times New Roman" w:hAnsi="Times New Roman"/>
          <w:snapToGrid w:val="0"/>
        </w:rPr>
        <w:t>KSF). Taip pat ≥</w:t>
      </w:r>
      <w:r>
        <w:rPr>
          <w:rFonts w:ascii="Times New Roman" w:eastAsia="Times New Roman" w:hAnsi="Times New Roman"/>
          <w:snapToGrid w:val="0"/>
        </w:rPr>
        <w:t> </w:t>
      </w:r>
      <w:r w:rsidRPr="00C5317C">
        <w:rPr>
          <w:rFonts w:ascii="Times New Roman" w:eastAsia="Times New Roman" w:hAnsi="Times New Roman"/>
          <w:snapToGrid w:val="0"/>
        </w:rPr>
        <w:t xml:space="preserve">3 laipsnio </w:t>
      </w:r>
      <w:proofErr w:type="spellStart"/>
      <w:r w:rsidRPr="00C5317C">
        <w:rPr>
          <w:rFonts w:ascii="Times New Roman" w:eastAsia="Times New Roman" w:hAnsi="Times New Roman"/>
          <w:snapToGrid w:val="0"/>
        </w:rPr>
        <w:t>febrilios</w:t>
      </w:r>
      <w:proofErr w:type="spellEnd"/>
      <w:r w:rsidRPr="00C5317C">
        <w:rPr>
          <w:rFonts w:ascii="Times New Roman" w:eastAsia="Times New Roman" w:hAnsi="Times New Roman"/>
          <w:snapToGrid w:val="0"/>
        </w:rPr>
        <w:t xml:space="preserve"> </w:t>
      </w:r>
      <w:proofErr w:type="spellStart"/>
      <w:r w:rsidRPr="00C5317C">
        <w:rPr>
          <w:rFonts w:ascii="Times New Roman" w:eastAsia="Times New Roman" w:hAnsi="Times New Roman"/>
          <w:snapToGrid w:val="0"/>
        </w:rPr>
        <w:t>neutropenijos</w:t>
      </w:r>
      <w:proofErr w:type="spellEnd"/>
      <w:r w:rsidRPr="00C5317C">
        <w:rPr>
          <w:rFonts w:ascii="Times New Roman" w:eastAsia="Times New Roman" w:hAnsi="Times New Roman"/>
          <w:snapToGrid w:val="0"/>
        </w:rPr>
        <w:t xml:space="preserve"> dažnis svyravo nuo 3,2</w:t>
      </w:r>
      <w:r>
        <w:rPr>
          <w:rFonts w:ascii="Times New Roman" w:eastAsia="Times New Roman" w:hAnsi="Times New Roman"/>
          <w:snapToGrid w:val="0"/>
        </w:rPr>
        <w:t> </w:t>
      </w:r>
      <w:r w:rsidRPr="00C5317C">
        <w:rPr>
          <w:rFonts w:ascii="Times New Roman" w:eastAsia="Times New Roman" w:hAnsi="Times New Roman"/>
          <w:snapToGrid w:val="0"/>
        </w:rPr>
        <w:t>% iki 8,6</w:t>
      </w:r>
      <w:r>
        <w:rPr>
          <w:rFonts w:ascii="Times New Roman" w:eastAsia="Times New Roman" w:hAnsi="Times New Roman"/>
          <w:snapToGrid w:val="0"/>
        </w:rPr>
        <w:t> </w:t>
      </w:r>
      <w:r w:rsidRPr="00C5317C">
        <w:rPr>
          <w:rFonts w:ascii="Times New Roman" w:eastAsia="Times New Roman" w:hAnsi="Times New Roman"/>
          <w:snapToGrid w:val="0"/>
        </w:rPr>
        <w:t>%.</w:t>
      </w:r>
    </w:p>
    <w:p w14:paraId="570C2C4F" w14:textId="0BAC4461" w:rsidR="00CE71C9" w:rsidRPr="0085406C" w:rsidRDefault="00CF7E9D" w:rsidP="00CE71C9">
      <w:pPr>
        <w:tabs>
          <w:tab w:val="left" w:pos="567"/>
        </w:tabs>
        <w:spacing w:after="0" w:line="260" w:lineRule="exact"/>
        <w:rPr>
          <w:rFonts w:ascii="Times New Roman" w:eastAsia="Times New Roman" w:hAnsi="Times New Roman"/>
          <w:snapToGrid w:val="0"/>
        </w:rPr>
      </w:pPr>
      <w:r w:rsidRPr="00C5317C">
        <w:rPr>
          <w:rFonts w:ascii="Times New Roman" w:eastAsia="Times New Roman" w:hAnsi="Times New Roman"/>
          <w:snapToGrid w:val="0"/>
        </w:rPr>
        <w:t xml:space="preserve">Apie </w:t>
      </w:r>
      <w:proofErr w:type="spellStart"/>
      <w:r w:rsidRPr="00C5317C">
        <w:rPr>
          <w:rFonts w:ascii="Times New Roman" w:eastAsia="Times New Roman" w:hAnsi="Times New Roman"/>
          <w:snapToGrid w:val="0"/>
        </w:rPr>
        <w:t>neutropenines</w:t>
      </w:r>
      <w:proofErr w:type="spellEnd"/>
      <w:r w:rsidRPr="00C5317C">
        <w:rPr>
          <w:rFonts w:ascii="Times New Roman" w:eastAsia="Times New Roman" w:hAnsi="Times New Roman"/>
          <w:snapToGrid w:val="0"/>
        </w:rPr>
        <w:t xml:space="preserve"> komplikacijas (įskaitant </w:t>
      </w:r>
      <w:proofErr w:type="spellStart"/>
      <w:r w:rsidRPr="00C5317C">
        <w:rPr>
          <w:rFonts w:ascii="Times New Roman" w:eastAsia="Times New Roman" w:hAnsi="Times New Roman"/>
          <w:snapToGrid w:val="0"/>
        </w:rPr>
        <w:t>febrilią</w:t>
      </w:r>
      <w:proofErr w:type="spellEnd"/>
      <w:r w:rsidRPr="00C5317C">
        <w:rPr>
          <w:rFonts w:ascii="Times New Roman" w:eastAsia="Times New Roman" w:hAnsi="Times New Roman"/>
          <w:snapToGrid w:val="0"/>
        </w:rPr>
        <w:t xml:space="preserve"> </w:t>
      </w:r>
      <w:proofErr w:type="spellStart"/>
      <w:r w:rsidRPr="00C5317C">
        <w:rPr>
          <w:rFonts w:ascii="Times New Roman" w:eastAsia="Times New Roman" w:hAnsi="Times New Roman"/>
          <w:snapToGrid w:val="0"/>
        </w:rPr>
        <w:t>neutropeniją</w:t>
      </w:r>
      <w:proofErr w:type="spellEnd"/>
      <w:r w:rsidRPr="00C5317C">
        <w:rPr>
          <w:rFonts w:ascii="Times New Roman" w:eastAsia="Times New Roman" w:hAnsi="Times New Roman"/>
          <w:snapToGrid w:val="0"/>
        </w:rPr>
        <w:t xml:space="preserve">, </w:t>
      </w:r>
      <w:proofErr w:type="spellStart"/>
      <w:r w:rsidRPr="00C5317C">
        <w:rPr>
          <w:rFonts w:ascii="Times New Roman" w:eastAsia="Times New Roman" w:hAnsi="Times New Roman"/>
          <w:snapToGrid w:val="0"/>
        </w:rPr>
        <w:t>neutropeninę</w:t>
      </w:r>
      <w:proofErr w:type="spellEnd"/>
      <w:r w:rsidRPr="00C5317C">
        <w:rPr>
          <w:rFonts w:ascii="Times New Roman" w:eastAsia="Times New Roman" w:hAnsi="Times New Roman"/>
          <w:snapToGrid w:val="0"/>
        </w:rPr>
        <w:t xml:space="preserve"> infekciją / sepsį ir </w:t>
      </w:r>
      <w:proofErr w:type="spellStart"/>
      <w:r w:rsidRPr="00C5317C">
        <w:rPr>
          <w:rFonts w:ascii="Times New Roman" w:eastAsia="Times New Roman" w:hAnsi="Times New Roman"/>
          <w:snapToGrid w:val="0"/>
        </w:rPr>
        <w:t>neutropeninį</w:t>
      </w:r>
      <w:proofErr w:type="spellEnd"/>
      <w:r w:rsidRPr="00C5317C">
        <w:rPr>
          <w:rFonts w:ascii="Times New Roman" w:eastAsia="Times New Roman" w:hAnsi="Times New Roman"/>
          <w:snapToGrid w:val="0"/>
        </w:rPr>
        <w:t xml:space="preserve"> kolitą), kurios kai kuriais atvejais buvo mirtinos, pranešta 4,0</w:t>
      </w:r>
      <w:r>
        <w:rPr>
          <w:rFonts w:ascii="Times New Roman" w:eastAsia="Times New Roman" w:hAnsi="Times New Roman"/>
          <w:snapToGrid w:val="0"/>
        </w:rPr>
        <w:t> </w:t>
      </w:r>
      <w:r w:rsidRPr="00C5317C">
        <w:rPr>
          <w:rFonts w:ascii="Times New Roman" w:eastAsia="Times New Roman" w:hAnsi="Times New Roman"/>
          <w:snapToGrid w:val="0"/>
        </w:rPr>
        <w:t>% pacientų, kuriems taikyta pirminė profilaktika G-KSF, ir 12,8</w:t>
      </w:r>
      <w:r>
        <w:rPr>
          <w:rFonts w:ascii="Times New Roman" w:eastAsia="Times New Roman" w:hAnsi="Times New Roman"/>
          <w:snapToGrid w:val="0"/>
        </w:rPr>
        <w:t> </w:t>
      </w:r>
      <w:r w:rsidRPr="00C5317C">
        <w:rPr>
          <w:rFonts w:ascii="Times New Roman" w:eastAsia="Times New Roman" w:hAnsi="Times New Roman"/>
          <w:snapToGrid w:val="0"/>
        </w:rPr>
        <w:t>% pacientų, kuriems tokia profilaktika netaikyta</w:t>
      </w:r>
      <w:r w:rsidR="004B07A0">
        <w:rPr>
          <w:rFonts w:ascii="Times New Roman" w:eastAsia="Times New Roman" w:hAnsi="Times New Roman"/>
          <w:snapToGrid w:val="0"/>
        </w:rPr>
        <w:t>.</w:t>
      </w:r>
    </w:p>
    <w:p w14:paraId="090CBA7B" w14:textId="77777777" w:rsidR="00D40FB6" w:rsidRPr="004200DB" w:rsidRDefault="00D40FB6" w:rsidP="00CE71C9">
      <w:pPr>
        <w:tabs>
          <w:tab w:val="left" w:pos="567"/>
        </w:tabs>
        <w:spacing w:after="0" w:line="260" w:lineRule="exact"/>
        <w:rPr>
          <w:rFonts w:ascii="Times New Roman" w:eastAsia="Times New Roman" w:hAnsi="Times New Roman"/>
          <w:i/>
          <w:iCs/>
          <w:snapToGrid w:val="0"/>
        </w:rPr>
      </w:pPr>
    </w:p>
    <w:p w14:paraId="485AA3C0" w14:textId="77777777" w:rsidR="00CE71C9" w:rsidRPr="004200DB" w:rsidRDefault="00CE71C9" w:rsidP="00CE71C9">
      <w:pPr>
        <w:tabs>
          <w:tab w:val="left" w:pos="567"/>
        </w:tabs>
        <w:spacing w:after="0" w:line="260" w:lineRule="exact"/>
        <w:rPr>
          <w:rFonts w:ascii="Times New Roman" w:eastAsia="Times New Roman" w:hAnsi="Times New Roman"/>
          <w:i/>
          <w:iCs/>
          <w:snapToGrid w:val="0"/>
        </w:rPr>
      </w:pPr>
      <w:r w:rsidRPr="004200DB">
        <w:rPr>
          <w:rFonts w:ascii="Times New Roman" w:eastAsia="Times New Roman" w:hAnsi="Times New Roman"/>
          <w:i/>
          <w:iCs/>
          <w:snapToGrid w:val="0"/>
        </w:rPr>
        <w:t>Širdies sutrikimai ir aritmijos</w:t>
      </w:r>
    </w:p>
    <w:p w14:paraId="5848D6E3" w14:textId="69243912" w:rsidR="00CE71C9" w:rsidRPr="00F159B6" w:rsidRDefault="000D7792" w:rsidP="00CE71C9">
      <w:pPr>
        <w:tabs>
          <w:tab w:val="left" w:pos="567"/>
        </w:tabs>
        <w:spacing w:after="0" w:line="260" w:lineRule="exact"/>
        <w:rPr>
          <w:rFonts w:ascii="Times New Roman" w:eastAsia="Times New Roman" w:hAnsi="Times New Roman"/>
          <w:snapToGrid w:val="0"/>
        </w:rPr>
      </w:pPr>
      <w:r w:rsidRPr="003C5D0F">
        <w:rPr>
          <w:rFonts w:ascii="Times New Roman" w:eastAsia="Times New Roman" w:hAnsi="Times New Roman"/>
          <w:snapToGrid w:val="0"/>
        </w:rPr>
        <w:t>Apibendrint</w:t>
      </w:r>
      <w:r>
        <w:rPr>
          <w:rFonts w:ascii="Times New Roman" w:eastAsia="Times New Roman" w:hAnsi="Times New Roman"/>
          <w:snapToGrid w:val="0"/>
        </w:rPr>
        <w:t>os analizės duomenimis</w:t>
      </w:r>
      <w:r w:rsidRPr="003C5D0F">
        <w:rPr>
          <w:rFonts w:ascii="Times New Roman" w:eastAsia="Times New Roman" w:hAnsi="Times New Roman"/>
          <w:snapToGrid w:val="0"/>
        </w:rPr>
        <w:t>, apie širdies sutrikimus pranešta 5,5</w:t>
      </w:r>
      <w:r>
        <w:rPr>
          <w:rFonts w:ascii="Times New Roman" w:eastAsia="Times New Roman" w:hAnsi="Times New Roman"/>
          <w:snapToGrid w:val="0"/>
        </w:rPr>
        <w:t> </w:t>
      </w:r>
      <w:r w:rsidRPr="003C5D0F">
        <w:rPr>
          <w:rFonts w:ascii="Times New Roman" w:eastAsia="Times New Roman" w:hAnsi="Times New Roman"/>
          <w:snapToGrid w:val="0"/>
        </w:rPr>
        <w:t>% pacientų, iš jų 1,1</w:t>
      </w:r>
      <w:r>
        <w:rPr>
          <w:rFonts w:ascii="Times New Roman" w:eastAsia="Times New Roman" w:hAnsi="Times New Roman"/>
          <w:snapToGrid w:val="0"/>
        </w:rPr>
        <w:t> </w:t>
      </w:r>
      <w:r w:rsidRPr="003C5D0F">
        <w:rPr>
          <w:rFonts w:ascii="Times New Roman" w:eastAsia="Times New Roman" w:hAnsi="Times New Roman"/>
          <w:snapToGrid w:val="0"/>
        </w:rPr>
        <w:t>% atsirado ≥</w:t>
      </w:r>
      <w:r>
        <w:rPr>
          <w:rFonts w:ascii="Times New Roman" w:eastAsia="Times New Roman" w:hAnsi="Times New Roman"/>
          <w:snapToGrid w:val="0"/>
        </w:rPr>
        <w:t> </w:t>
      </w:r>
      <w:r w:rsidRPr="003C5D0F">
        <w:rPr>
          <w:rFonts w:ascii="Times New Roman" w:eastAsia="Times New Roman" w:hAnsi="Times New Roman"/>
          <w:snapToGrid w:val="0"/>
        </w:rPr>
        <w:t xml:space="preserve">3 laipsnio širdies aritmija. Tachikardijos </w:t>
      </w:r>
      <w:r>
        <w:rPr>
          <w:rFonts w:ascii="Times New Roman" w:eastAsia="Times New Roman" w:hAnsi="Times New Roman"/>
          <w:snapToGrid w:val="0"/>
        </w:rPr>
        <w:t xml:space="preserve">atvejų </w:t>
      </w:r>
      <w:r w:rsidRPr="003C5D0F">
        <w:rPr>
          <w:rFonts w:ascii="Times New Roman" w:eastAsia="Times New Roman" w:hAnsi="Times New Roman"/>
          <w:snapToGrid w:val="0"/>
        </w:rPr>
        <w:t xml:space="preserve">dažnis </w:t>
      </w:r>
      <w:proofErr w:type="spellStart"/>
      <w:r w:rsidRPr="003C5D0F">
        <w:rPr>
          <w:rFonts w:ascii="Times New Roman" w:eastAsia="Times New Roman" w:hAnsi="Times New Roman"/>
          <w:snapToGrid w:val="0"/>
        </w:rPr>
        <w:t>kabazitakseliu</w:t>
      </w:r>
      <w:proofErr w:type="spellEnd"/>
      <w:r w:rsidRPr="003C5D0F">
        <w:rPr>
          <w:rFonts w:ascii="Times New Roman" w:eastAsia="Times New Roman" w:hAnsi="Times New Roman"/>
          <w:snapToGrid w:val="0"/>
        </w:rPr>
        <w:t xml:space="preserve"> gydytiems pacientams buvo 1,0</w:t>
      </w:r>
      <w:r>
        <w:rPr>
          <w:rFonts w:ascii="Times New Roman" w:eastAsia="Times New Roman" w:hAnsi="Times New Roman"/>
          <w:snapToGrid w:val="0"/>
        </w:rPr>
        <w:t> </w:t>
      </w:r>
      <w:r w:rsidRPr="003C5D0F">
        <w:rPr>
          <w:rFonts w:ascii="Times New Roman" w:eastAsia="Times New Roman" w:hAnsi="Times New Roman"/>
          <w:snapToGrid w:val="0"/>
        </w:rPr>
        <w:t>%, iš jų mažiau kaip 0,1</w:t>
      </w:r>
      <w:r>
        <w:rPr>
          <w:rFonts w:ascii="Times New Roman" w:eastAsia="Times New Roman" w:hAnsi="Times New Roman"/>
          <w:snapToGrid w:val="0"/>
        </w:rPr>
        <w:t> </w:t>
      </w:r>
      <w:r w:rsidRPr="003C5D0F">
        <w:rPr>
          <w:rFonts w:ascii="Times New Roman" w:eastAsia="Times New Roman" w:hAnsi="Times New Roman"/>
          <w:snapToGrid w:val="0"/>
        </w:rPr>
        <w:t>% jis buvo ≥</w:t>
      </w:r>
      <w:r w:rsidR="004B07A0">
        <w:rPr>
          <w:rFonts w:ascii="Times New Roman" w:eastAsia="Times New Roman" w:hAnsi="Times New Roman"/>
          <w:snapToGrid w:val="0"/>
        </w:rPr>
        <w:t> </w:t>
      </w:r>
      <w:r w:rsidRPr="003C5D0F">
        <w:rPr>
          <w:rFonts w:ascii="Times New Roman" w:eastAsia="Times New Roman" w:hAnsi="Times New Roman"/>
          <w:snapToGrid w:val="0"/>
        </w:rPr>
        <w:t>3 laipsnio. Prieširdžių virpėjimo dažnis buvo 1,3</w:t>
      </w:r>
      <w:r>
        <w:rPr>
          <w:rFonts w:ascii="Times New Roman" w:eastAsia="Times New Roman" w:hAnsi="Times New Roman"/>
          <w:snapToGrid w:val="0"/>
        </w:rPr>
        <w:t> </w:t>
      </w:r>
      <w:r w:rsidRPr="003C5D0F">
        <w:rPr>
          <w:rFonts w:ascii="Times New Roman" w:eastAsia="Times New Roman" w:hAnsi="Times New Roman"/>
          <w:snapToGrid w:val="0"/>
        </w:rPr>
        <w:t>%. Apie su širdies nepakankamumu susijusius reiškinius pranešta 2 pacientams (0,2</w:t>
      </w:r>
      <w:r>
        <w:rPr>
          <w:rFonts w:ascii="Times New Roman" w:eastAsia="Times New Roman" w:hAnsi="Times New Roman"/>
          <w:snapToGrid w:val="0"/>
        </w:rPr>
        <w:t> </w:t>
      </w:r>
      <w:r w:rsidRPr="003C5D0F">
        <w:rPr>
          <w:rFonts w:ascii="Times New Roman" w:eastAsia="Times New Roman" w:hAnsi="Times New Roman"/>
          <w:snapToGrid w:val="0"/>
        </w:rPr>
        <w:t>%), iš jų vienas buvo mirtinas.</w:t>
      </w:r>
      <w:r w:rsidR="00CE71C9" w:rsidRPr="00F159B6">
        <w:rPr>
          <w:rFonts w:ascii="Times New Roman" w:eastAsia="Times New Roman" w:hAnsi="Times New Roman"/>
          <w:snapToGrid w:val="0"/>
        </w:rPr>
        <w:t xml:space="preserve"> Pranešta apie mirtiną skilvelių virpėjimą</w:t>
      </w:r>
      <w:r w:rsidR="00D40FB6" w:rsidRPr="00F159B6">
        <w:rPr>
          <w:rFonts w:ascii="Times New Roman" w:eastAsia="Times New Roman" w:hAnsi="Times New Roman"/>
          <w:snapToGrid w:val="0"/>
        </w:rPr>
        <w:t xml:space="preserve"> </w:t>
      </w:r>
      <w:r w:rsidR="00CE71C9" w:rsidRPr="00F159B6">
        <w:rPr>
          <w:rFonts w:ascii="Times New Roman" w:eastAsia="Times New Roman" w:hAnsi="Times New Roman"/>
          <w:snapToGrid w:val="0"/>
        </w:rPr>
        <w:t>1 pacientui (0,3</w:t>
      </w:r>
      <w:r w:rsidR="004B07A0">
        <w:rPr>
          <w:rFonts w:ascii="Times New Roman" w:eastAsia="Times New Roman" w:hAnsi="Times New Roman"/>
          <w:snapToGrid w:val="0"/>
        </w:rPr>
        <w:t> </w:t>
      </w:r>
      <w:r w:rsidR="00CE71C9" w:rsidRPr="00F159B6">
        <w:rPr>
          <w:rFonts w:ascii="Times New Roman" w:eastAsia="Times New Roman" w:hAnsi="Times New Roman"/>
          <w:snapToGrid w:val="0"/>
        </w:rPr>
        <w:t>%) ir širdies sustojimą 2 pacientams (0,5</w:t>
      </w:r>
      <w:r w:rsidR="004B07A0">
        <w:rPr>
          <w:rFonts w:ascii="Times New Roman" w:eastAsia="Times New Roman" w:hAnsi="Times New Roman"/>
          <w:snapToGrid w:val="0"/>
        </w:rPr>
        <w:t> </w:t>
      </w:r>
      <w:r w:rsidR="00CE71C9" w:rsidRPr="00F159B6">
        <w:rPr>
          <w:rFonts w:ascii="Times New Roman" w:eastAsia="Times New Roman" w:hAnsi="Times New Roman"/>
          <w:snapToGrid w:val="0"/>
        </w:rPr>
        <w:t>%). Tyrėj</w:t>
      </w:r>
      <w:r w:rsidR="00D40FB6" w:rsidRPr="00F159B6">
        <w:rPr>
          <w:rFonts w:ascii="Times New Roman" w:eastAsia="Times New Roman" w:hAnsi="Times New Roman"/>
          <w:snapToGrid w:val="0"/>
        </w:rPr>
        <w:t>o nuomone, šie atvejai</w:t>
      </w:r>
      <w:r w:rsidR="00CE71C9" w:rsidRPr="00F159B6">
        <w:rPr>
          <w:rFonts w:ascii="Times New Roman" w:eastAsia="Times New Roman" w:hAnsi="Times New Roman"/>
          <w:snapToGrid w:val="0"/>
        </w:rPr>
        <w:t xml:space="preserve"> su vaistiniu preparatu</w:t>
      </w:r>
      <w:r w:rsidR="00D40FB6" w:rsidRPr="00F159B6">
        <w:rPr>
          <w:rFonts w:ascii="Times New Roman" w:eastAsia="Times New Roman" w:hAnsi="Times New Roman"/>
          <w:snapToGrid w:val="0"/>
        </w:rPr>
        <w:t xml:space="preserve"> </w:t>
      </w:r>
      <w:r w:rsidR="00CE71C9" w:rsidRPr="00F159B6">
        <w:rPr>
          <w:rFonts w:ascii="Times New Roman" w:eastAsia="Times New Roman" w:hAnsi="Times New Roman"/>
          <w:snapToGrid w:val="0"/>
        </w:rPr>
        <w:t>ne</w:t>
      </w:r>
      <w:r w:rsidR="00D40FB6" w:rsidRPr="00F159B6">
        <w:rPr>
          <w:rFonts w:ascii="Times New Roman" w:eastAsia="Times New Roman" w:hAnsi="Times New Roman"/>
          <w:snapToGrid w:val="0"/>
        </w:rPr>
        <w:t>buvo susiję</w:t>
      </w:r>
      <w:r w:rsidR="00CE71C9" w:rsidRPr="00F159B6">
        <w:rPr>
          <w:rFonts w:ascii="Times New Roman" w:eastAsia="Times New Roman" w:hAnsi="Times New Roman"/>
          <w:snapToGrid w:val="0"/>
        </w:rPr>
        <w:t>.</w:t>
      </w:r>
    </w:p>
    <w:p w14:paraId="7D68B002" w14:textId="77777777" w:rsidR="00D40FB6" w:rsidRPr="0085406C" w:rsidRDefault="00D40FB6" w:rsidP="00CE71C9">
      <w:pPr>
        <w:tabs>
          <w:tab w:val="left" w:pos="567"/>
        </w:tabs>
        <w:spacing w:after="0" w:line="260" w:lineRule="exact"/>
        <w:rPr>
          <w:rFonts w:ascii="Times New Roman" w:eastAsia="Times New Roman" w:hAnsi="Times New Roman"/>
          <w:i/>
          <w:iCs/>
          <w:snapToGrid w:val="0"/>
        </w:rPr>
      </w:pPr>
    </w:p>
    <w:p w14:paraId="34352BFF" w14:textId="77777777" w:rsidR="00CE71C9" w:rsidRPr="004200DB" w:rsidRDefault="00CE71C9" w:rsidP="00CE71C9">
      <w:pPr>
        <w:tabs>
          <w:tab w:val="left" w:pos="567"/>
        </w:tabs>
        <w:spacing w:after="0" w:line="260" w:lineRule="exact"/>
        <w:rPr>
          <w:rFonts w:ascii="Times New Roman" w:eastAsia="Times New Roman" w:hAnsi="Times New Roman"/>
          <w:i/>
          <w:iCs/>
          <w:snapToGrid w:val="0"/>
        </w:rPr>
      </w:pPr>
      <w:proofErr w:type="spellStart"/>
      <w:r w:rsidRPr="004200DB">
        <w:rPr>
          <w:rFonts w:ascii="Times New Roman" w:eastAsia="Times New Roman" w:hAnsi="Times New Roman"/>
          <w:i/>
          <w:iCs/>
          <w:snapToGrid w:val="0"/>
        </w:rPr>
        <w:t>Hematurija</w:t>
      </w:r>
      <w:proofErr w:type="spellEnd"/>
    </w:p>
    <w:p w14:paraId="76E5A56F" w14:textId="40A14CA2" w:rsidR="00CE71C9" w:rsidRPr="00037DA8" w:rsidRDefault="004401E0" w:rsidP="00CE71C9">
      <w:pPr>
        <w:tabs>
          <w:tab w:val="left" w:pos="567"/>
        </w:tabs>
        <w:spacing w:after="0" w:line="260" w:lineRule="exact"/>
        <w:rPr>
          <w:rFonts w:ascii="Times New Roman" w:eastAsia="Times New Roman" w:hAnsi="Times New Roman"/>
          <w:snapToGrid w:val="0"/>
        </w:rPr>
      </w:pPr>
      <w:r w:rsidRPr="00F34703">
        <w:rPr>
          <w:rFonts w:ascii="Times New Roman" w:eastAsia="Times New Roman" w:hAnsi="Times New Roman"/>
          <w:snapToGrid w:val="0"/>
        </w:rPr>
        <w:t>Apibendrintos analizės duomenimis</w:t>
      </w:r>
      <w:r>
        <w:rPr>
          <w:rFonts w:ascii="Times New Roman" w:eastAsia="Times New Roman" w:hAnsi="Times New Roman"/>
          <w:snapToGrid w:val="0"/>
        </w:rPr>
        <w:t>, v</w:t>
      </w:r>
      <w:r w:rsidR="00CE71C9" w:rsidRPr="004200DB">
        <w:rPr>
          <w:rFonts w:ascii="Times New Roman" w:eastAsia="Times New Roman" w:hAnsi="Times New Roman"/>
          <w:snapToGrid w:val="0"/>
        </w:rPr>
        <w:t xml:space="preserve">isų laipsnių </w:t>
      </w:r>
      <w:proofErr w:type="spellStart"/>
      <w:r w:rsidR="00CE71C9" w:rsidRPr="004200DB">
        <w:rPr>
          <w:rFonts w:ascii="Times New Roman" w:eastAsia="Times New Roman" w:hAnsi="Times New Roman"/>
          <w:snapToGrid w:val="0"/>
        </w:rPr>
        <w:t>hematurijos</w:t>
      </w:r>
      <w:proofErr w:type="spellEnd"/>
      <w:r w:rsidR="00CE71C9" w:rsidRPr="004200DB">
        <w:rPr>
          <w:rFonts w:ascii="Times New Roman" w:eastAsia="Times New Roman" w:hAnsi="Times New Roman"/>
          <w:snapToGrid w:val="0"/>
        </w:rPr>
        <w:t xml:space="preserve"> dažnis vartojant 25</w:t>
      </w:r>
      <w:r w:rsidR="00D40FB6" w:rsidRPr="004200DB">
        <w:rPr>
          <w:rFonts w:ascii="Times New Roman" w:eastAsia="Times New Roman" w:hAnsi="Times New Roman"/>
          <w:snapToGrid w:val="0"/>
        </w:rPr>
        <w:t> </w:t>
      </w:r>
      <w:r w:rsidR="00CE71C9" w:rsidRPr="00037DA8">
        <w:rPr>
          <w:rFonts w:ascii="Times New Roman" w:eastAsia="Times New Roman" w:hAnsi="Times New Roman"/>
          <w:snapToGrid w:val="0"/>
        </w:rPr>
        <w:t>mg/m</w:t>
      </w:r>
      <w:r w:rsidR="00CE71C9" w:rsidRPr="00037DA8">
        <w:rPr>
          <w:rFonts w:ascii="Times New Roman" w:eastAsia="Times New Roman" w:hAnsi="Times New Roman"/>
          <w:snapToGrid w:val="0"/>
          <w:vertAlign w:val="superscript"/>
        </w:rPr>
        <w:t>2</w:t>
      </w:r>
      <w:r w:rsidR="00CE71C9" w:rsidRPr="00037DA8">
        <w:rPr>
          <w:rFonts w:ascii="Times New Roman" w:eastAsia="Times New Roman" w:hAnsi="Times New Roman"/>
          <w:snapToGrid w:val="0"/>
        </w:rPr>
        <w:t xml:space="preserve"> dozę buvo </w:t>
      </w:r>
      <w:r>
        <w:rPr>
          <w:rFonts w:ascii="Times New Roman" w:eastAsia="Times New Roman" w:hAnsi="Times New Roman"/>
          <w:snapToGrid w:val="0"/>
        </w:rPr>
        <w:t>18</w:t>
      </w:r>
      <w:r w:rsidR="00CE71C9" w:rsidRPr="00037DA8">
        <w:rPr>
          <w:rFonts w:ascii="Times New Roman" w:eastAsia="Times New Roman" w:hAnsi="Times New Roman"/>
          <w:snapToGrid w:val="0"/>
        </w:rPr>
        <w:t>,8</w:t>
      </w:r>
      <w:r w:rsidR="004B07A0">
        <w:rPr>
          <w:rFonts w:ascii="Times New Roman" w:eastAsia="Times New Roman" w:hAnsi="Times New Roman"/>
          <w:snapToGrid w:val="0"/>
        </w:rPr>
        <w:t> </w:t>
      </w:r>
      <w:r w:rsidR="00CE71C9" w:rsidRPr="00F159B6">
        <w:rPr>
          <w:rFonts w:ascii="Times New Roman" w:eastAsia="Times New Roman" w:hAnsi="Times New Roman"/>
          <w:snapToGrid w:val="0"/>
        </w:rPr>
        <w:t>% (žr.</w:t>
      </w:r>
      <w:r w:rsidR="00D40FB6" w:rsidRPr="00F159B6">
        <w:rPr>
          <w:rFonts w:ascii="Times New Roman" w:eastAsia="Times New Roman" w:hAnsi="Times New Roman"/>
          <w:snapToGrid w:val="0"/>
        </w:rPr>
        <w:t xml:space="preserve"> </w:t>
      </w:r>
      <w:r w:rsidR="00CE71C9" w:rsidRPr="0085406C">
        <w:rPr>
          <w:rFonts w:ascii="Times New Roman" w:eastAsia="Times New Roman" w:hAnsi="Times New Roman"/>
          <w:snapToGrid w:val="0"/>
        </w:rPr>
        <w:t>5.1 skyrių).</w:t>
      </w:r>
      <w:r w:rsidR="00D40FB6" w:rsidRPr="0085406C">
        <w:rPr>
          <w:rFonts w:ascii="Times New Roman" w:eastAsia="Times New Roman" w:hAnsi="Times New Roman"/>
          <w:snapToGrid w:val="0"/>
        </w:rPr>
        <w:t xml:space="preserve"> </w:t>
      </w:r>
      <w:r w:rsidR="00CE71C9" w:rsidRPr="0085406C">
        <w:rPr>
          <w:rFonts w:ascii="Times New Roman" w:eastAsia="Times New Roman" w:hAnsi="Times New Roman"/>
          <w:snapToGrid w:val="0"/>
        </w:rPr>
        <w:t xml:space="preserve">Beveik </w:t>
      </w:r>
      <w:r>
        <w:rPr>
          <w:rFonts w:ascii="Times New Roman" w:eastAsia="Times New Roman" w:hAnsi="Times New Roman"/>
          <w:snapToGrid w:val="0"/>
        </w:rPr>
        <w:t>pusei</w:t>
      </w:r>
      <w:r w:rsidR="00CE71C9" w:rsidRPr="0085406C">
        <w:rPr>
          <w:rFonts w:ascii="Times New Roman" w:eastAsia="Times New Roman" w:hAnsi="Times New Roman"/>
          <w:snapToGrid w:val="0"/>
        </w:rPr>
        <w:t xml:space="preserve"> atvejų nustatyta papildomų sutrikimą sukelti galėjusių priežasčių, tokių kaip</w:t>
      </w:r>
      <w:r w:rsidR="00D40FB6" w:rsidRPr="004200DB">
        <w:rPr>
          <w:rFonts w:ascii="Times New Roman" w:eastAsia="Times New Roman" w:hAnsi="Times New Roman"/>
          <w:snapToGrid w:val="0"/>
        </w:rPr>
        <w:t xml:space="preserve"> </w:t>
      </w:r>
      <w:r w:rsidR="00CE71C9" w:rsidRPr="004200DB">
        <w:rPr>
          <w:rFonts w:ascii="Times New Roman" w:eastAsia="Times New Roman" w:hAnsi="Times New Roman"/>
          <w:snapToGrid w:val="0"/>
        </w:rPr>
        <w:t>ligos progresavimas, instrumentinės procedūros, infekcija ir gydymas antikoaguliantais, NVNU ar</w:t>
      </w:r>
      <w:r w:rsidR="00D40FB6" w:rsidRPr="004200DB">
        <w:rPr>
          <w:rFonts w:ascii="Times New Roman" w:eastAsia="Times New Roman" w:hAnsi="Times New Roman"/>
          <w:snapToGrid w:val="0"/>
        </w:rPr>
        <w:t xml:space="preserve"> </w:t>
      </w:r>
      <w:proofErr w:type="spellStart"/>
      <w:r w:rsidR="00CB5114" w:rsidRPr="00CB5114">
        <w:rPr>
          <w:rFonts w:ascii="Times New Roman" w:eastAsia="Times New Roman" w:hAnsi="Times New Roman"/>
          <w:snapToGrid w:val="0"/>
        </w:rPr>
        <w:t>acetilsalicilo</w:t>
      </w:r>
      <w:proofErr w:type="spellEnd"/>
      <w:r w:rsidR="00CB5114" w:rsidRPr="00CB5114">
        <w:rPr>
          <w:rFonts w:ascii="Times New Roman" w:eastAsia="Times New Roman" w:hAnsi="Times New Roman"/>
          <w:snapToGrid w:val="0"/>
        </w:rPr>
        <w:t xml:space="preserve"> rūgštimi</w:t>
      </w:r>
      <w:r w:rsidR="00CE71C9" w:rsidRPr="00037DA8">
        <w:rPr>
          <w:rFonts w:ascii="Times New Roman" w:eastAsia="Times New Roman" w:hAnsi="Times New Roman"/>
          <w:snapToGrid w:val="0"/>
        </w:rPr>
        <w:t>.</w:t>
      </w:r>
    </w:p>
    <w:p w14:paraId="63087E52" w14:textId="77777777" w:rsidR="00D40FB6" w:rsidRPr="00037DA8" w:rsidRDefault="00D40FB6" w:rsidP="00CE71C9">
      <w:pPr>
        <w:tabs>
          <w:tab w:val="left" w:pos="567"/>
        </w:tabs>
        <w:spacing w:after="0" w:line="260" w:lineRule="exact"/>
        <w:rPr>
          <w:rFonts w:ascii="Times New Roman" w:eastAsia="Times New Roman" w:hAnsi="Times New Roman"/>
          <w:i/>
          <w:iCs/>
          <w:snapToGrid w:val="0"/>
        </w:rPr>
      </w:pPr>
    </w:p>
    <w:p w14:paraId="57E2F850" w14:textId="603AD72A" w:rsidR="00CE71C9" w:rsidRPr="00037DA8" w:rsidRDefault="00CE71C9" w:rsidP="00CE71C9">
      <w:pPr>
        <w:tabs>
          <w:tab w:val="left" w:pos="567"/>
        </w:tabs>
        <w:spacing w:after="0" w:line="260" w:lineRule="exact"/>
        <w:rPr>
          <w:rFonts w:ascii="Times New Roman" w:eastAsia="Times New Roman" w:hAnsi="Times New Roman"/>
          <w:i/>
          <w:iCs/>
          <w:snapToGrid w:val="0"/>
        </w:rPr>
      </w:pPr>
      <w:r w:rsidRPr="00037DA8">
        <w:rPr>
          <w:rFonts w:ascii="Times New Roman" w:eastAsia="Times New Roman" w:hAnsi="Times New Roman"/>
          <w:i/>
          <w:iCs/>
          <w:snapToGrid w:val="0"/>
        </w:rPr>
        <w:t xml:space="preserve">Kiti laboratoriniai </w:t>
      </w:r>
      <w:r w:rsidR="00834B51">
        <w:rPr>
          <w:rFonts w:ascii="Times New Roman" w:eastAsia="Times New Roman" w:hAnsi="Times New Roman"/>
          <w:i/>
          <w:iCs/>
          <w:snapToGrid w:val="0"/>
        </w:rPr>
        <w:t>pakitimai</w:t>
      </w:r>
    </w:p>
    <w:p w14:paraId="395CFDD0" w14:textId="76EEC46B" w:rsidR="00CE71C9" w:rsidRPr="00F159B6" w:rsidRDefault="00001837" w:rsidP="00CE71C9">
      <w:pPr>
        <w:tabs>
          <w:tab w:val="left" w:pos="567"/>
        </w:tabs>
        <w:spacing w:after="0" w:line="260" w:lineRule="exact"/>
        <w:rPr>
          <w:rFonts w:ascii="Times New Roman" w:eastAsia="Times New Roman" w:hAnsi="Times New Roman"/>
          <w:snapToGrid w:val="0"/>
        </w:rPr>
      </w:pPr>
      <w:r w:rsidRPr="003C5D0F">
        <w:rPr>
          <w:rFonts w:ascii="Times New Roman" w:eastAsia="Times New Roman" w:hAnsi="Times New Roman"/>
          <w:snapToGrid w:val="0"/>
        </w:rPr>
        <w:t>Apibendrint</w:t>
      </w:r>
      <w:r>
        <w:rPr>
          <w:rFonts w:ascii="Times New Roman" w:eastAsia="Times New Roman" w:hAnsi="Times New Roman"/>
          <w:snapToGrid w:val="0"/>
        </w:rPr>
        <w:t>os analizės duomenimis,</w:t>
      </w:r>
      <w:r w:rsidRPr="00037DA8">
        <w:rPr>
          <w:rFonts w:ascii="Times New Roman" w:eastAsia="Times New Roman" w:hAnsi="Times New Roman"/>
          <w:snapToGrid w:val="0"/>
        </w:rPr>
        <w:t xml:space="preserve"> </w:t>
      </w:r>
      <w:r w:rsidR="00CE71C9" w:rsidRPr="00037DA8">
        <w:rPr>
          <w:rFonts w:ascii="Times New Roman" w:eastAsia="Times New Roman" w:hAnsi="Times New Roman"/>
          <w:snapToGrid w:val="0"/>
        </w:rPr>
        <w:t>≥</w:t>
      </w:r>
      <w:r w:rsidR="007C1C06">
        <w:rPr>
          <w:rFonts w:ascii="Times New Roman" w:eastAsia="Times New Roman" w:hAnsi="Times New Roman"/>
          <w:snapToGrid w:val="0"/>
        </w:rPr>
        <w:t> </w:t>
      </w:r>
      <w:r w:rsidR="00CE71C9" w:rsidRPr="00037DA8">
        <w:rPr>
          <w:rFonts w:ascii="Times New Roman" w:eastAsia="Times New Roman" w:hAnsi="Times New Roman"/>
          <w:snapToGrid w:val="0"/>
        </w:rPr>
        <w:t>3 laipsnio anemijos</w:t>
      </w:r>
      <w:r w:rsidR="00D40FB6" w:rsidRPr="00037DA8">
        <w:rPr>
          <w:rFonts w:ascii="Times New Roman" w:eastAsia="Times New Roman" w:hAnsi="Times New Roman"/>
          <w:snapToGrid w:val="0"/>
        </w:rPr>
        <w:t>,</w:t>
      </w:r>
      <w:r w:rsidR="00CE71C9" w:rsidRPr="00037DA8">
        <w:rPr>
          <w:rFonts w:ascii="Times New Roman" w:eastAsia="Times New Roman" w:hAnsi="Times New Roman"/>
          <w:snapToGrid w:val="0"/>
        </w:rPr>
        <w:t xml:space="preserve"> AST, ALT </w:t>
      </w:r>
      <w:r w:rsidR="00D40FB6" w:rsidRPr="00037DA8">
        <w:rPr>
          <w:rFonts w:ascii="Times New Roman" w:eastAsia="Times New Roman" w:hAnsi="Times New Roman"/>
          <w:snapToGrid w:val="0"/>
        </w:rPr>
        <w:t xml:space="preserve">aktyvumo </w:t>
      </w:r>
      <w:r w:rsidR="00CE71C9" w:rsidRPr="00037DA8">
        <w:rPr>
          <w:rFonts w:ascii="Times New Roman" w:eastAsia="Times New Roman" w:hAnsi="Times New Roman"/>
          <w:snapToGrid w:val="0"/>
        </w:rPr>
        <w:t xml:space="preserve">ir </w:t>
      </w:r>
      <w:proofErr w:type="spellStart"/>
      <w:r w:rsidR="00CE71C9" w:rsidRPr="00037DA8">
        <w:rPr>
          <w:rFonts w:ascii="Times New Roman" w:eastAsia="Times New Roman" w:hAnsi="Times New Roman"/>
          <w:snapToGrid w:val="0"/>
        </w:rPr>
        <w:t>bilirubino</w:t>
      </w:r>
      <w:proofErr w:type="spellEnd"/>
      <w:r w:rsidR="00CE71C9" w:rsidRPr="00037DA8">
        <w:rPr>
          <w:rFonts w:ascii="Times New Roman" w:eastAsia="Times New Roman" w:hAnsi="Times New Roman"/>
          <w:snapToGrid w:val="0"/>
        </w:rPr>
        <w:t xml:space="preserve"> koncentracijos padidėjimo (remiantis </w:t>
      </w:r>
      <w:r w:rsidR="00D40FB6" w:rsidRPr="00037DA8">
        <w:rPr>
          <w:rFonts w:ascii="Times New Roman" w:eastAsia="Times New Roman" w:hAnsi="Times New Roman"/>
          <w:snapToGrid w:val="0"/>
        </w:rPr>
        <w:t>laboratorinių tyrimų rodmenų</w:t>
      </w:r>
      <w:r w:rsidR="006458F5">
        <w:rPr>
          <w:rFonts w:ascii="Times New Roman" w:eastAsia="Times New Roman" w:hAnsi="Times New Roman"/>
          <w:snapToGrid w:val="0"/>
        </w:rPr>
        <w:t xml:space="preserve"> </w:t>
      </w:r>
      <w:r>
        <w:rPr>
          <w:rFonts w:ascii="Times New Roman" w:eastAsia="Times New Roman" w:hAnsi="Times New Roman"/>
          <w:snapToGrid w:val="0"/>
        </w:rPr>
        <w:t>pokyčiais</w:t>
      </w:r>
      <w:r w:rsidR="00D40FB6" w:rsidRPr="00037DA8">
        <w:rPr>
          <w:rFonts w:ascii="Times New Roman" w:eastAsia="Times New Roman" w:hAnsi="Times New Roman"/>
          <w:snapToGrid w:val="0"/>
        </w:rPr>
        <w:t>)</w:t>
      </w:r>
      <w:r w:rsidR="00CE71C9" w:rsidRPr="00037DA8">
        <w:rPr>
          <w:rFonts w:ascii="Times New Roman" w:eastAsia="Times New Roman" w:hAnsi="Times New Roman"/>
          <w:snapToGrid w:val="0"/>
        </w:rPr>
        <w:t xml:space="preserve"> </w:t>
      </w:r>
      <w:r>
        <w:rPr>
          <w:rFonts w:ascii="Times New Roman" w:eastAsia="Times New Roman" w:hAnsi="Times New Roman"/>
          <w:snapToGrid w:val="0"/>
        </w:rPr>
        <w:t xml:space="preserve">atvejų </w:t>
      </w:r>
      <w:r w:rsidR="00CE71C9" w:rsidRPr="00037DA8">
        <w:rPr>
          <w:rFonts w:ascii="Times New Roman" w:eastAsia="Times New Roman" w:hAnsi="Times New Roman"/>
          <w:snapToGrid w:val="0"/>
        </w:rPr>
        <w:t xml:space="preserve">dažnis buvo atitinkamai </w:t>
      </w:r>
      <w:r>
        <w:rPr>
          <w:rFonts w:ascii="Times New Roman" w:eastAsia="Times New Roman" w:hAnsi="Times New Roman"/>
          <w:snapToGrid w:val="0"/>
        </w:rPr>
        <w:t>12,</w:t>
      </w:r>
      <w:r w:rsidR="00142F94">
        <w:rPr>
          <w:rFonts w:ascii="Times New Roman" w:eastAsia="Times New Roman" w:hAnsi="Times New Roman"/>
          <w:snapToGrid w:val="0"/>
        </w:rPr>
        <w:t>0</w:t>
      </w:r>
      <w:r w:rsidR="007C1C06">
        <w:rPr>
          <w:rFonts w:ascii="Times New Roman" w:eastAsia="Times New Roman" w:hAnsi="Times New Roman"/>
          <w:snapToGrid w:val="0"/>
        </w:rPr>
        <w:t> </w:t>
      </w:r>
      <w:r w:rsidR="00CE71C9" w:rsidRPr="00F159B6">
        <w:rPr>
          <w:rFonts w:ascii="Times New Roman" w:eastAsia="Times New Roman" w:hAnsi="Times New Roman"/>
          <w:snapToGrid w:val="0"/>
        </w:rPr>
        <w:t xml:space="preserve">%, </w:t>
      </w:r>
      <w:r w:rsidR="00142F94">
        <w:rPr>
          <w:rFonts w:ascii="Times New Roman" w:eastAsia="Times New Roman" w:hAnsi="Times New Roman"/>
          <w:snapToGrid w:val="0"/>
        </w:rPr>
        <w:t>1,3</w:t>
      </w:r>
      <w:r w:rsidR="007C1C06">
        <w:rPr>
          <w:rFonts w:ascii="Times New Roman" w:eastAsia="Times New Roman" w:hAnsi="Times New Roman"/>
          <w:snapToGrid w:val="0"/>
        </w:rPr>
        <w:t> </w:t>
      </w:r>
      <w:r w:rsidR="00CE71C9" w:rsidRPr="00F159B6">
        <w:rPr>
          <w:rFonts w:ascii="Times New Roman" w:eastAsia="Times New Roman" w:hAnsi="Times New Roman"/>
          <w:snapToGrid w:val="0"/>
        </w:rPr>
        <w:t xml:space="preserve">%, </w:t>
      </w:r>
      <w:r w:rsidR="00142F94">
        <w:rPr>
          <w:rFonts w:ascii="Times New Roman" w:eastAsia="Times New Roman" w:hAnsi="Times New Roman"/>
          <w:snapToGrid w:val="0"/>
        </w:rPr>
        <w:t>1,0</w:t>
      </w:r>
      <w:r w:rsidR="007C1C06">
        <w:rPr>
          <w:rFonts w:ascii="Times New Roman" w:eastAsia="Times New Roman" w:hAnsi="Times New Roman"/>
          <w:snapToGrid w:val="0"/>
        </w:rPr>
        <w:t> </w:t>
      </w:r>
      <w:r w:rsidR="00CE71C9" w:rsidRPr="00F159B6">
        <w:rPr>
          <w:rFonts w:ascii="Times New Roman" w:eastAsia="Times New Roman" w:hAnsi="Times New Roman"/>
          <w:snapToGrid w:val="0"/>
        </w:rPr>
        <w:t>% ir 0,</w:t>
      </w:r>
      <w:r w:rsidR="00142F94">
        <w:rPr>
          <w:rFonts w:ascii="Times New Roman" w:eastAsia="Times New Roman" w:hAnsi="Times New Roman"/>
          <w:snapToGrid w:val="0"/>
        </w:rPr>
        <w:t>5</w:t>
      </w:r>
      <w:r w:rsidR="007C1C06">
        <w:rPr>
          <w:rFonts w:ascii="Times New Roman" w:eastAsia="Times New Roman" w:hAnsi="Times New Roman"/>
          <w:snapToGrid w:val="0"/>
        </w:rPr>
        <w:t> </w:t>
      </w:r>
      <w:r w:rsidR="00CE71C9" w:rsidRPr="00F159B6">
        <w:rPr>
          <w:rFonts w:ascii="Times New Roman" w:eastAsia="Times New Roman" w:hAnsi="Times New Roman"/>
          <w:snapToGrid w:val="0"/>
        </w:rPr>
        <w:t>%.</w:t>
      </w:r>
    </w:p>
    <w:p w14:paraId="3F81EBDB" w14:textId="77777777" w:rsidR="00CE71C9" w:rsidRPr="0085406C" w:rsidRDefault="00CE71C9" w:rsidP="00267DDB">
      <w:pPr>
        <w:tabs>
          <w:tab w:val="left" w:pos="567"/>
        </w:tabs>
        <w:spacing w:after="0" w:line="260" w:lineRule="exact"/>
        <w:rPr>
          <w:rFonts w:ascii="Times New Roman" w:eastAsia="Times New Roman" w:hAnsi="Times New Roman"/>
          <w:snapToGrid w:val="0"/>
        </w:rPr>
      </w:pPr>
    </w:p>
    <w:p w14:paraId="7641FB7C" w14:textId="77777777" w:rsidR="00D40FB6" w:rsidRPr="004200DB" w:rsidRDefault="00D40FB6" w:rsidP="00D40FB6">
      <w:pPr>
        <w:tabs>
          <w:tab w:val="left" w:pos="567"/>
        </w:tabs>
        <w:spacing w:after="0" w:line="260" w:lineRule="exact"/>
        <w:rPr>
          <w:rFonts w:ascii="Times New Roman" w:eastAsia="Times New Roman" w:hAnsi="Times New Roman"/>
          <w:i/>
          <w:snapToGrid w:val="0"/>
        </w:rPr>
      </w:pPr>
      <w:r w:rsidRPr="004200DB">
        <w:rPr>
          <w:rFonts w:ascii="Times New Roman" w:eastAsia="Times New Roman" w:hAnsi="Times New Roman"/>
          <w:i/>
          <w:snapToGrid w:val="0"/>
        </w:rPr>
        <w:t>Virškinimo trakto sutrikimai</w:t>
      </w:r>
    </w:p>
    <w:p w14:paraId="5C59B676" w14:textId="4B234891" w:rsidR="00D40FB6" w:rsidRPr="00037DA8" w:rsidRDefault="00D40FB6" w:rsidP="00D40FB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Pa</w:t>
      </w:r>
      <w:r w:rsidR="004B7C5B" w:rsidRPr="004200DB">
        <w:rPr>
          <w:rFonts w:ascii="Times New Roman" w:eastAsia="Times New Roman" w:hAnsi="Times New Roman"/>
          <w:snapToGrid w:val="0"/>
        </w:rPr>
        <w:t>s</w:t>
      </w:r>
      <w:r w:rsidRPr="00037DA8">
        <w:rPr>
          <w:rFonts w:ascii="Times New Roman" w:eastAsia="Times New Roman" w:hAnsi="Times New Roman"/>
          <w:snapToGrid w:val="0"/>
        </w:rPr>
        <w:t>tebėta kolito</w:t>
      </w:r>
      <w:r w:rsidR="00D663E6">
        <w:rPr>
          <w:rFonts w:ascii="Times New Roman" w:eastAsia="Times New Roman" w:hAnsi="Times New Roman"/>
          <w:snapToGrid w:val="0"/>
        </w:rPr>
        <w:t xml:space="preserve"> (įskaitant</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enterokolit</w:t>
      </w:r>
      <w:r w:rsidR="00D663E6">
        <w:rPr>
          <w:rFonts w:ascii="Times New Roman" w:eastAsia="Times New Roman" w:hAnsi="Times New Roman"/>
          <w:snapToGrid w:val="0"/>
        </w:rPr>
        <w:t>ą</w:t>
      </w:r>
      <w:proofErr w:type="spellEnd"/>
      <w:r w:rsidR="00D663E6">
        <w:rPr>
          <w:rFonts w:ascii="Times New Roman" w:eastAsia="Times New Roman" w:hAnsi="Times New Roman"/>
          <w:snapToGrid w:val="0"/>
        </w:rPr>
        <w:t xml:space="preserve"> ir </w:t>
      </w:r>
      <w:proofErr w:type="spellStart"/>
      <w:r w:rsidRPr="00037DA8">
        <w:rPr>
          <w:rFonts w:ascii="Times New Roman" w:eastAsia="Times New Roman" w:hAnsi="Times New Roman"/>
          <w:snapToGrid w:val="0"/>
        </w:rPr>
        <w:t>neutropenin</w:t>
      </w:r>
      <w:r w:rsidR="00EC0482">
        <w:rPr>
          <w:rFonts w:ascii="Times New Roman" w:eastAsia="Times New Roman" w:hAnsi="Times New Roman"/>
          <w:snapToGrid w:val="0"/>
        </w:rPr>
        <w:t>į</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enterokolit</w:t>
      </w:r>
      <w:r w:rsidR="00EC0482">
        <w:rPr>
          <w:rFonts w:ascii="Times New Roman" w:eastAsia="Times New Roman" w:hAnsi="Times New Roman"/>
          <w:snapToGrid w:val="0"/>
        </w:rPr>
        <w:t>ą</w:t>
      </w:r>
      <w:proofErr w:type="spellEnd"/>
      <w:r w:rsidR="00D663E6">
        <w:rPr>
          <w:rFonts w:ascii="Times New Roman" w:eastAsia="Times New Roman" w:hAnsi="Times New Roman"/>
          <w:snapToGrid w:val="0"/>
        </w:rPr>
        <w:t xml:space="preserve">) ir gastrito </w:t>
      </w:r>
      <w:r w:rsidRPr="00037DA8">
        <w:rPr>
          <w:rFonts w:ascii="Times New Roman" w:eastAsia="Times New Roman" w:hAnsi="Times New Roman"/>
          <w:snapToGrid w:val="0"/>
        </w:rPr>
        <w:t>atvejų. Taip pat gauta pranešimų apie kraujavimo iš virškinimo trakto</w:t>
      </w:r>
      <w:r w:rsidR="00D663E6">
        <w:rPr>
          <w:rFonts w:ascii="Times New Roman" w:eastAsia="Times New Roman" w:hAnsi="Times New Roman"/>
          <w:snapToGrid w:val="0"/>
        </w:rPr>
        <w:t>,</w:t>
      </w:r>
      <w:r w:rsidRPr="00037DA8">
        <w:rPr>
          <w:rFonts w:ascii="Times New Roman" w:eastAsia="Times New Roman" w:hAnsi="Times New Roman"/>
          <w:snapToGrid w:val="0"/>
        </w:rPr>
        <w:t xml:space="preserve"> </w:t>
      </w:r>
      <w:r w:rsidR="00D663E6" w:rsidRPr="009D7B20">
        <w:rPr>
          <w:rFonts w:ascii="Times New Roman" w:eastAsia="Times New Roman" w:hAnsi="Times New Roman"/>
        </w:rPr>
        <w:t>virškinimo trakto ir perforacijos ir</w:t>
      </w:r>
      <w:r w:rsidR="00D663E6" w:rsidRPr="003730F3">
        <w:rPr>
          <w:rFonts w:ascii="Times New Roman" w:eastAsia="Times New Roman" w:hAnsi="Times New Roman"/>
        </w:rPr>
        <w:t xml:space="preserve"> žarn</w:t>
      </w:r>
      <w:r w:rsidR="00D663E6">
        <w:rPr>
          <w:rFonts w:ascii="Times New Roman" w:eastAsia="Times New Roman" w:hAnsi="Times New Roman"/>
        </w:rPr>
        <w:t>ų</w:t>
      </w:r>
      <w:r w:rsidR="00D663E6" w:rsidRPr="003730F3">
        <w:rPr>
          <w:rFonts w:ascii="Times New Roman" w:eastAsia="Times New Roman" w:hAnsi="Times New Roman"/>
        </w:rPr>
        <w:t xml:space="preserve"> nepraeinamumo </w:t>
      </w:r>
      <w:r w:rsidR="00D663E6" w:rsidRPr="00A1477B">
        <w:rPr>
          <w:rFonts w:ascii="Times New Roman" w:eastAsia="Times New Roman" w:hAnsi="Times New Roman"/>
        </w:rPr>
        <w:t>(</w:t>
      </w:r>
      <w:r w:rsidR="00D663E6" w:rsidRPr="003730F3">
        <w:rPr>
          <w:rFonts w:ascii="Times New Roman" w:eastAsia="Times New Roman" w:hAnsi="Times New Roman"/>
        </w:rPr>
        <w:t>žarnų obstrukcijos</w:t>
      </w:r>
      <w:r w:rsidR="00D663E6" w:rsidRPr="00A1477B">
        <w:rPr>
          <w:rFonts w:ascii="Times New Roman" w:eastAsia="Times New Roman" w:hAnsi="Times New Roman"/>
        </w:rPr>
        <w:t>)</w:t>
      </w:r>
      <w:r w:rsidR="00D663E6" w:rsidRPr="003730F3">
        <w:rPr>
          <w:rFonts w:ascii="Times New Roman" w:eastAsia="Times New Roman" w:hAnsi="Times New Roman"/>
        </w:rPr>
        <w:t xml:space="preserve"> atvejus</w:t>
      </w:r>
      <w:r w:rsidRPr="00037DA8">
        <w:rPr>
          <w:rFonts w:ascii="Times New Roman" w:eastAsia="Times New Roman" w:hAnsi="Times New Roman"/>
          <w:snapToGrid w:val="0"/>
        </w:rPr>
        <w:t xml:space="preserve"> (žr.</w:t>
      </w:r>
      <w:r w:rsidR="007648F1">
        <w:rPr>
          <w:rFonts w:ascii="Times New Roman" w:eastAsia="Times New Roman" w:hAnsi="Times New Roman"/>
          <w:snapToGrid w:val="0"/>
        </w:rPr>
        <w:t> </w:t>
      </w:r>
      <w:r w:rsidRPr="00037DA8">
        <w:rPr>
          <w:rFonts w:ascii="Times New Roman" w:eastAsia="Times New Roman" w:hAnsi="Times New Roman"/>
          <w:snapToGrid w:val="0"/>
        </w:rPr>
        <w:t>4.4</w:t>
      </w:r>
      <w:r w:rsidR="007648F1">
        <w:rPr>
          <w:rFonts w:ascii="Times New Roman" w:eastAsia="Times New Roman" w:hAnsi="Times New Roman"/>
          <w:snapToGrid w:val="0"/>
        </w:rPr>
        <w:t> </w:t>
      </w:r>
      <w:r w:rsidRPr="00037DA8">
        <w:rPr>
          <w:rFonts w:ascii="Times New Roman" w:eastAsia="Times New Roman" w:hAnsi="Times New Roman"/>
          <w:snapToGrid w:val="0"/>
        </w:rPr>
        <w:t>skyrių).</w:t>
      </w:r>
    </w:p>
    <w:p w14:paraId="78B9B4CA" w14:textId="77777777" w:rsidR="00D40FB6" w:rsidRPr="00037DA8" w:rsidRDefault="00D40FB6" w:rsidP="00267DDB">
      <w:pPr>
        <w:tabs>
          <w:tab w:val="left" w:pos="567"/>
        </w:tabs>
        <w:spacing w:after="0" w:line="260" w:lineRule="exact"/>
        <w:rPr>
          <w:rFonts w:ascii="Times New Roman" w:eastAsia="Times New Roman" w:hAnsi="Times New Roman"/>
          <w:snapToGrid w:val="0"/>
        </w:rPr>
      </w:pPr>
    </w:p>
    <w:p w14:paraId="0759A71E" w14:textId="77777777" w:rsidR="00D40FB6" w:rsidRPr="00037DA8" w:rsidRDefault="00D40FB6" w:rsidP="00D40FB6">
      <w:pPr>
        <w:tabs>
          <w:tab w:val="left" w:pos="567"/>
        </w:tabs>
        <w:spacing w:after="0" w:line="260" w:lineRule="exact"/>
        <w:rPr>
          <w:rFonts w:ascii="Times New Roman" w:eastAsia="Times New Roman" w:hAnsi="Times New Roman"/>
          <w:i/>
          <w:iCs/>
          <w:snapToGrid w:val="0"/>
        </w:rPr>
      </w:pPr>
      <w:r w:rsidRPr="00037DA8">
        <w:rPr>
          <w:rFonts w:ascii="Times New Roman" w:eastAsia="Times New Roman" w:hAnsi="Times New Roman"/>
          <w:i/>
          <w:iCs/>
          <w:snapToGrid w:val="0"/>
        </w:rPr>
        <w:t>Kvėpavimo sutrikimai</w:t>
      </w:r>
    </w:p>
    <w:p w14:paraId="156CD596" w14:textId="5C10BF49" w:rsidR="00D40FB6" w:rsidRPr="00037DA8" w:rsidRDefault="00D40FB6" w:rsidP="00D40FB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Gautų pranešimų apie </w:t>
      </w:r>
      <w:proofErr w:type="spellStart"/>
      <w:r w:rsidRPr="00037DA8">
        <w:rPr>
          <w:rFonts w:ascii="Times New Roman" w:eastAsia="Times New Roman" w:hAnsi="Times New Roman"/>
          <w:snapToGrid w:val="0"/>
        </w:rPr>
        <w:t>intersticinės</w:t>
      </w:r>
      <w:proofErr w:type="spellEnd"/>
      <w:r w:rsidRPr="00037DA8">
        <w:rPr>
          <w:rFonts w:ascii="Times New Roman" w:eastAsia="Times New Roman" w:hAnsi="Times New Roman"/>
          <w:snapToGrid w:val="0"/>
        </w:rPr>
        <w:t xml:space="preserve"> pneumonijos ir (arba) </w:t>
      </w:r>
      <w:proofErr w:type="spellStart"/>
      <w:r w:rsidRPr="00037DA8">
        <w:rPr>
          <w:rFonts w:ascii="Times New Roman" w:eastAsia="Times New Roman" w:hAnsi="Times New Roman"/>
          <w:snapToGrid w:val="0"/>
        </w:rPr>
        <w:t>pneumonito</w:t>
      </w:r>
      <w:proofErr w:type="spellEnd"/>
      <w:r w:rsidRPr="00037DA8">
        <w:rPr>
          <w:rFonts w:ascii="Times New Roman" w:eastAsia="Times New Roman" w:hAnsi="Times New Roman"/>
          <w:snapToGrid w:val="0"/>
        </w:rPr>
        <w:t xml:space="preserve"> bei </w:t>
      </w:r>
      <w:proofErr w:type="spellStart"/>
      <w:r w:rsidRPr="00037DA8">
        <w:rPr>
          <w:rFonts w:ascii="Times New Roman" w:eastAsia="Times New Roman" w:hAnsi="Times New Roman"/>
          <w:snapToGrid w:val="0"/>
        </w:rPr>
        <w:t>intersticinės</w:t>
      </w:r>
      <w:proofErr w:type="spellEnd"/>
      <w:r w:rsidRPr="00037DA8">
        <w:rPr>
          <w:rFonts w:ascii="Times New Roman" w:eastAsia="Times New Roman" w:hAnsi="Times New Roman"/>
          <w:snapToGrid w:val="0"/>
        </w:rPr>
        <w:t xml:space="preserve"> plaučių ligos</w:t>
      </w:r>
      <w:r w:rsidR="00F92812" w:rsidRPr="00037DA8">
        <w:rPr>
          <w:rFonts w:ascii="Times New Roman" w:eastAsia="Times New Roman" w:hAnsi="Times New Roman"/>
          <w:snapToGrid w:val="0"/>
        </w:rPr>
        <w:t xml:space="preserve"> </w:t>
      </w:r>
      <w:r w:rsidRPr="00037DA8">
        <w:rPr>
          <w:rFonts w:ascii="Times New Roman" w:eastAsia="Times New Roman" w:hAnsi="Times New Roman"/>
          <w:snapToGrid w:val="0"/>
        </w:rPr>
        <w:t>atvejus, kurie kartais baigėsi mirtimi, dažnis nežinomas (negali būti apskaičiuotas pagal turimus</w:t>
      </w:r>
      <w:r w:rsidR="00F92812" w:rsidRPr="00037DA8">
        <w:rPr>
          <w:rFonts w:ascii="Times New Roman" w:eastAsia="Times New Roman" w:hAnsi="Times New Roman"/>
          <w:snapToGrid w:val="0"/>
        </w:rPr>
        <w:t xml:space="preserve"> </w:t>
      </w:r>
      <w:r w:rsidRPr="00037DA8">
        <w:rPr>
          <w:rFonts w:ascii="Times New Roman" w:eastAsia="Times New Roman" w:hAnsi="Times New Roman"/>
          <w:snapToGrid w:val="0"/>
        </w:rPr>
        <w:t>duomenis) (žr.</w:t>
      </w:r>
      <w:r w:rsidR="002634B8">
        <w:rPr>
          <w:rFonts w:ascii="Times New Roman" w:eastAsia="Times New Roman" w:hAnsi="Times New Roman"/>
          <w:snapToGrid w:val="0"/>
        </w:rPr>
        <w:t> </w:t>
      </w:r>
      <w:r w:rsidRPr="00037DA8">
        <w:rPr>
          <w:rFonts w:ascii="Times New Roman" w:eastAsia="Times New Roman" w:hAnsi="Times New Roman"/>
          <w:snapToGrid w:val="0"/>
        </w:rPr>
        <w:t>4.4</w:t>
      </w:r>
      <w:r w:rsidR="002634B8">
        <w:rPr>
          <w:rFonts w:ascii="Times New Roman" w:eastAsia="Times New Roman" w:hAnsi="Times New Roman"/>
          <w:snapToGrid w:val="0"/>
        </w:rPr>
        <w:t> </w:t>
      </w:r>
      <w:r w:rsidRPr="00037DA8">
        <w:rPr>
          <w:rFonts w:ascii="Times New Roman" w:eastAsia="Times New Roman" w:hAnsi="Times New Roman"/>
          <w:snapToGrid w:val="0"/>
        </w:rPr>
        <w:t>skyrių).</w:t>
      </w:r>
    </w:p>
    <w:p w14:paraId="0B4A8B00" w14:textId="77777777" w:rsidR="00F92812" w:rsidRPr="00037DA8" w:rsidRDefault="00F92812" w:rsidP="00D40FB6">
      <w:pPr>
        <w:tabs>
          <w:tab w:val="left" w:pos="567"/>
        </w:tabs>
        <w:spacing w:after="0" w:line="260" w:lineRule="exact"/>
        <w:rPr>
          <w:rFonts w:ascii="Times New Roman" w:eastAsia="Times New Roman" w:hAnsi="Times New Roman"/>
          <w:i/>
          <w:iCs/>
          <w:snapToGrid w:val="0"/>
        </w:rPr>
      </w:pPr>
    </w:p>
    <w:p w14:paraId="45C3389F" w14:textId="77777777" w:rsidR="00D40FB6" w:rsidRPr="00037DA8" w:rsidRDefault="00D40FB6" w:rsidP="00D40FB6">
      <w:pPr>
        <w:tabs>
          <w:tab w:val="left" w:pos="567"/>
        </w:tabs>
        <w:spacing w:after="0" w:line="260" w:lineRule="exact"/>
        <w:rPr>
          <w:rFonts w:ascii="Times New Roman" w:eastAsia="Times New Roman" w:hAnsi="Times New Roman"/>
          <w:i/>
          <w:iCs/>
          <w:snapToGrid w:val="0"/>
        </w:rPr>
      </w:pPr>
      <w:r w:rsidRPr="00037DA8">
        <w:rPr>
          <w:rFonts w:ascii="Times New Roman" w:eastAsia="Times New Roman" w:hAnsi="Times New Roman"/>
          <w:i/>
          <w:iCs/>
          <w:snapToGrid w:val="0"/>
        </w:rPr>
        <w:t>Inkstų ir šlapimo takų sutrikimai</w:t>
      </w:r>
    </w:p>
    <w:p w14:paraId="6D5FF963" w14:textId="77777777" w:rsidR="00D40FB6" w:rsidRPr="00037DA8" w:rsidRDefault="00D40FB6" w:rsidP="00D40FB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Nedažnai </w:t>
      </w:r>
      <w:r w:rsidR="00F92812" w:rsidRPr="00037DA8">
        <w:rPr>
          <w:rFonts w:ascii="Times New Roman" w:eastAsia="Times New Roman" w:hAnsi="Times New Roman"/>
          <w:snapToGrid w:val="0"/>
        </w:rPr>
        <w:t>gauta pranešimų</w:t>
      </w:r>
      <w:r w:rsidRPr="00037DA8">
        <w:rPr>
          <w:rFonts w:ascii="Times New Roman" w:eastAsia="Times New Roman" w:hAnsi="Times New Roman"/>
          <w:snapToGrid w:val="0"/>
        </w:rPr>
        <w:t xml:space="preserve"> apie spindulinio gydymo sukeltų reakcijų atsinaujinimo fenomeno sukeltą cistitą,</w:t>
      </w:r>
      <w:r w:rsidR="00F92812" w:rsidRPr="00037DA8">
        <w:rPr>
          <w:rFonts w:ascii="Times New Roman" w:eastAsia="Times New Roman" w:hAnsi="Times New Roman"/>
          <w:snapToGrid w:val="0"/>
        </w:rPr>
        <w:t xml:space="preserve"> </w:t>
      </w:r>
      <w:r w:rsidRPr="00037DA8">
        <w:rPr>
          <w:rFonts w:ascii="Times New Roman" w:eastAsia="Times New Roman" w:hAnsi="Times New Roman"/>
          <w:snapToGrid w:val="0"/>
        </w:rPr>
        <w:t>įskaitant hemoraginį cistitą.</w:t>
      </w:r>
    </w:p>
    <w:p w14:paraId="15EF2BB3" w14:textId="77777777" w:rsidR="00F92812" w:rsidRPr="00037DA8" w:rsidRDefault="00F92812" w:rsidP="00D40FB6">
      <w:pPr>
        <w:tabs>
          <w:tab w:val="left" w:pos="567"/>
        </w:tabs>
        <w:spacing w:after="0" w:line="260" w:lineRule="exact"/>
        <w:rPr>
          <w:rFonts w:ascii="Times New Roman" w:eastAsia="Times New Roman" w:hAnsi="Times New Roman"/>
          <w:snapToGrid w:val="0"/>
        </w:rPr>
      </w:pPr>
    </w:p>
    <w:p w14:paraId="136C38B0" w14:textId="77777777" w:rsidR="00D40FB6" w:rsidRPr="00037DA8" w:rsidRDefault="00D40FB6" w:rsidP="00D40FB6">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Vaikų populiacija</w:t>
      </w:r>
    </w:p>
    <w:p w14:paraId="39C7766E" w14:textId="260E641E" w:rsidR="00D40FB6" w:rsidRPr="00037DA8" w:rsidRDefault="00D40FB6" w:rsidP="00D40FB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Žr.</w:t>
      </w:r>
      <w:r w:rsidR="002634B8">
        <w:rPr>
          <w:rFonts w:ascii="Times New Roman" w:eastAsia="Times New Roman" w:hAnsi="Times New Roman"/>
          <w:snapToGrid w:val="0"/>
        </w:rPr>
        <w:t> </w:t>
      </w:r>
      <w:r w:rsidRPr="00037DA8">
        <w:rPr>
          <w:rFonts w:ascii="Times New Roman" w:eastAsia="Times New Roman" w:hAnsi="Times New Roman"/>
          <w:snapToGrid w:val="0"/>
        </w:rPr>
        <w:t>4.2</w:t>
      </w:r>
      <w:r w:rsidR="002634B8">
        <w:rPr>
          <w:rFonts w:ascii="Times New Roman" w:eastAsia="Times New Roman" w:hAnsi="Times New Roman"/>
          <w:snapToGrid w:val="0"/>
        </w:rPr>
        <w:t> </w:t>
      </w:r>
      <w:r w:rsidRPr="00037DA8">
        <w:rPr>
          <w:rFonts w:ascii="Times New Roman" w:eastAsia="Times New Roman" w:hAnsi="Times New Roman"/>
          <w:snapToGrid w:val="0"/>
        </w:rPr>
        <w:t>skyrių.</w:t>
      </w:r>
    </w:p>
    <w:p w14:paraId="3417202B" w14:textId="77777777" w:rsidR="00F92812" w:rsidRPr="00037DA8" w:rsidRDefault="00F92812" w:rsidP="00D40FB6">
      <w:pPr>
        <w:tabs>
          <w:tab w:val="left" w:pos="567"/>
        </w:tabs>
        <w:spacing w:after="0" w:line="260" w:lineRule="exact"/>
        <w:rPr>
          <w:rFonts w:ascii="Times New Roman" w:eastAsia="Times New Roman" w:hAnsi="Times New Roman"/>
          <w:snapToGrid w:val="0"/>
        </w:rPr>
      </w:pPr>
    </w:p>
    <w:p w14:paraId="7639F306" w14:textId="77777777" w:rsidR="00D40FB6" w:rsidRPr="00037DA8" w:rsidRDefault="00D40FB6" w:rsidP="00D40FB6">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 xml:space="preserve">Kitos </w:t>
      </w:r>
      <w:r w:rsidR="00F92812" w:rsidRPr="00037DA8">
        <w:rPr>
          <w:rFonts w:ascii="Times New Roman" w:eastAsia="Times New Roman" w:hAnsi="Times New Roman"/>
          <w:snapToGrid w:val="0"/>
          <w:u w:val="single"/>
        </w:rPr>
        <w:t>ypatingos populiacijos</w:t>
      </w:r>
    </w:p>
    <w:p w14:paraId="282D327B" w14:textId="77777777" w:rsidR="00F92812" w:rsidRPr="00037DA8" w:rsidRDefault="00F92812" w:rsidP="00D40FB6">
      <w:pPr>
        <w:tabs>
          <w:tab w:val="left" w:pos="567"/>
        </w:tabs>
        <w:spacing w:after="0" w:line="260" w:lineRule="exact"/>
        <w:rPr>
          <w:rFonts w:ascii="Times New Roman" w:eastAsia="Times New Roman" w:hAnsi="Times New Roman"/>
          <w:i/>
          <w:iCs/>
          <w:snapToGrid w:val="0"/>
        </w:rPr>
      </w:pPr>
    </w:p>
    <w:p w14:paraId="68F6518D" w14:textId="77777777" w:rsidR="00D40FB6" w:rsidRPr="00037DA8" w:rsidRDefault="00D40FB6" w:rsidP="00D40FB6">
      <w:pPr>
        <w:tabs>
          <w:tab w:val="left" w:pos="567"/>
        </w:tabs>
        <w:spacing w:after="0" w:line="260" w:lineRule="exact"/>
        <w:rPr>
          <w:rFonts w:ascii="Times New Roman" w:eastAsia="Times New Roman" w:hAnsi="Times New Roman"/>
          <w:i/>
          <w:iCs/>
          <w:snapToGrid w:val="0"/>
        </w:rPr>
      </w:pPr>
      <w:r w:rsidRPr="00037DA8">
        <w:rPr>
          <w:rFonts w:ascii="Times New Roman" w:eastAsia="Times New Roman" w:hAnsi="Times New Roman"/>
          <w:i/>
          <w:iCs/>
          <w:snapToGrid w:val="0"/>
        </w:rPr>
        <w:t>Senyvi pacientai</w:t>
      </w:r>
    </w:p>
    <w:p w14:paraId="4CA38941" w14:textId="7AE2901C" w:rsidR="00D40FB6" w:rsidRPr="00037DA8" w:rsidRDefault="00D40FB6" w:rsidP="00D40FB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Prostatos vėžio </w:t>
      </w:r>
      <w:r w:rsidR="00142F94" w:rsidRPr="00037DA8">
        <w:rPr>
          <w:rFonts w:ascii="Times New Roman" w:eastAsia="Times New Roman" w:hAnsi="Times New Roman"/>
          <w:snapToGrid w:val="0"/>
        </w:rPr>
        <w:t>tyrim</w:t>
      </w:r>
      <w:r w:rsidR="00142F94">
        <w:rPr>
          <w:rFonts w:ascii="Times New Roman" w:eastAsia="Times New Roman" w:hAnsi="Times New Roman"/>
          <w:snapToGrid w:val="0"/>
        </w:rPr>
        <w:t>uose</w:t>
      </w:r>
      <w:r w:rsidR="00142F94"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iš </w:t>
      </w:r>
      <w:r w:rsidR="00142F94">
        <w:rPr>
          <w:rFonts w:ascii="Times New Roman" w:eastAsia="Times New Roman" w:hAnsi="Times New Roman"/>
          <w:snapToGrid w:val="0"/>
        </w:rPr>
        <w:t>1</w:t>
      </w:r>
      <w:r w:rsidR="002634B8">
        <w:rPr>
          <w:rFonts w:ascii="Times New Roman" w:eastAsia="Times New Roman" w:hAnsi="Times New Roman"/>
          <w:snapToGrid w:val="0"/>
        </w:rPr>
        <w:t> </w:t>
      </w:r>
      <w:r w:rsidR="00142F94">
        <w:rPr>
          <w:rFonts w:ascii="Times New Roman" w:eastAsia="Times New Roman" w:hAnsi="Times New Roman"/>
          <w:snapToGrid w:val="0"/>
        </w:rPr>
        <w:t>092</w:t>
      </w:r>
      <w:r w:rsidR="00142F94"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kabazitakseliu</w:t>
      </w:r>
      <w:proofErr w:type="spellEnd"/>
      <w:r w:rsidR="003A23A2">
        <w:rPr>
          <w:rFonts w:ascii="Times New Roman" w:eastAsia="Times New Roman" w:hAnsi="Times New Roman"/>
          <w:snapToGrid w:val="0"/>
        </w:rPr>
        <w:t>, 25</w:t>
      </w:r>
      <w:r w:rsidR="007C1C06">
        <w:rPr>
          <w:rFonts w:ascii="Times New Roman" w:eastAsia="Times New Roman" w:hAnsi="Times New Roman"/>
          <w:snapToGrid w:val="0"/>
        </w:rPr>
        <w:t> </w:t>
      </w:r>
      <w:r w:rsidR="001E1DB3">
        <w:rPr>
          <w:rFonts w:ascii="Times New Roman" w:eastAsia="Times New Roman" w:hAnsi="Times New Roman"/>
          <w:snapToGrid w:val="0"/>
        </w:rPr>
        <w:t>mg/m</w:t>
      </w:r>
      <w:r w:rsidR="001E1DB3" w:rsidRPr="002642B8">
        <w:rPr>
          <w:rFonts w:ascii="Times New Roman" w:eastAsia="Times New Roman" w:hAnsi="Times New Roman"/>
          <w:snapToGrid w:val="0"/>
          <w:vertAlign w:val="superscript"/>
        </w:rPr>
        <w:t>2</w:t>
      </w:r>
      <w:r w:rsidR="001E1DB3">
        <w:rPr>
          <w:rFonts w:ascii="Times New Roman" w:eastAsia="Times New Roman" w:hAnsi="Times New Roman"/>
          <w:snapToGrid w:val="0"/>
        </w:rPr>
        <w:t xml:space="preserve"> doze,</w:t>
      </w:r>
      <w:r w:rsidRPr="00037DA8">
        <w:rPr>
          <w:rFonts w:ascii="Times New Roman" w:eastAsia="Times New Roman" w:hAnsi="Times New Roman"/>
          <w:snapToGrid w:val="0"/>
        </w:rPr>
        <w:t xml:space="preserve"> </w:t>
      </w:r>
      <w:r w:rsidR="00142F94" w:rsidRPr="00037DA8">
        <w:rPr>
          <w:rFonts w:ascii="Times New Roman" w:eastAsia="Times New Roman" w:hAnsi="Times New Roman"/>
          <w:snapToGrid w:val="0"/>
        </w:rPr>
        <w:t>gydyt</w:t>
      </w:r>
      <w:r w:rsidR="00142F94">
        <w:rPr>
          <w:rFonts w:ascii="Times New Roman" w:eastAsia="Times New Roman" w:hAnsi="Times New Roman"/>
          <w:snapToGrid w:val="0"/>
        </w:rPr>
        <w:t>ų</w:t>
      </w:r>
      <w:r w:rsidR="00142F94" w:rsidRPr="00037DA8">
        <w:rPr>
          <w:rFonts w:ascii="Times New Roman" w:eastAsia="Times New Roman" w:hAnsi="Times New Roman"/>
          <w:snapToGrid w:val="0"/>
        </w:rPr>
        <w:t xml:space="preserve"> pacient</w:t>
      </w:r>
      <w:r w:rsidR="00142F94">
        <w:rPr>
          <w:rFonts w:ascii="Times New Roman" w:eastAsia="Times New Roman" w:hAnsi="Times New Roman"/>
          <w:snapToGrid w:val="0"/>
        </w:rPr>
        <w:t>ų</w:t>
      </w:r>
      <w:r w:rsidR="00142F94" w:rsidRPr="00037DA8">
        <w:rPr>
          <w:rFonts w:ascii="Times New Roman" w:eastAsia="Times New Roman" w:hAnsi="Times New Roman"/>
          <w:snapToGrid w:val="0"/>
        </w:rPr>
        <w:t xml:space="preserve"> </w:t>
      </w:r>
      <w:r w:rsidR="00142F94">
        <w:rPr>
          <w:rFonts w:ascii="Times New Roman" w:eastAsia="Times New Roman" w:hAnsi="Times New Roman"/>
          <w:snapToGrid w:val="0"/>
        </w:rPr>
        <w:t>755</w:t>
      </w:r>
      <w:r w:rsidR="00142F94" w:rsidRPr="00037DA8">
        <w:rPr>
          <w:rFonts w:ascii="Times New Roman" w:eastAsia="Times New Roman" w:hAnsi="Times New Roman"/>
          <w:snapToGrid w:val="0"/>
        </w:rPr>
        <w:t xml:space="preserve"> pacient</w:t>
      </w:r>
      <w:r w:rsidR="00142F94">
        <w:rPr>
          <w:rFonts w:ascii="Times New Roman" w:eastAsia="Times New Roman" w:hAnsi="Times New Roman"/>
          <w:snapToGrid w:val="0"/>
        </w:rPr>
        <w:t>ai</w:t>
      </w:r>
      <w:r w:rsidR="00142F94" w:rsidRPr="00037DA8">
        <w:rPr>
          <w:rFonts w:ascii="Times New Roman" w:eastAsia="Times New Roman" w:hAnsi="Times New Roman"/>
          <w:snapToGrid w:val="0"/>
        </w:rPr>
        <w:t xml:space="preserve"> </w:t>
      </w:r>
      <w:r w:rsidRPr="00037DA8">
        <w:rPr>
          <w:rFonts w:ascii="Times New Roman" w:eastAsia="Times New Roman" w:hAnsi="Times New Roman"/>
          <w:snapToGrid w:val="0"/>
        </w:rPr>
        <w:t>buvo 65</w:t>
      </w:r>
      <w:r w:rsidR="00EF2A69">
        <w:rPr>
          <w:rFonts w:ascii="Times New Roman" w:eastAsia="Times New Roman" w:hAnsi="Times New Roman"/>
          <w:snapToGrid w:val="0"/>
        </w:rPr>
        <w:t> </w:t>
      </w:r>
      <w:r w:rsidRPr="00037DA8">
        <w:rPr>
          <w:rFonts w:ascii="Times New Roman" w:eastAsia="Times New Roman" w:hAnsi="Times New Roman"/>
          <w:snapToGrid w:val="0"/>
        </w:rPr>
        <w:t>metų ar vyresni, iš</w:t>
      </w:r>
      <w:r w:rsidR="00F92812"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jų </w:t>
      </w:r>
      <w:r w:rsidR="00142F94">
        <w:rPr>
          <w:rFonts w:ascii="Times New Roman" w:eastAsia="Times New Roman" w:hAnsi="Times New Roman"/>
          <w:snapToGrid w:val="0"/>
        </w:rPr>
        <w:t>238</w:t>
      </w:r>
      <w:r w:rsidR="00142F94" w:rsidRPr="00037DA8">
        <w:rPr>
          <w:rFonts w:ascii="Times New Roman" w:eastAsia="Times New Roman" w:hAnsi="Times New Roman"/>
          <w:snapToGrid w:val="0"/>
        </w:rPr>
        <w:t xml:space="preserve"> </w:t>
      </w:r>
      <w:r w:rsidRPr="00037DA8">
        <w:rPr>
          <w:rFonts w:ascii="Times New Roman" w:eastAsia="Times New Roman" w:hAnsi="Times New Roman"/>
          <w:snapToGrid w:val="0"/>
        </w:rPr>
        <w:t>buvo vyresni kaip 75</w:t>
      </w:r>
      <w:r w:rsidR="00EF2A69">
        <w:rPr>
          <w:rFonts w:ascii="Times New Roman" w:eastAsia="Times New Roman" w:hAnsi="Times New Roman"/>
          <w:snapToGrid w:val="0"/>
        </w:rPr>
        <w:t> </w:t>
      </w:r>
      <w:r w:rsidRPr="00037DA8">
        <w:rPr>
          <w:rFonts w:ascii="Times New Roman" w:eastAsia="Times New Roman" w:hAnsi="Times New Roman"/>
          <w:snapToGrid w:val="0"/>
        </w:rPr>
        <w:t>metų.</w:t>
      </w:r>
    </w:p>
    <w:p w14:paraId="6DBE4EFF" w14:textId="455AC3D5" w:rsidR="00D40FB6" w:rsidRPr="00C229F7" w:rsidRDefault="00D40FB6" w:rsidP="00C5301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Toliau išvardytos nepageidaujamos reakcijos 65</w:t>
      </w:r>
      <w:r w:rsidR="00EF2A69">
        <w:rPr>
          <w:rFonts w:ascii="Times New Roman" w:eastAsia="Times New Roman" w:hAnsi="Times New Roman"/>
          <w:snapToGrid w:val="0"/>
        </w:rPr>
        <w:t> </w:t>
      </w:r>
      <w:r w:rsidRPr="00037DA8">
        <w:rPr>
          <w:rFonts w:ascii="Times New Roman" w:eastAsia="Times New Roman" w:hAnsi="Times New Roman"/>
          <w:snapToGrid w:val="0"/>
        </w:rPr>
        <w:t>metų ir vyresniems pacientams</w:t>
      </w:r>
      <w:r w:rsidR="00F92812" w:rsidRPr="00037DA8">
        <w:rPr>
          <w:rFonts w:ascii="Times New Roman" w:eastAsia="Times New Roman" w:hAnsi="Times New Roman"/>
          <w:snapToGrid w:val="0"/>
        </w:rPr>
        <w:t>, pasireiškusios</w:t>
      </w:r>
      <w:r w:rsidRPr="00037DA8">
        <w:rPr>
          <w:rFonts w:ascii="Times New Roman" w:eastAsia="Times New Roman" w:hAnsi="Times New Roman"/>
          <w:snapToGrid w:val="0"/>
        </w:rPr>
        <w:t xml:space="preserve"> ≥</w:t>
      </w:r>
      <w:r w:rsidR="00EF2A69">
        <w:rPr>
          <w:rFonts w:ascii="Times New Roman" w:eastAsia="Times New Roman" w:hAnsi="Times New Roman"/>
          <w:snapToGrid w:val="0"/>
        </w:rPr>
        <w:t> </w:t>
      </w:r>
      <w:r w:rsidRPr="00037DA8">
        <w:rPr>
          <w:rFonts w:ascii="Times New Roman" w:eastAsia="Times New Roman" w:hAnsi="Times New Roman"/>
          <w:snapToGrid w:val="0"/>
        </w:rPr>
        <w:t>5</w:t>
      </w:r>
      <w:r w:rsidR="00EF2A69">
        <w:rPr>
          <w:rFonts w:ascii="Times New Roman" w:eastAsia="Times New Roman" w:hAnsi="Times New Roman"/>
          <w:snapToGrid w:val="0"/>
        </w:rPr>
        <w:t> </w:t>
      </w:r>
      <w:r w:rsidRPr="00C229F7">
        <w:rPr>
          <w:rFonts w:ascii="Times New Roman" w:eastAsia="Times New Roman" w:hAnsi="Times New Roman"/>
          <w:snapToGrid w:val="0"/>
        </w:rPr>
        <w:t>%</w:t>
      </w:r>
      <w:r w:rsidR="00F92812" w:rsidRPr="00C229F7">
        <w:rPr>
          <w:rFonts w:ascii="Times New Roman" w:eastAsia="Times New Roman" w:hAnsi="Times New Roman"/>
          <w:snapToGrid w:val="0"/>
        </w:rPr>
        <w:t xml:space="preserve"> </w:t>
      </w:r>
      <w:r w:rsidRPr="00C229F7">
        <w:rPr>
          <w:rFonts w:ascii="Times New Roman" w:eastAsia="Times New Roman" w:hAnsi="Times New Roman"/>
          <w:snapToGrid w:val="0"/>
        </w:rPr>
        <w:t>dažniau nei jaunesniems pacientams</w:t>
      </w:r>
      <w:r w:rsidR="00F92812" w:rsidRPr="00C229F7">
        <w:rPr>
          <w:rFonts w:ascii="Times New Roman" w:eastAsia="Times New Roman" w:hAnsi="Times New Roman"/>
          <w:snapToGrid w:val="0"/>
        </w:rPr>
        <w:t>,</w:t>
      </w:r>
      <w:r w:rsidRPr="00C229F7">
        <w:rPr>
          <w:rFonts w:ascii="Times New Roman" w:eastAsia="Times New Roman" w:hAnsi="Times New Roman"/>
          <w:snapToGrid w:val="0"/>
        </w:rPr>
        <w:t xml:space="preserve"> buvo </w:t>
      </w:r>
      <w:r w:rsidR="00142F94">
        <w:rPr>
          <w:rFonts w:ascii="Times New Roman" w:eastAsia="Times New Roman" w:hAnsi="Times New Roman"/>
          <w:snapToGrid w:val="0"/>
        </w:rPr>
        <w:t xml:space="preserve">atitinkamai </w:t>
      </w:r>
      <w:r w:rsidRPr="00C229F7">
        <w:rPr>
          <w:rFonts w:ascii="Times New Roman" w:eastAsia="Times New Roman" w:hAnsi="Times New Roman"/>
          <w:snapToGrid w:val="0"/>
        </w:rPr>
        <w:t>nuovargis (</w:t>
      </w:r>
      <w:r w:rsidR="00142F94">
        <w:rPr>
          <w:rFonts w:ascii="Times New Roman" w:eastAsia="Times New Roman" w:hAnsi="Times New Roman"/>
          <w:snapToGrid w:val="0"/>
        </w:rPr>
        <w:t>33,5</w:t>
      </w:r>
      <w:r w:rsidR="00EF2A69">
        <w:rPr>
          <w:rFonts w:ascii="Times New Roman" w:eastAsia="Times New Roman" w:hAnsi="Times New Roman"/>
          <w:snapToGrid w:val="0"/>
        </w:rPr>
        <w:t> </w:t>
      </w:r>
      <w:r w:rsidRPr="00C229F7">
        <w:rPr>
          <w:rFonts w:ascii="Times New Roman" w:eastAsia="Times New Roman" w:hAnsi="Times New Roman"/>
          <w:snapToGrid w:val="0"/>
        </w:rPr>
        <w:t xml:space="preserve">% </w:t>
      </w:r>
      <w:r w:rsidR="00B253B4">
        <w:rPr>
          <w:rFonts w:ascii="Times New Roman" w:eastAsia="Times New Roman" w:hAnsi="Times New Roman"/>
          <w:snapToGrid w:val="0"/>
        </w:rPr>
        <w:t>palyginti su</w:t>
      </w:r>
      <w:r w:rsidRPr="00C229F7">
        <w:rPr>
          <w:rFonts w:ascii="Times New Roman" w:eastAsia="Times New Roman" w:hAnsi="Times New Roman"/>
          <w:snapToGrid w:val="0"/>
        </w:rPr>
        <w:t xml:space="preserve"> </w:t>
      </w:r>
      <w:r w:rsidR="00B253B4">
        <w:rPr>
          <w:rFonts w:ascii="Times New Roman" w:eastAsia="Times New Roman" w:hAnsi="Times New Roman"/>
          <w:snapToGrid w:val="0"/>
        </w:rPr>
        <w:t>23,7</w:t>
      </w:r>
      <w:r w:rsidR="00EF2A69">
        <w:rPr>
          <w:rFonts w:ascii="Times New Roman" w:eastAsia="Times New Roman" w:hAnsi="Times New Roman"/>
          <w:snapToGrid w:val="0"/>
        </w:rPr>
        <w:t> </w:t>
      </w:r>
      <w:r w:rsidRPr="00C229F7">
        <w:rPr>
          <w:rFonts w:ascii="Times New Roman" w:eastAsia="Times New Roman" w:hAnsi="Times New Roman"/>
          <w:snapToGrid w:val="0"/>
        </w:rPr>
        <w:t xml:space="preserve">%), </w:t>
      </w:r>
      <w:proofErr w:type="spellStart"/>
      <w:r w:rsidR="00C5301E">
        <w:rPr>
          <w:rFonts w:ascii="Times New Roman" w:eastAsia="Times New Roman" w:hAnsi="Times New Roman"/>
          <w:snapToGrid w:val="0"/>
        </w:rPr>
        <w:t>astenija</w:t>
      </w:r>
      <w:proofErr w:type="spellEnd"/>
      <w:r w:rsidR="00C5301E">
        <w:rPr>
          <w:rFonts w:ascii="Times New Roman" w:eastAsia="Times New Roman" w:hAnsi="Times New Roman"/>
          <w:snapToGrid w:val="0"/>
        </w:rPr>
        <w:t xml:space="preserve"> </w:t>
      </w:r>
      <w:r w:rsidR="00C5301E" w:rsidRPr="00830DD9">
        <w:rPr>
          <w:rFonts w:ascii="Times New Roman" w:eastAsia="Times New Roman" w:hAnsi="Times New Roman"/>
          <w:snapToGrid w:val="0"/>
        </w:rPr>
        <w:t>(</w:t>
      </w:r>
      <w:r w:rsidR="00C5301E">
        <w:rPr>
          <w:rFonts w:ascii="Times New Roman" w:eastAsia="Times New Roman" w:hAnsi="Times New Roman"/>
          <w:snapToGrid w:val="0"/>
        </w:rPr>
        <w:t>2</w:t>
      </w:r>
      <w:r w:rsidR="00C5301E" w:rsidRPr="00830DD9">
        <w:rPr>
          <w:rFonts w:ascii="Times New Roman" w:eastAsia="Times New Roman" w:hAnsi="Times New Roman"/>
          <w:snapToGrid w:val="0"/>
        </w:rPr>
        <w:t>3,</w:t>
      </w:r>
      <w:r w:rsidR="00C5301E">
        <w:rPr>
          <w:rFonts w:ascii="Times New Roman" w:eastAsia="Times New Roman" w:hAnsi="Times New Roman"/>
          <w:snapToGrid w:val="0"/>
        </w:rPr>
        <w:t>7 </w:t>
      </w:r>
      <w:r w:rsidR="00C5301E" w:rsidRPr="00830DD9">
        <w:rPr>
          <w:rFonts w:ascii="Times New Roman" w:eastAsia="Times New Roman" w:hAnsi="Times New Roman"/>
          <w:snapToGrid w:val="0"/>
        </w:rPr>
        <w:t>%</w:t>
      </w:r>
      <w:r w:rsidR="00C5301E">
        <w:rPr>
          <w:rFonts w:ascii="Times New Roman" w:eastAsia="Times New Roman" w:hAnsi="Times New Roman"/>
          <w:snapToGrid w:val="0"/>
        </w:rPr>
        <w:t>,</w:t>
      </w:r>
      <w:r w:rsidR="00C5301E" w:rsidRPr="00830DD9">
        <w:rPr>
          <w:rFonts w:ascii="Times New Roman" w:eastAsia="Times New Roman" w:hAnsi="Times New Roman"/>
          <w:snapToGrid w:val="0"/>
        </w:rPr>
        <w:t xml:space="preserve"> palyginti su </w:t>
      </w:r>
      <w:r w:rsidR="00C5301E">
        <w:rPr>
          <w:rFonts w:ascii="Times New Roman" w:eastAsia="Times New Roman" w:hAnsi="Times New Roman"/>
          <w:snapToGrid w:val="0"/>
        </w:rPr>
        <w:t>14</w:t>
      </w:r>
      <w:r w:rsidR="00C5301E" w:rsidRPr="00830DD9">
        <w:rPr>
          <w:rFonts w:ascii="Times New Roman" w:eastAsia="Times New Roman" w:hAnsi="Times New Roman"/>
          <w:snapToGrid w:val="0"/>
        </w:rPr>
        <w:t>,</w:t>
      </w:r>
      <w:r w:rsidR="00C5301E">
        <w:rPr>
          <w:rFonts w:ascii="Times New Roman" w:eastAsia="Times New Roman" w:hAnsi="Times New Roman"/>
          <w:snapToGrid w:val="0"/>
        </w:rPr>
        <w:t>2 </w:t>
      </w:r>
      <w:r w:rsidR="00C5301E" w:rsidRPr="00830DD9">
        <w:rPr>
          <w:rFonts w:ascii="Times New Roman" w:eastAsia="Times New Roman" w:hAnsi="Times New Roman"/>
          <w:snapToGrid w:val="0"/>
        </w:rPr>
        <w:t>%)</w:t>
      </w:r>
      <w:r w:rsidR="00C5301E">
        <w:rPr>
          <w:rFonts w:ascii="Times New Roman" w:eastAsia="Times New Roman" w:hAnsi="Times New Roman"/>
          <w:snapToGrid w:val="0"/>
        </w:rPr>
        <w:t xml:space="preserve">, vidurių užkietėjimas </w:t>
      </w:r>
      <w:r w:rsidR="00C5301E" w:rsidRPr="006A7669">
        <w:rPr>
          <w:rFonts w:ascii="Times New Roman" w:eastAsia="Times New Roman" w:hAnsi="Times New Roman"/>
          <w:snapToGrid w:val="0"/>
        </w:rPr>
        <w:t>(</w:t>
      </w:r>
      <w:r w:rsidR="00C5301E">
        <w:rPr>
          <w:rFonts w:ascii="Times New Roman" w:eastAsia="Times New Roman" w:hAnsi="Times New Roman"/>
          <w:snapToGrid w:val="0"/>
        </w:rPr>
        <w:t>20</w:t>
      </w:r>
      <w:r w:rsidR="00C5301E" w:rsidRPr="006A7669">
        <w:rPr>
          <w:rFonts w:ascii="Times New Roman" w:eastAsia="Times New Roman" w:hAnsi="Times New Roman"/>
          <w:snapToGrid w:val="0"/>
        </w:rPr>
        <w:t>,</w:t>
      </w:r>
      <w:r w:rsidR="00C5301E">
        <w:rPr>
          <w:rFonts w:ascii="Times New Roman" w:eastAsia="Times New Roman" w:hAnsi="Times New Roman"/>
          <w:snapToGrid w:val="0"/>
        </w:rPr>
        <w:t>4 </w:t>
      </w:r>
      <w:r w:rsidR="00C5301E" w:rsidRPr="006A7669">
        <w:rPr>
          <w:rFonts w:ascii="Times New Roman" w:eastAsia="Times New Roman" w:hAnsi="Times New Roman"/>
          <w:snapToGrid w:val="0"/>
        </w:rPr>
        <w:t>%</w:t>
      </w:r>
      <w:r w:rsidR="00C5301E">
        <w:rPr>
          <w:rFonts w:ascii="Times New Roman" w:eastAsia="Times New Roman" w:hAnsi="Times New Roman"/>
          <w:snapToGrid w:val="0"/>
        </w:rPr>
        <w:t>,</w:t>
      </w:r>
      <w:r w:rsidR="00C5301E" w:rsidRPr="006A7669">
        <w:rPr>
          <w:rFonts w:ascii="Times New Roman" w:eastAsia="Times New Roman" w:hAnsi="Times New Roman"/>
          <w:snapToGrid w:val="0"/>
        </w:rPr>
        <w:t xml:space="preserve"> palyginti su </w:t>
      </w:r>
      <w:r w:rsidR="00C5301E">
        <w:rPr>
          <w:rFonts w:ascii="Times New Roman" w:eastAsia="Times New Roman" w:hAnsi="Times New Roman"/>
          <w:snapToGrid w:val="0"/>
        </w:rPr>
        <w:t>14</w:t>
      </w:r>
      <w:r w:rsidR="00C5301E" w:rsidRPr="006A7669">
        <w:rPr>
          <w:rFonts w:ascii="Times New Roman" w:eastAsia="Times New Roman" w:hAnsi="Times New Roman"/>
          <w:snapToGrid w:val="0"/>
        </w:rPr>
        <w:t>,</w:t>
      </w:r>
      <w:r w:rsidR="00C5301E">
        <w:rPr>
          <w:rFonts w:ascii="Times New Roman" w:eastAsia="Times New Roman" w:hAnsi="Times New Roman"/>
          <w:snapToGrid w:val="0"/>
        </w:rPr>
        <w:t>2 </w:t>
      </w:r>
      <w:r w:rsidR="00C5301E" w:rsidRPr="006A7669">
        <w:rPr>
          <w:rFonts w:ascii="Times New Roman" w:eastAsia="Times New Roman" w:hAnsi="Times New Roman"/>
          <w:snapToGrid w:val="0"/>
        </w:rPr>
        <w:t>%)</w:t>
      </w:r>
      <w:r w:rsidR="00C5301E">
        <w:rPr>
          <w:rFonts w:ascii="Times New Roman" w:eastAsia="Times New Roman" w:hAnsi="Times New Roman"/>
          <w:snapToGrid w:val="0"/>
        </w:rPr>
        <w:t xml:space="preserve"> ir dusulys </w:t>
      </w:r>
      <w:r w:rsidR="00C5301E" w:rsidRPr="002231F8">
        <w:rPr>
          <w:rFonts w:ascii="Times New Roman" w:eastAsia="Times New Roman" w:hAnsi="Times New Roman"/>
          <w:snapToGrid w:val="0"/>
        </w:rPr>
        <w:t>(</w:t>
      </w:r>
      <w:r w:rsidR="00C5301E">
        <w:rPr>
          <w:rFonts w:ascii="Times New Roman" w:eastAsia="Times New Roman" w:hAnsi="Times New Roman"/>
          <w:snapToGrid w:val="0"/>
        </w:rPr>
        <w:t>10,3 </w:t>
      </w:r>
      <w:r w:rsidR="00C5301E" w:rsidRPr="002231F8">
        <w:rPr>
          <w:rFonts w:ascii="Times New Roman" w:eastAsia="Times New Roman" w:hAnsi="Times New Roman"/>
          <w:snapToGrid w:val="0"/>
        </w:rPr>
        <w:t>%</w:t>
      </w:r>
      <w:r w:rsidR="00C5301E">
        <w:rPr>
          <w:rFonts w:ascii="Times New Roman" w:eastAsia="Times New Roman" w:hAnsi="Times New Roman"/>
          <w:snapToGrid w:val="0"/>
        </w:rPr>
        <w:t>,</w:t>
      </w:r>
      <w:r w:rsidR="00C5301E" w:rsidRPr="002231F8">
        <w:rPr>
          <w:rFonts w:ascii="Times New Roman" w:eastAsia="Times New Roman" w:hAnsi="Times New Roman"/>
          <w:snapToGrid w:val="0"/>
        </w:rPr>
        <w:t xml:space="preserve"> palyginti su </w:t>
      </w:r>
      <w:r w:rsidR="00C5301E">
        <w:rPr>
          <w:rFonts w:ascii="Times New Roman" w:eastAsia="Times New Roman" w:hAnsi="Times New Roman"/>
          <w:snapToGrid w:val="0"/>
        </w:rPr>
        <w:t>5</w:t>
      </w:r>
      <w:r w:rsidR="00C5301E" w:rsidRPr="002231F8">
        <w:rPr>
          <w:rFonts w:ascii="Times New Roman" w:eastAsia="Times New Roman" w:hAnsi="Times New Roman"/>
          <w:snapToGrid w:val="0"/>
        </w:rPr>
        <w:t>,</w:t>
      </w:r>
      <w:r w:rsidR="00C5301E">
        <w:rPr>
          <w:rFonts w:ascii="Times New Roman" w:eastAsia="Times New Roman" w:hAnsi="Times New Roman"/>
          <w:snapToGrid w:val="0"/>
        </w:rPr>
        <w:t>6 </w:t>
      </w:r>
      <w:r w:rsidR="00C5301E" w:rsidRPr="002231F8">
        <w:rPr>
          <w:rFonts w:ascii="Times New Roman" w:eastAsia="Times New Roman" w:hAnsi="Times New Roman"/>
          <w:snapToGrid w:val="0"/>
        </w:rPr>
        <w:t>%)</w:t>
      </w:r>
      <w:r w:rsidR="00C5301E">
        <w:rPr>
          <w:rFonts w:ascii="Times New Roman" w:eastAsia="Times New Roman" w:hAnsi="Times New Roman"/>
          <w:snapToGrid w:val="0"/>
        </w:rPr>
        <w:t xml:space="preserve">. </w:t>
      </w:r>
      <w:proofErr w:type="spellStart"/>
      <w:r w:rsidR="00C5301E" w:rsidRPr="00EE3AE2">
        <w:rPr>
          <w:rFonts w:ascii="Times New Roman" w:eastAsia="Times New Roman" w:hAnsi="Times New Roman"/>
          <w:snapToGrid w:val="0"/>
        </w:rPr>
        <w:t>Neutropenija</w:t>
      </w:r>
      <w:proofErr w:type="spellEnd"/>
      <w:r w:rsidR="00C5301E" w:rsidRPr="00EE3AE2">
        <w:rPr>
          <w:rFonts w:ascii="Times New Roman" w:eastAsia="Times New Roman" w:hAnsi="Times New Roman"/>
          <w:snapToGrid w:val="0"/>
        </w:rPr>
        <w:t xml:space="preserve"> (90,9</w:t>
      </w:r>
      <w:r w:rsidR="00C5301E">
        <w:rPr>
          <w:rFonts w:ascii="Times New Roman" w:eastAsia="Times New Roman" w:hAnsi="Times New Roman"/>
          <w:snapToGrid w:val="0"/>
        </w:rPr>
        <w:t> </w:t>
      </w:r>
      <w:r w:rsidR="00C5301E" w:rsidRPr="00EE3AE2">
        <w:rPr>
          <w:rFonts w:ascii="Times New Roman" w:eastAsia="Times New Roman" w:hAnsi="Times New Roman"/>
          <w:snapToGrid w:val="0"/>
        </w:rPr>
        <w:t>%</w:t>
      </w:r>
      <w:r w:rsidR="00C5301E">
        <w:rPr>
          <w:rFonts w:ascii="Times New Roman" w:eastAsia="Times New Roman" w:hAnsi="Times New Roman"/>
          <w:snapToGrid w:val="0"/>
        </w:rPr>
        <w:t>,</w:t>
      </w:r>
      <w:r w:rsidR="00C5301E" w:rsidRPr="00EE3AE2">
        <w:rPr>
          <w:rFonts w:ascii="Times New Roman" w:eastAsia="Times New Roman" w:hAnsi="Times New Roman"/>
          <w:snapToGrid w:val="0"/>
        </w:rPr>
        <w:t xml:space="preserve"> palyginti su 81,2</w:t>
      </w:r>
      <w:r w:rsidR="00C5301E">
        <w:rPr>
          <w:rFonts w:ascii="Times New Roman" w:eastAsia="Times New Roman" w:hAnsi="Times New Roman"/>
          <w:snapToGrid w:val="0"/>
        </w:rPr>
        <w:t> </w:t>
      </w:r>
      <w:r w:rsidR="00C5301E" w:rsidRPr="00EE3AE2">
        <w:rPr>
          <w:rFonts w:ascii="Times New Roman" w:eastAsia="Times New Roman" w:hAnsi="Times New Roman"/>
          <w:snapToGrid w:val="0"/>
        </w:rPr>
        <w:t xml:space="preserve">%) ir </w:t>
      </w:r>
      <w:proofErr w:type="spellStart"/>
      <w:r w:rsidR="00C5301E" w:rsidRPr="00EE3AE2">
        <w:rPr>
          <w:rFonts w:ascii="Times New Roman" w:eastAsia="Times New Roman" w:hAnsi="Times New Roman"/>
          <w:snapToGrid w:val="0"/>
        </w:rPr>
        <w:t>trombocitopenija</w:t>
      </w:r>
      <w:proofErr w:type="spellEnd"/>
      <w:r w:rsidR="00C5301E" w:rsidRPr="00EE3AE2">
        <w:rPr>
          <w:rFonts w:ascii="Times New Roman" w:eastAsia="Times New Roman" w:hAnsi="Times New Roman"/>
          <w:snapToGrid w:val="0"/>
        </w:rPr>
        <w:t xml:space="preserve"> (48,8</w:t>
      </w:r>
      <w:r w:rsidR="00C5301E">
        <w:rPr>
          <w:rFonts w:ascii="Times New Roman" w:eastAsia="Times New Roman" w:hAnsi="Times New Roman"/>
          <w:snapToGrid w:val="0"/>
        </w:rPr>
        <w:t> </w:t>
      </w:r>
      <w:r w:rsidR="00C5301E" w:rsidRPr="00EE3AE2">
        <w:rPr>
          <w:rFonts w:ascii="Times New Roman" w:eastAsia="Times New Roman" w:hAnsi="Times New Roman"/>
          <w:snapToGrid w:val="0"/>
        </w:rPr>
        <w:t>%</w:t>
      </w:r>
      <w:r w:rsidR="00C5301E">
        <w:rPr>
          <w:rFonts w:ascii="Times New Roman" w:eastAsia="Times New Roman" w:hAnsi="Times New Roman"/>
          <w:snapToGrid w:val="0"/>
        </w:rPr>
        <w:t>,</w:t>
      </w:r>
      <w:r w:rsidR="00C5301E" w:rsidRPr="00EE3AE2">
        <w:rPr>
          <w:rFonts w:ascii="Times New Roman" w:eastAsia="Times New Roman" w:hAnsi="Times New Roman"/>
          <w:snapToGrid w:val="0"/>
        </w:rPr>
        <w:t xml:space="preserve"> palyginti su 36,1</w:t>
      </w:r>
      <w:r w:rsidR="00EF2A69">
        <w:rPr>
          <w:rFonts w:ascii="Times New Roman" w:eastAsia="Times New Roman" w:hAnsi="Times New Roman"/>
          <w:snapToGrid w:val="0"/>
        </w:rPr>
        <w:t> </w:t>
      </w:r>
      <w:r w:rsidR="00C5301E" w:rsidRPr="00EE3AE2">
        <w:rPr>
          <w:rFonts w:ascii="Times New Roman" w:eastAsia="Times New Roman" w:hAnsi="Times New Roman"/>
          <w:snapToGrid w:val="0"/>
        </w:rPr>
        <w:t>%) 65</w:t>
      </w:r>
      <w:r w:rsidR="00EF2A69">
        <w:rPr>
          <w:rFonts w:ascii="Times New Roman" w:eastAsia="Times New Roman" w:hAnsi="Times New Roman"/>
          <w:snapToGrid w:val="0"/>
        </w:rPr>
        <w:t> </w:t>
      </w:r>
      <w:r w:rsidR="00C5301E" w:rsidRPr="00EE3AE2">
        <w:rPr>
          <w:rFonts w:ascii="Times New Roman" w:eastAsia="Times New Roman" w:hAnsi="Times New Roman"/>
          <w:snapToGrid w:val="0"/>
        </w:rPr>
        <w:t xml:space="preserve">metų ir vyresniems pacientams taip pat </w:t>
      </w:r>
      <w:r w:rsidR="00C5301E">
        <w:rPr>
          <w:rFonts w:ascii="Times New Roman" w:eastAsia="Times New Roman" w:hAnsi="Times New Roman"/>
          <w:snapToGrid w:val="0"/>
        </w:rPr>
        <w:t>pasireiškė</w:t>
      </w:r>
      <w:r w:rsidR="00C5301E" w:rsidRPr="00EE3AE2">
        <w:rPr>
          <w:rFonts w:ascii="Times New Roman" w:eastAsia="Times New Roman" w:hAnsi="Times New Roman"/>
          <w:snapToGrid w:val="0"/>
        </w:rPr>
        <w:t xml:space="preserve"> 5</w:t>
      </w:r>
      <w:r w:rsidR="00C5301E">
        <w:rPr>
          <w:rFonts w:ascii="Times New Roman" w:eastAsia="Times New Roman" w:hAnsi="Times New Roman"/>
          <w:snapToGrid w:val="0"/>
        </w:rPr>
        <w:t> </w:t>
      </w:r>
      <w:r w:rsidR="00C5301E" w:rsidRPr="00EE3AE2">
        <w:rPr>
          <w:rFonts w:ascii="Times New Roman" w:eastAsia="Times New Roman" w:hAnsi="Times New Roman"/>
          <w:snapToGrid w:val="0"/>
        </w:rPr>
        <w:t>% dažniau nei jaunesniems pacientams. Pranešimų apie ≥</w:t>
      </w:r>
      <w:r w:rsidR="00C5301E">
        <w:rPr>
          <w:rFonts w:ascii="Times New Roman" w:eastAsia="Times New Roman" w:hAnsi="Times New Roman"/>
          <w:snapToGrid w:val="0"/>
        </w:rPr>
        <w:t> </w:t>
      </w:r>
      <w:r w:rsidR="00C5301E" w:rsidRPr="00EE3AE2">
        <w:rPr>
          <w:rFonts w:ascii="Times New Roman" w:eastAsia="Times New Roman" w:hAnsi="Times New Roman"/>
          <w:snapToGrid w:val="0"/>
        </w:rPr>
        <w:t xml:space="preserve">3 laipsnio </w:t>
      </w:r>
      <w:proofErr w:type="spellStart"/>
      <w:r w:rsidR="00C5301E" w:rsidRPr="00EE3AE2">
        <w:rPr>
          <w:rFonts w:ascii="Times New Roman" w:eastAsia="Times New Roman" w:hAnsi="Times New Roman"/>
          <w:snapToGrid w:val="0"/>
        </w:rPr>
        <w:t>neutropeniją</w:t>
      </w:r>
      <w:proofErr w:type="spellEnd"/>
      <w:r w:rsidR="00C5301E" w:rsidRPr="00EE3AE2">
        <w:rPr>
          <w:rFonts w:ascii="Times New Roman" w:eastAsia="Times New Roman" w:hAnsi="Times New Roman"/>
          <w:snapToGrid w:val="0"/>
        </w:rPr>
        <w:t xml:space="preserve"> ir </w:t>
      </w:r>
      <w:proofErr w:type="spellStart"/>
      <w:r w:rsidR="00C5301E" w:rsidRPr="00EE3AE2">
        <w:rPr>
          <w:rFonts w:ascii="Times New Roman" w:eastAsia="Times New Roman" w:hAnsi="Times New Roman"/>
          <w:snapToGrid w:val="0"/>
        </w:rPr>
        <w:t>febrilią</w:t>
      </w:r>
      <w:proofErr w:type="spellEnd"/>
      <w:r w:rsidR="00C5301E" w:rsidRPr="00EE3AE2">
        <w:rPr>
          <w:rFonts w:ascii="Times New Roman" w:eastAsia="Times New Roman" w:hAnsi="Times New Roman"/>
          <w:snapToGrid w:val="0"/>
        </w:rPr>
        <w:t xml:space="preserve"> </w:t>
      </w:r>
      <w:proofErr w:type="spellStart"/>
      <w:r w:rsidR="00C5301E" w:rsidRPr="00EE3AE2">
        <w:rPr>
          <w:rFonts w:ascii="Times New Roman" w:eastAsia="Times New Roman" w:hAnsi="Times New Roman"/>
          <w:snapToGrid w:val="0"/>
        </w:rPr>
        <w:t>neutropeniją</w:t>
      </w:r>
      <w:proofErr w:type="spellEnd"/>
      <w:r w:rsidR="00C5301E" w:rsidRPr="00EE3AE2">
        <w:rPr>
          <w:rFonts w:ascii="Times New Roman" w:eastAsia="Times New Roman" w:hAnsi="Times New Roman"/>
          <w:snapToGrid w:val="0"/>
        </w:rPr>
        <w:t xml:space="preserve"> dažnio </w:t>
      </w:r>
      <w:r w:rsidR="00C5301E" w:rsidRPr="00EE3AE2">
        <w:rPr>
          <w:rFonts w:ascii="Times New Roman" w:eastAsia="Times New Roman" w:hAnsi="Times New Roman"/>
          <w:snapToGrid w:val="0"/>
        </w:rPr>
        <w:lastRenderedPageBreak/>
        <w:t>skirtumas abiejose amžiaus grupėse buvo didžiausias (atitinkamai 14</w:t>
      </w:r>
      <w:r w:rsidR="00C5301E">
        <w:rPr>
          <w:rFonts w:ascii="Times New Roman" w:eastAsia="Times New Roman" w:hAnsi="Times New Roman"/>
          <w:snapToGrid w:val="0"/>
        </w:rPr>
        <w:t> </w:t>
      </w:r>
      <w:r w:rsidR="00C5301E" w:rsidRPr="00EE3AE2">
        <w:rPr>
          <w:rFonts w:ascii="Times New Roman" w:eastAsia="Times New Roman" w:hAnsi="Times New Roman"/>
          <w:snapToGrid w:val="0"/>
        </w:rPr>
        <w:t>% ir 4</w:t>
      </w:r>
      <w:r w:rsidR="00C5301E">
        <w:rPr>
          <w:rFonts w:ascii="Times New Roman" w:eastAsia="Times New Roman" w:hAnsi="Times New Roman"/>
          <w:snapToGrid w:val="0"/>
        </w:rPr>
        <w:t> </w:t>
      </w:r>
      <w:r w:rsidR="00C5301E" w:rsidRPr="00EE3AE2">
        <w:rPr>
          <w:rFonts w:ascii="Times New Roman" w:eastAsia="Times New Roman" w:hAnsi="Times New Roman"/>
          <w:snapToGrid w:val="0"/>
        </w:rPr>
        <w:t>% didesnis ≥</w:t>
      </w:r>
      <w:r w:rsidR="000448C3">
        <w:rPr>
          <w:rFonts w:ascii="Times New Roman" w:eastAsia="Times New Roman" w:hAnsi="Times New Roman"/>
          <w:snapToGrid w:val="0"/>
        </w:rPr>
        <w:t> </w:t>
      </w:r>
      <w:r w:rsidR="00C5301E" w:rsidRPr="00EE3AE2">
        <w:rPr>
          <w:rFonts w:ascii="Times New Roman" w:eastAsia="Times New Roman" w:hAnsi="Times New Roman"/>
          <w:snapToGrid w:val="0"/>
        </w:rPr>
        <w:t>65</w:t>
      </w:r>
      <w:r w:rsidR="000448C3">
        <w:rPr>
          <w:rFonts w:ascii="Times New Roman" w:eastAsia="Times New Roman" w:hAnsi="Times New Roman"/>
          <w:snapToGrid w:val="0"/>
        </w:rPr>
        <w:t> </w:t>
      </w:r>
      <w:r w:rsidR="00C5301E" w:rsidRPr="00EE3AE2">
        <w:rPr>
          <w:rFonts w:ascii="Times New Roman" w:eastAsia="Times New Roman" w:hAnsi="Times New Roman"/>
          <w:snapToGrid w:val="0"/>
        </w:rPr>
        <w:t>metų pacientams, palyginus su &lt;</w:t>
      </w:r>
      <w:r w:rsidR="00C5301E">
        <w:rPr>
          <w:rFonts w:ascii="Times New Roman" w:eastAsia="Times New Roman" w:hAnsi="Times New Roman"/>
          <w:snapToGrid w:val="0"/>
        </w:rPr>
        <w:t> </w:t>
      </w:r>
      <w:r w:rsidR="00C5301E" w:rsidRPr="00EE3AE2">
        <w:rPr>
          <w:rFonts w:ascii="Times New Roman" w:eastAsia="Times New Roman" w:hAnsi="Times New Roman"/>
          <w:snapToGrid w:val="0"/>
        </w:rPr>
        <w:t>65</w:t>
      </w:r>
      <w:r w:rsidR="000448C3">
        <w:rPr>
          <w:rFonts w:ascii="Times New Roman" w:eastAsia="Times New Roman" w:hAnsi="Times New Roman"/>
          <w:snapToGrid w:val="0"/>
        </w:rPr>
        <w:t> </w:t>
      </w:r>
      <w:r w:rsidR="00C5301E" w:rsidRPr="00EE3AE2">
        <w:rPr>
          <w:rFonts w:ascii="Times New Roman" w:eastAsia="Times New Roman" w:hAnsi="Times New Roman"/>
          <w:snapToGrid w:val="0"/>
        </w:rPr>
        <w:t>metų pacientais)</w:t>
      </w:r>
      <w:r w:rsidRPr="00C229F7">
        <w:rPr>
          <w:rFonts w:ascii="Times New Roman" w:eastAsia="Times New Roman" w:hAnsi="Times New Roman"/>
          <w:snapToGrid w:val="0"/>
        </w:rPr>
        <w:t xml:space="preserve"> (žr.</w:t>
      </w:r>
      <w:r w:rsidR="00F92812" w:rsidRPr="00C229F7">
        <w:rPr>
          <w:rFonts w:ascii="Times New Roman" w:eastAsia="Times New Roman" w:hAnsi="Times New Roman"/>
          <w:snapToGrid w:val="0"/>
        </w:rPr>
        <w:t xml:space="preserve"> </w:t>
      </w:r>
      <w:r w:rsidRPr="00C229F7">
        <w:rPr>
          <w:rFonts w:ascii="Times New Roman" w:eastAsia="Times New Roman" w:hAnsi="Times New Roman"/>
          <w:snapToGrid w:val="0"/>
        </w:rPr>
        <w:t>4.2 ir 4.4 skyrius).</w:t>
      </w:r>
    </w:p>
    <w:p w14:paraId="64E7B33D" w14:textId="77777777" w:rsidR="00F92812" w:rsidRPr="0085406C" w:rsidRDefault="00F92812" w:rsidP="00D40FB6">
      <w:pPr>
        <w:tabs>
          <w:tab w:val="left" w:pos="567"/>
        </w:tabs>
        <w:spacing w:after="0" w:line="260" w:lineRule="exact"/>
        <w:rPr>
          <w:rFonts w:ascii="Times New Roman" w:eastAsia="Times New Roman" w:hAnsi="Times New Roman"/>
          <w:snapToGrid w:val="0"/>
        </w:rPr>
      </w:pPr>
    </w:p>
    <w:p w14:paraId="27D42046" w14:textId="77777777" w:rsidR="00D40FB6" w:rsidRPr="004200DB" w:rsidRDefault="00D40FB6" w:rsidP="00D40FB6">
      <w:pPr>
        <w:tabs>
          <w:tab w:val="left" w:pos="567"/>
        </w:tabs>
        <w:spacing w:after="0" w:line="260" w:lineRule="exact"/>
        <w:rPr>
          <w:rFonts w:ascii="Times New Roman" w:eastAsia="Times New Roman" w:hAnsi="Times New Roman"/>
          <w:snapToGrid w:val="0"/>
          <w:u w:val="single"/>
        </w:rPr>
      </w:pPr>
      <w:r w:rsidRPr="004200DB">
        <w:rPr>
          <w:rFonts w:ascii="Times New Roman" w:eastAsia="Times New Roman" w:hAnsi="Times New Roman"/>
          <w:snapToGrid w:val="0"/>
          <w:u w:val="single"/>
        </w:rPr>
        <w:t>Pranešimas apie įtariamas nepageidaujamas reakcijas</w:t>
      </w:r>
    </w:p>
    <w:p w14:paraId="242A6515" w14:textId="67E19DC7" w:rsidR="00B34310" w:rsidRPr="002B549A" w:rsidRDefault="00F92812" w:rsidP="00B34310">
      <w:pPr>
        <w:tabs>
          <w:tab w:val="left" w:pos="567"/>
        </w:tabs>
        <w:autoSpaceDE w:val="0"/>
        <w:autoSpaceDN w:val="0"/>
        <w:adjustRightInd w:val="0"/>
        <w:spacing w:line="260" w:lineRule="exact"/>
        <w:rPr>
          <w:rFonts w:ascii="Times New Roman" w:hAnsi="Times New Roman"/>
        </w:rPr>
      </w:pPr>
      <w:r w:rsidRPr="002B549A">
        <w:rPr>
          <w:rFonts w:ascii="Times New Roman" w:eastAsia="Times New Roman" w:hAnsi="Times New Roman"/>
          <w:snapToGrid w:val="0"/>
        </w:rPr>
        <w:t xml:space="preserve">Svarbu pranešti apie įtariamas nepageidaujamas reakcijas, pastebėtas po vaistinio preparato registracijos, nes tai leidžia nuolat stebėti vaistinio preparato naudos ir rizikos santykį. Sveikatos priežiūros </w:t>
      </w:r>
      <w:r w:rsidR="005D787C" w:rsidRPr="002B549A">
        <w:rPr>
          <w:rFonts w:ascii="Times New Roman" w:eastAsia="Times New Roman" w:hAnsi="Times New Roman"/>
          <w:snapToGrid w:val="0"/>
        </w:rPr>
        <w:t xml:space="preserve">ar farmacijos </w:t>
      </w:r>
      <w:r w:rsidRPr="002B549A">
        <w:rPr>
          <w:rFonts w:ascii="Times New Roman" w:eastAsia="Times New Roman" w:hAnsi="Times New Roman"/>
          <w:snapToGrid w:val="0"/>
        </w:rPr>
        <w:t xml:space="preserve">specialistai turi pranešti apie bet kokias įtariamas nepageidaujamas reakcijas, užpildę </w:t>
      </w:r>
      <w:r w:rsidR="00B34310" w:rsidRPr="002B549A">
        <w:rPr>
          <w:rFonts w:ascii="Times New Roman" w:eastAsia="Times New Roman" w:hAnsi="Times New Roman"/>
          <w:snapToGrid w:val="0"/>
        </w:rPr>
        <w:t xml:space="preserve">ir </w:t>
      </w:r>
      <w:proofErr w:type="spellStart"/>
      <w:r w:rsidR="00B34310" w:rsidRPr="002B549A">
        <w:rPr>
          <w:rFonts w:ascii="Times New Roman" w:eastAsia="Times New Roman" w:hAnsi="Times New Roman"/>
          <w:snapToGrid w:val="0"/>
        </w:rPr>
        <w:t>pateikę</w:t>
      </w:r>
      <w:r w:rsidR="005D787C" w:rsidRPr="002B549A">
        <w:rPr>
          <w:rFonts w:ascii="Times New Roman" w:eastAsia="Times New Roman" w:hAnsi="Times New Roman"/>
          <w:snapToGrid w:val="0"/>
        </w:rPr>
        <w:t>pranešimo</w:t>
      </w:r>
      <w:proofErr w:type="spellEnd"/>
      <w:r w:rsidR="005D787C" w:rsidRPr="002B549A">
        <w:rPr>
          <w:rFonts w:ascii="Times New Roman" w:eastAsia="Times New Roman" w:hAnsi="Times New Roman"/>
          <w:snapToGrid w:val="0"/>
        </w:rPr>
        <w:t xml:space="preserve"> formą </w:t>
      </w:r>
      <w:r w:rsidR="00B34310" w:rsidRPr="002B549A">
        <w:rPr>
          <w:rFonts w:ascii="Times New Roman" w:hAnsi="Times New Roman"/>
          <w:noProof/>
          <w:lang w:eastAsia="lt-LT"/>
        </w:rPr>
        <w:t xml:space="preserve"> Valstybinės vaistų kontrolės tarnybos prie Lietuvos Respublikos sveikatos apsaugos ministerijos tinklalapyje https://vvkt.lrv.lt/lt/ nurodytais būdais.</w:t>
      </w:r>
    </w:p>
    <w:p w14:paraId="6C2F517F" w14:textId="0974AE86" w:rsidR="005D787C" w:rsidRDefault="005D787C" w:rsidP="002642B8">
      <w:pPr>
        <w:autoSpaceDE w:val="0"/>
        <w:autoSpaceDN w:val="0"/>
        <w:adjustRightInd w:val="0"/>
        <w:spacing w:after="0"/>
        <w:rPr>
          <w:rFonts w:ascii="Times New Roman" w:eastAsia="Times New Roman" w:hAnsi="Times New Roman"/>
          <w:snapToGrid w:val="0"/>
        </w:rPr>
      </w:pPr>
    </w:p>
    <w:p w14:paraId="416A047A" w14:textId="77777777" w:rsidR="005D787C" w:rsidRPr="00DE4504" w:rsidRDefault="005D787C" w:rsidP="002642B8">
      <w:pPr>
        <w:autoSpaceDE w:val="0"/>
        <w:autoSpaceDN w:val="0"/>
        <w:adjustRightInd w:val="0"/>
        <w:spacing w:after="0"/>
        <w:rPr>
          <w:rFonts w:ascii="Times New Roman" w:eastAsia="Times New Roman" w:hAnsi="Times New Roman"/>
          <w:snapToGrid w:val="0"/>
        </w:rPr>
      </w:pPr>
    </w:p>
    <w:p w14:paraId="10BB5E69" w14:textId="77777777" w:rsidR="00D40FB6" w:rsidRPr="00037DA8" w:rsidRDefault="00D40FB6" w:rsidP="00D40FB6">
      <w:pPr>
        <w:tabs>
          <w:tab w:val="left" w:pos="567"/>
        </w:tabs>
        <w:spacing w:after="0" w:line="260" w:lineRule="exact"/>
        <w:rPr>
          <w:rFonts w:ascii="Times New Roman" w:eastAsia="Times New Roman" w:hAnsi="Times New Roman"/>
          <w:b/>
          <w:bCs/>
          <w:snapToGrid w:val="0"/>
        </w:rPr>
      </w:pPr>
      <w:r w:rsidRPr="004200DB">
        <w:rPr>
          <w:rFonts w:ascii="Times New Roman" w:eastAsia="Times New Roman" w:hAnsi="Times New Roman"/>
          <w:b/>
          <w:bCs/>
          <w:snapToGrid w:val="0"/>
        </w:rPr>
        <w:t>4.9</w:t>
      </w:r>
      <w:r w:rsidR="00F92812" w:rsidRPr="00037DA8">
        <w:rPr>
          <w:rFonts w:ascii="Times New Roman" w:eastAsia="Times New Roman" w:hAnsi="Times New Roman"/>
          <w:b/>
          <w:bCs/>
          <w:snapToGrid w:val="0"/>
        </w:rPr>
        <w:tab/>
      </w:r>
      <w:r w:rsidRPr="00037DA8">
        <w:rPr>
          <w:rFonts w:ascii="Times New Roman" w:eastAsia="Times New Roman" w:hAnsi="Times New Roman"/>
          <w:b/>
          <w:bCs/>
          <w:snapToGrid w:val="0"/>
        </w:rPr>
        <w:t>Perdozavimas</w:t>
      </w:r>
    </w:p>
    <w:p w14:paraId="7F219E02" w14:textId="77777777" w:rsidR="00F92812" w:rsidRPr="00037DA8" w:rsidRDefault="00F92812" w:rsidP="00D40FB6">
      <w:pPr>
        <w:tabs>
          <w:tab w:val="left" w:pos="567"/>
        </w:tabs>
        <w:spacing w:after="0" w:line="260" w:lineRule="exact"/>
        <w:rPr>
          <w:rFonts w:ascii="Times New Roman" w:eastAsia="Times New Roman" w:hAnsi="Times New Roman"/>
          <w:snapToGrid w:val="0"/>
        </w:rPr>
      </w:pPr>
    </w:p>
    <w:p w14:paraId="47B7B7F3" w14:textId="77777777" w:rsidR="00D40FB6" w:rsidRPr="00037DA8" w:rsidRDefault="00D40FB6" w:rsidP="00D40FB6">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priešnuodis nežinomas. Tikėtinos perdozavimo komplikacijos yra nepageidaujamų</w:t>
      </w:r>
      <w:r w:rsidR="00F92812" w:rsidRPr="00037DA8">
        <w:rPr>
          <w:rFonts w:ascii="Times New Roman" w:eastAsia="Times New Roman" w:hAnsi="Times New Roman"/>
          <w:snapToGrid w:val="0"/>
        </w:rPr>
        <w:t xml:space="preserve"> </w:t>
      </w:r>
      <w:r w:rsidRPr="00037DA8">
        <w:rPr>
          <w:rFonts w:ascii="Times New Roman" w:eastAsia="Times New Roman" w:hAnsi="Times New Roman"/>
          <w:snapToGrid w:val="0"/>
        </w:rPr>
        <w:t>reakcijų, tokių kaip kaulų čiulpų slopinimas ir virškinimo trakto sutrikimai, pa</w:t>
      </w:r>
      <w:r w:rsidR="00F92812" w:rsidRPr="00037DA8">
        <w:rPr>
          <w:rFonts w:ascii="Times New Roman" w:eastAsia="Times New Roman" w:hAnsi="Times New Roman"/>
          <w:snapToGrid w:val="0"/>
        </w:rPr>
        <w:t>sunkėjimas</w:t>
      </w:r>
      <w:r w:rsidRPr="00037DA8">
        <w:rPr>
          <w:rFonts w:ascii="Times New Roman" w:eastAsia="Times New Roman" w:hAnsi="Times New Roman"/>
          <w:snapToGrid w:val="0"/>
        </w:rPr>
        <w:t>.</w:t>
      </w:r>
    </w:p>
    <w:p w14:paraId="6E18BD9E" w14:textId="77777777" w:rsidR="00D40FB6" w:rsidRPr="00037DA8" w:rsidRDefault="00D40FB6" w:rsidP="00D40FB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Perdozav</w:t>
      </w:r>
      <w:r w:rsidR="00F92812" w:rsidRPr="00037DA8">
        <w:rPr>
          <w:rFonts w:ascii="Times New Roman" w:eastAsia="Times New Roman" w:hAnsi="Times New Roman"/>
          <w:snapToGrid w:val="0"/>
        </w:rPr>
        <w:t>imo atveju</w:t>
      </w:r>
      <w:r w:rsidRPr="00037DA8">
        <w:rPr>
          <w:rFonts w:ascii="Times New Roman" w:eastAsia="Times New Roman" w:hAnsi="Times New Roman"/>
          <w:snapToGrid w:val="0"/>
        </w:rPr>
        <w:t xml:space="preserve"> pacientą būtina gydyti specializuotame skyriuje ir atidžiai stebėti jo būklę. Pacientą</w:t>
      </w:r>
      <w:r w:rsidR="00F92812"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būtina pradėti gydyti G-KSF kiek įmanoma greičiau po to, kai sužinota, kad perdozuota. </w:t>
      </w:r>
      <w:r w:rsidR="00F92812" w:rsidRPr="00037DA8">
        <w:rPr>
          <w:rFonts w:ascii="Times New Roman" w:eastAsia="Times New Roman" w:hAnsi="Times New Roman"/>
          <w:snapToGrid w:val="0"/>
        </w:rPr>
        <w:t>Turi būti taikomos kitos reik</w:t>
      </w:r>
      <w:r w:rsidR="004B7C5B" w:rsidRPr="00037DA8">
        <w:rPr>
          <w:rFonts w:ascii="Times New Roman" w:eastAsia="Times New Roman" w:hAnsi="Times New Roman"/>
          <w:snapToGrid w:val="0"/>
        </w:rPr>
        <w:t>i</w:t>
      </w:r>
      <w:r w:rsidR="00F92812" w:rsidRPr="00037DA8">
        <w:rPr>
          <w:rFonts w:ascii="Times New Roman" w:eastAsia="Times New Roman" w:hAnsi="Times New Roman"/>
          <w:snapToGrid w:val="0"/>
        </w:rPr>
        <w:t>amos simptominės priemonės</w:t>
      </w:r>
      <w:r w:rsidRPr="00037DA8">
        <w:rPr>
          <w:rFonts w:ascii="Times New Roman" w:eastAsia="Times New Roman" w:hAnsi="Times New Roman"/>
          <w:snapToGrid w:val="0"/>
        </w:rPr>
        <w:t>.</w:t>
      </w:r>
    </w:p>
    <w:p w14:paraId="462F3628" w14:textId="77777777" w:rsidR="005031D7" w:rsidRDefault="005031D7" w:rsidP="00D40FB6">
      <w:pPr>
        <w:tabs>
          <w:tab w:val="left" w:pos="567"/>
        </w:tabs>
        <w:spacing w:after="0" w:line="260" w:lineRule="exact"/>
        <w:rPr>
          <w:rFonts w:ascii="Times New Roman" w:eastAsia="Times New Roman" w:hAnsi="Times New Roman"/>
          <w:snapToGrid w:val="0"/>
        </w:rPr>
      </w:pPr>
    </w:p>
    <w:p w14:paraId="6865249E" w14:textId="77777777" w:rsidR="00A77132" w:rsidRPr="00037DA8" w:rsidRDefault="00A77132" w:rsidP="00D40FB6">
      <w:pPr>
        <w:tabs>
          <w:tab w:val="left" w:pos="567"/>
        </w:tabs>
        <w:spacing w:after="0" w:line="260" w:lineRule="exact"/>
        <w:rPr>
          <w:rFonts w:ascii="Times New Roman" w:eastAsia="Times New Roman" w:hAnsi="Times New Roman"/>
          <w:snapToGrid w:val="0"/>
        </w:rPr>
      </w:pPr>
    </w:p>
    <w:p w14:paraId="1C3D7BC5" w14:textId="77777777" w:rsidR="00D40FB6" w:rsidRPr="00037DA8" w:rsidRDefault="00D40FB6" w:rsidP="00D40FB6">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5. FARMAKOLOGINĖS SAVYBĖS</w:t>
      </w:r>
    </w:p>
    <w:p w14:paraId="7DC1E2DE" w14:textId="77777777" w:rsidR="005031D7" w:rsidRPr="00037DA8" w:rsidRDefault="005031D7" w:rsidP="00D40FB6">
      <w:pPr>
        <w:tabs>
          <w:tab w:val="left" w:pos="567"/>
        </w:tabs>
        <w:spacing w:after="0" w:line="260" w:lineRule="exact"/>
        <w:rPr>
          <w:rFonts w:ascii="Times New Roman" w:eastAsia="Times New Roman" w:hAnsi="Times New Roman"/>
          <w:b/>
          <w:bCs/>
          <w:snapToGrid w:val="0"/>
        </w:rPr>
      </w:pPr>
    </w:p>
    <w:p w14:paraId="12296898" w14:textId="77777777" w:rsidR="00D40FB6" w:rsidRPr="00037DA8" w:rsidRDefault="00D40FB6" w:rsidP="00D40FB6">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 xml:space="preserve">5.1 </w:t>
      </w:r>
      <w:proofErr w:type="spellStart"/>
      <w:r w:rsidRPr="00037DA8">
        <w:rPr>
          <w:rFonts w:ascii="Times New Roman" w:eastAsia="Times New Roman" w:hAnsi="Times New Roman"/>
          <w:b/>
          <w:bCs/>
          <w:snapToGrid w:val="0"/>
        </w:rPr>
        <w:t>Farmakodinaminės</w:t>
      </w:r>
      <w:proofErr w:type="spellEnd"/>
      <w:r w:rsidRPr="00037DA8">
        <w:rPr>
          <w:rFonts w:ascii="Times New Roman" w:eastAsia="Times New Roman" w:hAnsi="Times New Roman"/>
          <w:b/>
          <w:bCs/>
          <w:snapToGrid w:val="0"/>
        </w:rPr>
        <w:t xml:space="preserve"> savybės</w:t>
      </w:r>
    </w:p>
    <w:p w14:paraId="599E5221" w14:textId="77777777" w:rsidR="005031D7" w:rsidRPr="00037DA8" w:rsidRDefault="005031D7" w:rsidP="00D40FB6">
      <w:pPr>
        <w:tabs>
          <w:tab w:val="left" w:pos="567"/>
        </w:tabs>
        <w:spacing w:after="0" w:line="260" w:lineRule="exact"/>
        <w:rPr>
          <w:rFonts w:ascii="Times New Roman" w:eastAsia="Times New Roman" w:hAnsi="Times New Roman"/>
          <w:snapToGrid w:val="0"/>
        </w:rPr>
      </w:pPr>
    </w:p>
    <w:p w14:paraId="29C19DB2" w14:textId="77777777" w:rsidR="00D40FB6" w:rsidRPr="00C229F7" w:rsidRDefault="00D40FB6" w:rsidP="00D40FB6">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Farmakoterapinė</w:t>
      </w:r>
      <w:proofErr w:type="spellEnd"/>
      <w:r w:rsidRPr="00037DA8">
        <w:rPr>
          <w:rFonts w:ascii="Times New Roman" w:eastAsia="Times New Roman" w:hAnsi="Times New Roman"/>
          <w:snapToGrid w:val="0"/>
        </w:rPr>
        <w:t xml:space="preserve"> grupė – </w:t>
      </w:r>
      <w:proofErr w:type="spellStart"/>
      <w:r w:rsidRPr="00037DA8">
        <w:rPr>
          <w:rFonts w:ascii="Times New Roman" w:eastAsia="Times New Roman" w:hAnsi="Times New Roman"/>
          <w:snapToGrid w:val="0"/>
        </w:rPr>
        <w:t>antin</w:t>
      </w:r>
      <w:r w:rsidR="005031D7" w:rsidRPr="00037DA8">
        <w:rPr>
          <w:rFonts w:ascii="Times New Roman" w:eastAsia="Times New Roman" w:hAnsi="Times New Roman"/>
          <w:snapToGrid w:val="0"/>
        </w:rPr>
        <w:t>avikin</w:t>
      </w:r>
      <w:r w:rsidR="00C229F7">
        <w:rPr>
          <w:rFonts w:ascii="Times New Roman" w:eastAsia="Times New Roman" w:hAnsi="Times New Roman"/>
          <w:snapToGrid w:val="0"/>
        </w:rPr>
        <w:t>iai</w:t>
      </w:r>
      <w:proofErr w:type="spellEnd"/>
      <w:r w:rsidR="00C229F7">
        <w:rPr>
          <w:rFonts w:ascii="Times New Roman" w:eastAsia="Times New Roman" w:hAnsi="Times New Roman"/>
          <w:snapToGrid w:val="0"/>
        </w:rPr>
        <w:t xml:space="preserve"> </w:t>
      </w:r>
      <w:r w:rsidR="00830259">
        <w:rPr>
          <w:rFonts w:ascii="Times New Roman" w:eastAsia="Times New Roman" w:hAnsi="Times New Roman"/>
          <w:snapToGrid w:val="0"/>
        </w:rPr>
        <w:t>vaistiniai preparatai</w:t>
      </w:r>
      <w:r w:rsidRPr="00C229F7">
        <w:rPr>
          <w:rFonts w:ascii="Times New Roman" w:eastAsia="Times New Roman" w:hAnsi="Times New Roman"/>
          <w:snapToGrid w:val="0"/>
        </w:rPr>
        <w:t xml:space="preserve">, </w:t>
      </w:r>
      <w:proofErr w:type="spellStart"/>
      <w:r w:rsidRPr="00C229F7">
        <w:rPr>
          <w:rFonts w:ascii="Times New Roman" w:eastAsia="Times New Roman" w:hAnsi="Times New Roman"/>
          <w:snapToGrid w:val="0"/>
        </w:rPr>
        <w:t>taksanai</w:t>
      </w:r>
      <w:proofErr w:type="spellEnd"/>
      <w:r w:rsidRPr="00C229F7">
        <w:rPr>
          <w:rFonts w:ascii="Times New Roman" w:eastAsia="Times New Roman" w:hAnsi="Times New Roman"/>
          <w:snapToGrid w:val="0"/>
        </w:rPr>
        <w:t>, ATC kodas – L01CD04</w:t>
      </w:r>
      <w:r w:rsidR="00830259">
        <w:rPr>
          <w:rFonts w:ascii="Times New Roman" w:eastAsia="Times New Roman" w:hAnsi="Times New Roman"/>
          <w:snapToGrid w:val="0"/>
        </w:rPr>
        <w:t>.</w:t>
      </w:r>
    </w:p>
    <w:p w14:paraId="03CB8A1D" w14:textId="77777777" w:rsidR="00CE71C9" w:rsidRPr="0085406C" w:rsidRDefault="00CE71C9" w:rsidP="00267DDB">
      <w:pPr>
        <w:tabs>
          <w:tab w:val="left" w:pos="567"/>
        </w:tabs>
        <w:spacing w:after="0" w:line="260" w:lineRule="exact"/>
        <w:rPr>
          <w:rFonts w:ascii="Times New Roman" w:eastAsia="Times New Roman" w:hAnsi="Times New Roman"/>
          <w:snapToGrid w:val="0"/>
        </w:rPr>
      </w:pPr>
    </w:p>
    <w:p w14:paraId="327E22D9" w14:textId="77777777" w:rsidR="005031D7" w:rsidRPr="004200DB" w:rsidRDefault="005031D7" w:rsidP="005031D7">
      <w:pPr>
        <w:tabs>
          <w:tab w:val="left" w:pos="567"/>
        </w:tabs>
        <w:spacing w:after="0" w:line="260" w:lineRule="exact"/>
        <w:rPr>
          <w:rFonts w:ascii="Times New Roman" w:eastAsia="Times New Roman" w:hAnsi="Times New Roman"/>
          <w:snapToGrid w:val="0"/>
          <w:u w:val="single"/>
        </w:rPr>
      </w:pPr>
      <w:r w:rsidRPr="004200DB">
        <w:rPr>
          <w:rFonts w:ascii="Times New Roman" w:eastAsia="Times New Roman" w:hAnsi="Times New Roman"/>
          <w:snapToGrid w:val="0"/>
          <w:u w:val="single"/>
        </w:rPr>
        <w:t>Veikimo mechanizmas</w:t>
      </w:r>
    </w:p>
    <w:p w14:paraId="2C0BAE08" w14:textId="77777777" w:rsidR="005031D7" w:rsidRPr="00037DA8" w:rsidRDefault="005031D7" w:rsidP="005031D7">
      <w:pPr>
        <w:tabs>
          <w:tab w:val="left" w:pos="567"/>
        </w:tabs>
        <w:spacing w:after="0" w:line="260" w:lineRule="exact"/>
        <w:rPr>
          <w:rFonts w:ascii="Times New Roman" w:eastAsia="Times New Roman" w:hAnsi="Times New Roman"/>
          <w:snapToGrid w:val="0"/>
        </w:rPr>
      </w:pPr>
      <w:proofErr w:type="spellStart"/>
      <w:r w:rsidRPr="004200DB">
        <w:rPr>
          <w:rFonts w:ascii="Times New Roman" w:eastAsia="Times New Roman" w:hAnsi="Times New Roman"/>
          <w:snapToGrid w:val="0"/>
        </w:rPr>
        <w:t>Kabazitakselis</w:t>
      </w:r>
      <w:proofErr w:type="spellEnd"/>
      <w:r w:rsidRPr="004200DB">
        <w:rPr>
          <w:rFonts w:ascii="Times New Roman" w:eastAsia="Times New Roman" w:hAnsi="Times New Roman"/>
          <w:snapToGrid w:val="0"/>
        </w:rPr>
        <w:t xml:space="preserve"> yra </w:t>
      </w:r>
      <w:proofErr w:type="spellStart"/>
      <w:r w:rsidRPr="004200DB">
        <w:rPr>
          <w:rFonts w:ascii="Times New Roman" w:eastAsia="Times New Roman" w:hAnsi="Times New Roman"/>
          <w:snapToGrid w:val="0"/>
        </w:rPr>
        <w:t>antinavikinė</w:t>
      </w:r>
      <w:proofErr w:type="spellEnd"/>
      <w:r w:rsidRPr="004200DB">
        <w:rPr>
          <w:rFonts w:ascii="Times New Roman" w:eastAsia="Times New Roman" w:hAnsi="Times New Roman"/>
          <w:snapToGrid w:val="0"/>
        </w:rPr>
        <w:t xml:space="preserve"> medžiaga, kurio veikimas pagrįstas ląstelės </w:t>
      </w:r>
      <w:proofErr w:type="spellStart"/>
      <w:r w:rsidRPr="004200DB">
        <w:rPr>
          <w:rFonts w:ascii="Times New Roman" w:eastAsia="Times New Roman" w:hAnsi="Times New Roman"/>
          <w:snapToGrid w:val="0"/>
        </w:rPr>
        <w:t>mikrovamzdelių</w:t>
      </w:r>
      <w:proofErr w:type="spellEnd"/>
      <w:r w:rsidRPr="004200DB">
        <w:rPr>
          <w:rFonts w:ascii="Times New Roman" w:eastAsia="Times New Roman" w:hAnsi="Times New Roman"/>
          <w:snapToGrid w:val="0"/>
        </w:rPr>
        <w:t xml:space="preserve"> </w:t>
      </w:r>
      <w:r w:rsidRPr="00037DA8">
        <w:rPr>
          <w:rFonts w:ascii="Times New Roman" w:eastAsia="Times New Roman" w:hAnsi="Times New Roman"/>
          <w:snapToGrid w:val="0"/>
        </w:rPr>
        <w:t xml:space="preserve">tinklo suardymu. </w:t>
      </w: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xml:space="preserve"> jungiasi prie </w:t>
      </w:r>
      <w:proofErr w:type="spellStart"/>
      <w:r w:rsidRPr="00037DA8">
        <w:rPr>
          <w:rFonts w:ascii="Times New Roman" w:eastAsia="Times New Roman" w:hAnsi="Times New Roman"/>
          <w:snapToGrid w:val="0"/>
        </w:rPr>
        <w:t>tubulino</w:t>
      </w:r>
      <w:proofErr w:type="spellEnd"/>
      <w:r w:rsidRPr="00037DA8">
        <w:rPr>
          <w:rFonts w:ascii="Times New Roman" w:eastAsia="Times New Roman" w:hAnsi="Times New Roman"/>
          <w:snapToGrid w:val="0"/>
        </w:rPr>
        <w:t xml:space="preserve"> ir skatina jo kaupimąsi </w:t>
      </w:r>
      <w:proofErr w:type="spellStart"/>
      <w:r w:rsidRPr="00037DA8">
        <w:rPr>
          <w:rFonts w:ascii="Times New Roman" w:eastAsia="Times New Roman" w:hAnsi="Times New Roman"/>
          <w:snapToGrid w:val="0"/>
        </w:rPr>
        <w:t>mikrovamzdeliuose</w:t>
      </w:r>
      <w:proofErr w:type="spellEnd"/>
      <w:r w:rsidRPr="00037DA8">
        <w:rPr>
          <w:rFonts w:ascii="Times New Roman" w:eastAsia="Times New Roman" w:hAnsi="Times New Roman"/>
          <w:snapToGrid w:val="0"/>
        </w:rPr>
        <w:t xml:space="preserve"> bei slopina atsiskyrimą. Dėl šios priežasties </w:t>
      </w:r>
      <w:proofErr w:type="spellStart"/>
      <w:r w:rsidRPr="00037DA8">
        <w:rPr>
          <w:rFonts w:ascii="Times New Roman" w:eastAsia="Times New Roman" w:hAnsi="Times New Roman"/>
          <w:snapToGrid w:val="0"/>
        </w:rPr>
        <w:t>mikrovamzdeliai</w:t>
      </w:r>
      <w:proofErr w:type="spellEnd"/>
      <w:r w:rsidRPr="00037DA8">
        <w:rPr>
          <w:rFonts w:ascii="Times New Roman" w:eastAsia="Times New Roman" w:hAnsi="Times New Roman"/>
          <w:snapToGrid w:val="0"/>
        </w:rPr>
        <w:t xml:space="preserve"> stabilizuojami ir taip slopinamos </w:t>
      </w:r>
      <w:proofErr w:type="spellStart"/>
      <w:r w:rsidRPr="00037DA8">
        <w:rPr>
          <w:rFonts w:ascii="Times New Roman" w:eastAsia="Times New Roman" w:hAnsi="Times New Roman"/>
          <w:snapToGrid w:val="0"/>
        </w:rPr>
        <w:t>mitozinės</w:t>
      </w:r>
      <w:proofErr w:type="spellEnd"/>
      <w:r w:rsidRPr="00037DA8">
        <w:rPr>
          <w:rFonts w:ascii="Times New Roman" w:eastAsia="Times New Roman" w:hAnsi="Times New Roman"/>
          <w:snapToGrid w:val="0"/>
        </w:rPr>
        <w:t xml:space="preserve"> ir </w:t>
      </w:r>
      <w:proofErr w:type="spellStart"/>
      <w:r w:rsidRPr="00037DA8">
        <w:rPr>
          <w:rFonts w:ascii="Times New Roman" w:eastAsia="Times New Roman" w:hAnsi="Times New Roman"/>
          <w:snapToGrid w:val="0"/>
        </w:rPr>
        <w:t>interfazinės</w:t>
      </w:r>
      <w:proofErr w:type="spellEnd"/>
      <w:r w:rsidRPr="00037DA8">
        <w:rPr>
          <w:rFonts w:ascii="Times New Roman" w:eastAsia="Times New Roman" w:hAnsi="Times New Roman"/>
          <w:snapToGrid w:val="0"/>
        </w:rPr>
        <w:t xml:space="preserve"> ląstelių funkcijos.</w:t>
      </w:r>
    </w:p>
    <w:p w14:paraId="57204285" w14:textId="77777777" w:rsidR="005031D7" w:rsidRPr="00037DA8" w:rsidRDefault="005031D7" w:rsidP="005031D7">
      <w:pPr>
        <w:tabs>
          <w:tab w:val="left" w:pos="567"/>
        </w:tabs>
        <w:spacing w:after="0" w:line="260" w:lineRule="exact"/>
        <w:rPr>
          <w:rFonts w:ascii="Times New Roman" w:eastAsia="Times New Roman" w:hAnsi="Times New Roman"/>
          <w:snapToGrid w:val="0"/>
        </w:rPr>
      </w:pPr>
    </w:p>
    <w:p w14:paraId="0BA4CB73" w14:textId="77777777" w:rsidR="005031D7" w:rsidRPr="00037DA8" w:rsidRDefault="005031D7" w:rsidP="005031D7">
      <w:pPr>
        <w:tabs>
          <w:tab w:val="left" w:pos="567"/>
        </w:tabs>
        <w:spacing w:after="0" w:line="260" w:lineRule="exact"/>
        <w:rPr>
          <w:rFonts w:ascii="Times New Roman" w:eastAsia="Times New Roman" w:hAnsi="Times New Roman"/>
          <w:snapToGrid w:val="0"/>
          <w:u w:val="single"/>
        </w:rPr>
      </w:pPr>
      <w:proofErr w:type="spellStart"/>
      <w:r w:rsidRPr="00037DA8">
        <w:rPr>
          <w:rFonts w:ascii="Times New Roman" w:eastAsia="Times New Roman" w:hAnsi="Times New Roman"/>
          <w:snapToGrid w:val="0"/>
          <w:u w:val="single"/>
        </w:rPr>
        <w:t>Farmakodinaminis</w:t>
      </w:r>
      <w:proofErr w:type="spellEnd"/>
      <w:r w:rsidRPr="00037DA8">
        <w:rPr>
          <w:rFonts w:ascii="Times New Roman" w:eastAsia="Times New Roman" w:hAnsi="Times New Roman"/>
          <w:snapToGrid w:val="0"/>
          <w:u w:val="single"/>
        </w:rPr>
        <w:t xml:space="preserve"> poveikis</w:t>
      </w:r>
    </w:p>
    <w:p w14:paraId="4C1DBA2B" w14:textId="77777777" w:rsidR="005031D7" w:rsidRPr="00037DA8" w:rsidRDefault="005031D7" w:rsidP="005031D7">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Kabazitakseliui</w:t>
      </w:r>
      <w:proofErr w:type="spellEnd"/>
      <w:r w:rsidRPr="00037DA8">
        <w:rPr>
          <w:rFonts w:ascii="Times New Roman" w:eastAsia="Times New Roman" w:hAnsi="Times New Roman"/>
          <w:snapToGrid w:val="0"/>
        </w:rPr>
        <w:t xml:space="preserve"> būdingas plataus poveikio </w:t>
      </w:r>
      <w:proofErr w:type="spellStart"/>
      <w:r w:rsidRPr="00037DA8">
        <w:rPr>
          <w:rFonts w:ascii="Times New Roman" w:eastAsia="Times New Roman" w:hAnsi="Times New Roman"/>
          <w:snapToGrid w:val="0"/>
        </w:rPr>
        <w:t>antinavikinis</w:t>
      </w:r>
      <w:proofErr w:type="spellEnd"/>
      <w:r w:rsidRPr="00037DA8">
        <w:rPr>
          <w:rFonts w:ascii="Times New Roman" w:eastAsia="Times New Roman" w:hAnsi="Times New Roman"/>
          <w:snapToGrid w:val="0"/>
        </w:rPr>
        <w:t xml:space="preserve"> aktyvumas prieš pelėms persodintus progresavusius žmogaus navikus. </w:t>
      </w: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xml:space="preserve"> veikia </w:t>
      </w:r>
      <w:proofErr w:type="spellStart"/>
      <w:r w:rsidRPr="00037DA8">
        <w:rPr>
          <w:rFonts w:ascii="Times New Roman" w:eastAsia="Times New Roman" w:hAnsi="Times New Roman"/>
          <w:snapToGrid w:val="0"/>
        </w:rPr>
        <w:t>docetakseliui</w:t>
      </w:r>
      <w:proofErr w:type="spellEnd"/>
      <w:r w:rsidRPr="00037DA8">
        <w:rPr>
          <w:rFonts w:ascii="Times New Roman" w:eastAsia="Times New Roman" w:hAnsi="Times New Roman"/>
          <w:snapToGrid w:val="0"/>
        </w:rPr>
        <w:t xml:space="preserve"> jautrius navikus. Be to, </w:t>
      </w: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xml:space="preserve"> sukelia poveikį navikų modeliams, nejautriems chemoterapijai, įskaitant </w:t>
      </w:r>
      <w:proofErr w:type="spellStart"/>
      <w:r w:rsidRPr="00037DA8">
        <w:rPr>
          <w:rFonts w:ascii="Times New Roman" w:eastAsia="Times New Roman" w:hAnsi="Times New Roman"/>
          <w:snapToGrid w:val="0"/>
        </w:rPr>
        <w:t>docetakselį</w:t>
      </w:r>
      <w:proofErr w:type="spellEnd"/>
      <w:r w:rsidRPr="00037DA8">
        <w:rPr>
          <w:rFonts w:ascii="Times New Roman" w:eastAsia="Times New Roman" w:hAnsi="Times New Roman"/>
          <w:snapToGrid w:val="0"/>
        </w:rPr>
        <w:t>.</w:t>
      </w:r>
    </w:p>
    <w:p w14:paraId="2B7BD0B9" w14:textId="77777777" w:rsidR="008A3613" w:rsidRPr="00037DA8" w:rsidRDefault="008A3613" w:rsidP="005031D7">
      <w:pPr>
        <w:tabs>
          <w:tab w:val="left" w:pos="567"/>
        </w:tabs>
        <w:spacing w:after="0" w:line="260" w:lineRule="exact"/>
        <w:rPr>
          <w:rFonts w:ascii="Times New Roman" w:eastAsia="Times New Roman" w:hAnsi="Times New Roman"/>
          <w:snapToGrid w:val="0"/>
        </w:rPr>
      </w:pPr>
    </w:p>
    <w:p w14:paraId="48031F86" w14:textId="77777777" w:rsidR="005031D7" w:rsidRPr="00037DA8" w:rsidRDefault="005031D7" w:rsidP="005031D7">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Klinikinis veiksmingumas ir saugumas</w:t>
      </w:r>
    </w:p>
    <w:p w14:paraId="7E3EC5B9" w14:textId="77777777" w:rsidR="00CF373C" w:rsidRDefault="008A3613" w:rsidP="005031D7">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Kabazitakselio</w:t>
      </w:r>
      <w:proofErr w:type="spellEnd"/>
      <w:r w:rsidR="005031D7" w:rsidRPr="00037DA8">
        <w:rPr>
          <w:rFonts w:ascii="Times New Roman" w:eastAsia="Times New Roman" w:hAnsi="Times New Roman"/>
          <w:snapToGrid w:val="0"/>
        </w:rPr>
        <w:t xml:space="preserve">, vartojamo </w:t>
      </w:r>
      <w:r w:rsidRPr="00037DA8">
        <w:rPr>
          <w:rFonts w:ascii="Times New Roman" w:eastAsia="Times New Roman" w:hAnsi="Times New Roman"/>
          <w:snapToGrid w:val="0"/>
        </w:rPr>
        <w:t>derinyje su</w:t>
      </w:r>
      <w:r w:rsidR="005031D7" w:rsidRPr="00037DA8">
        <w:rPr>
          <w:rFonts w:ascii="Times New Roman" w:eastAsia="Times New Roman" w:hAnsi="Times New Roman"/>
          <w:snapToGrid w:val="0"/>
        </w:rPr>
        <w:t xml:space="preserve"> prednizonu ar prednizolonu, </w:t>
      </w:r>
      <w:r w:rsidRPr="00037DA8">
        <w:rPr>
          <w:rFonts w:ascii="Times New Roman" w:eastAsia="Times New Roman" w:hAnsi="Times New Roman"/>
          <w:snapToGrid w:val="0"/>
        </w:rPr>
        <w:t>veiksmingumas</w:t>
      </w:r>
      <w:r w:rsidR="005031D7" w:rsidRPr="00037DA8">
        <w:rPr>
          <w:rFonts w:ascii="Times New Roman" w:eastAsia="Times New Roman" w:hAnsi="Times New Roman"/>
          <w:snapToGrid w:val="0"/>
        </w:rPr>
        <w:t xml:space="preserve"> ir saugumas </w:t>
      </w:r>
      <w:r w:rsidRPr="00037DA8">
        <w:rPr>
          <w:rFonts w:ascii="Times New Roman" w:eastAsia="Times New Roman" w:hAnsi="Times New Roman"/>
          <w:snapToGrid w:val="0"/>
        </w:rPr>
        <w:t>į</w:t>
      </w:r>
      <w:r w:rsidR="005031D7" w:rsidRPr="00037DA8">
        <w:rPr>
          <w:rFonts w:ascii="Times New Roman" w:eastAsia="Times New Roman" w:hAnsi="Times New Roman"/>
          <w:snapToGrid w:val="0"/>
        </w:rPr>
        <w:t>vertinti</w:t>
      </w:r>
      <w:r w:rsidRPr="00037DA8">
        <w:rPr>
          <w:rFonts w:ascii="Times New Roman" w:eastAsia="Times New Roman" w:hAnsi="Times New Roman"/>
          <w:snapToGrid w:val="0"/>
        </w:rPr>
        <w:t xml:space="preserve"> </w:t>
      </w:r>
      <w:r w:rsidR="005031D7" w:rsidRPr="00037DA8">
        <w:rPr>
          <w:rFonts w:ascii="Times New Roman" w:eastAsia="Times New Roman" w:hAnsi="Times New Roman"/>
          <w:snapToGrid w:val="0"/>
        </w:rPr>
        <w:t xml:space="preserve">atsitiktinių imčių atviro tarptautinio </w:t>
      </w:r>
      <w:proofErr w:type="spellStart"/>
      <w:r w:rsidR="005031D7" w:rsidRPr="00037DA8">
        <w:rPr>
          <w:rFonts w:ascii="Times New Roman" w:eastAsia="Times New Roman" w:hAnsi="Times New Roman"/>
          <w:snapToGrid w:val="0"/>
        </w:rPr>
        <w:t>daugiacentrio</w:t>
      </w:r>
      <w:proofErr w:type="spellEnd"/>
      <w:r w:rsidR="005031D7" w:rsidRPr="00037DA8">
        <w:rPr>
          <w:rFonts w:ascii="Times New Roman" w:eastAsia="Times New Roman" w:hAnsi="Times New Roman"/>
          <w:snapToGrid w:val="0"/>
        </w:rPr>
        <w:t xml:space="preserve"> III fazės tyrimo (tyrimo EFC6193), kuriame</w:t>
      </w:r>
      <w:r w:rsidRPr="00037DA8">
        <w:rPr>
          <w:rFonts w:ascii="Times New Roman" w:eastAsia="Times New Roman" w:hAnsi="Times New Roman"/>
          <w:snapToGrid w:val="0"/>
        </w:rPr>
        <w:t xml:space="preserve"> </w:t>
      </w:r>
      <w:r w:rsidR="005031D7" w:rsidRPr="00037DA8">
        <w:rPr>
          <w:rFonts w:ascii="Times New Roman" w:eastAsia="Times New Roman" w:hAnsi="Times New Roman"/>
          <w:snapToGrid w:val="0"/>
        </w:rPr>
        <w:t xml:space="preserve">dalyvavo į kastraciją nereaguojančiu </w:t>
      </w:r>
      <w:proofErr w:type="spellStart"/>
      <w:r w:rsidR="005031D7" w:rsidRPr="00037DA8">
        <w:rPr>
          <w:rFonts w:ascii="Times New Roman" w:eastAsia="Times New Roman" w:hAnsi="Times New Roman"/>
          <w:snapToGrid w:val="0"/>
        </w:rPr>
        <w:t>metastazavusiu</w:t>
      </w:r>
      <w:proofErr w:type="spellEnd"/>
      <w:r w:rsidR="005031D7" w:rsidRPr="00037DA8">
        <w:rPr>
          <w:rFonts w:ascii="Times New Roman" w:eastAsia="Times New Roman" w:hAnsi="Times New Roman"/>
          <w:snapToGrid w:val="0"/>
        </w:rPr>
        <w:t xml:space="preserve"> prostatos vėžiu s</w:t>
      </w:r>
      <w:r w:rsidRPr="00037DA8">
        <w:rPr>
          <w:rFonts w:ascii="Times New Roman" w:eastAsia="Times New Roman" w:hAnsi="Times New Roman"/>
          <w:snapToGrid w:val="0"/>
        </w:rPr>
        <w:t>ergantys</w:t>
      </w:r>
      <w:r w:rsidR="005031D7" w:rsidRPr="00037DA8">
        <w:rPr>
          <w:rFonts w:ascii="Times New Roman" w:eastAsia="Times New Roman" w:hAnsi="Times New Roman"/>
          <w:snapToGrid w:val="0"/>
        </w:rPr>
        <w:t xml:space="preserve"> pacientai, anksčiau gydyti</w:t>
      </w:r>
      <w:r w:rsidRPr="00037DA8">
        <w:rPr>
          <w:rFonts w:ascii="Times New Roman" w:eastAsia="Times New Roman" w:hAnsi="Times New Roman"/>
          <w:snapToGrid w:val="0"/>
        </w:rPr>
        <w:t xml:space="preserve"> </w:t>
      </w:r>
      <w:r w:rsidR="005031D7" w:rsidRPr="00037DA8">
        <w:rPr>
          <w:rFonts w:ascii="Times New Roman" w:eastAsia="Times New Roman" w:hAnsi="Times New Roman"/>
          <w:snapToGrid w:val="0"/>
        </w:rPr>
        <w:t xml:space="preserve">pagal schemą, į kurią buvo įtrauktas </w:t>
      </w:r>
      <w:proofErr w:type="spellStart"/>
      <w:r w:rsidR="005031D7" w:rsidRPr="00037DA8">
        <w:rPr>
          <w:rFonts w:ascii="Times New Roman" w:eastAsia="Times New Roman" w:hAnsi="Times New Roman"/>
          <w:snapToGrid w:val="0"/>
        </w:rPr>
        <w:t>docetakselis</w:t>
      </w:r>
      <w:proofErr w:type="spellEnd"/>
      <w:r w:rsidR="005031D7" w:rsidRPr="00037DA8">
        <w:rPr>
          <w:rFonts w:ascii="Times New Roman" w:eastAsia="Times New Roman" w:hAnsi="Times New Roman"/>
          <w:snapToGrid w:val="0"/>
        </w:rPr>
        <w:t>, metu.</w:t>
      </w:r>
      <w:r w:rsidRPr="00037DA8">
        <w:rPr>
          <w:rFonts w:ascii="Times New Roman" w:eastAsia="Times New Roman" w:hAnsi="Times New Roman"/>
          <w:snapToGrid w:val="0"/>
        </w:rPr>
        <w:t xml:space="preserve"> </w:t>
      </w:r>
    </w:p>
    <w:p w14:paraId="0EEF0624" w14:textId="77777777" w:rsidR="00CF373C" w:rsidRDefault="00CF373C" w:rsidP="005031D7">
      <w:pPr>
        <w:tabs>
          <w:tab w:val="left" w:pos="567"/>
        </w:tabs>
        <w:spacing w:after="0" w:line="260" w:lineRule="exact"/>
        <w:rPr>
          <w:rFonts w:ascii="Times New Roman" w:eastAsia="Times New Roman" w:hAnsi="Times New Roman"/>
          <w:snapToGrid w:val="0"/>
        </w:rPr>
      </w:pPr>
    </w:p>
    <w:p w14:paraId="3ADD3B1C" w14:textId="256E2E32" w:rsidR="005031D7" w:rsidRPr="00037DA8" w:rsidRDefault="005031D7" w:rsidP="005031D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Pagrindinė </w:t>
      </w:r>
      <w:r w:rsidR="008A3613" w:rsidRPr="00037DA8">
        <w:rPr>
          <w:rFonts w:ascii="Times New Roman" w:eastAsia="Times New Roman" w:hAnsi="Times New Roman"/>
          <w:snapToGrid w:val="0"/>
        </w:rPr>
        <w:t xml:space="preserve">tyrimo </w:t>
      </w:r>
      <w:r w:rsidRPr="00037DA8">
        <w:rPr>
          <w:rFonts w:ascii="Times New Roman" w:eastAsia="Times New Roman" w:hAnsi="Times New Roman"/>
          <w:snapToGrid w:val="0"/>
        </w:rPr>
        <w:t>vertinamoj</w:t>
      </w:r>
      <w:r w:rsidR="008A3613" w:rsidRPr="00037DA8">
        <w:rPr>
          <w:rFonts w:ascii="Times New Roman" w:eastAsia="Times New Roman" w:hAnsi="Times New Roman"/>
          <w:snapToGrid w:val="0"/>
        </w:rPr>
        <w:t>i</w:t>
      </w:r>
      <w:r w:rsidRPr="00037DA8">
        <w:rPr>
          <w:rFonts w:ascii="Times New Roman" w:eastAsia="Times New Roman" w:hAnsi="Times New Roman"/>
          <w:snapToGrid w:val="0"/>
        </w:rPr>
        <w:t xml:space="preserve"> baigtis buvo bendrasis išgyvenamumas (BI).</w:t>
      </w:r>
    </w:p>
    <w:p w14:paraId="54317C6F" w14:textId="3262E777" w:rsidR="005031D7" w:rsidRPr="00037DA8" w:rsidRDefault="005031D7" w:rsidP="005031D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Antr</w:t>
      </w:r>
      <w:r w:rsidR="008A3613" w:rsidRPr="00037DA8">
        <w:rPr>
          <w:rFonts w:ascii="Times New Roman" w:eastAsia="Times New Roman" w:hAnsi="Times New Roman"/>
          <w:snapToGrid w:val="0"/>
        </w:rPr>
        <w:t>aeilės</w:t>
      </w:r>
      <w:r w:rsidRPr="00037DA8">
        <w:rPr>
          <w:rFonts w:ascii="Times New Roman" w:eastAsia="Times New Roman" w:hAnsi="Times New Roman"/>
          <w:snapToGrid w:val="0"/>
        </w:rPr>
        <w:t xml:space="preserve"> vertinamosios baigtys buvo išgyvenamumas be ligos progresavimo (IBLP, apibūdinamas</w:t>
      </w:r>
      <w:r w:rsidR="008A3613" w:rsidRPr="00037DA8">
        <w:rPr>
          <w:rFonts w:ascii="Times New Roman" w:eastAsia="Times New Roman" w:hAnsi="Times New Roman"/>
          <w:snapToGrid w:val="0"/>
        </w:rPr>
        <w:t xml:space="preserve"> </w:t>
      </w:r>
      <w:r w:rsidRPr="00037DA8">
        <w:rPr>
          <w:rFonts w:ascii="Times New Roman" w:eastAsia="Times New Roman" w:hAnsi="Times New Roman"/>
          <w:snapToGrid w:val="0"/>
        </w:rPr>
        <w:t>kaip laikas nuo priskyrimo atsitiktinei imčiai iki naviko progresavimo, prostatai specifinio antigeno</w:t>
      </w:r>
      <w:r w:rsidR="008A3613" w:rsidRPr="00037DA8">
        <w:rPr>
          <w:rFonts w:ascii="Times New Roman" w:eastAsia="Times New Roman" w:hAnsi="Times New Roman"/>
          <w:snapToGrid w:val="0"/>
        </w:rPr>
        <w:t xml:space="preserve"> </w:t>
      </w:r>
      <w:r w:rsidRPr="00037DA8">
        <w:rPr>
          <w:rFonts w:ascii="Times New Roman" w:eastAsia="Times New Roman" w:hAnsi="Times New Roman"/>
          <w:snapToGrid w:val="0"/>
        </w:rPr>
        <w:t>(PSA) progresavimo, skausmo progresavimo ar mirties nuo bet kokios priežasties, priklausomai nuo</w:t>
      </w:r>
      <w:r w:rsidR="008A3613"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to, koks įvykis įvyksta pirmiau), naviko reakcijos dažnis atsižvelgiant į </w:t>
      </w:r>
      <w:proofErr w:type="spellStart"/>
      <w:r w:rsidR="004D08EF">
        <w:rPr>
          <w:rFonts w:ascii="Times New Roman" w:eastAsia="Times New Roman" w:hAnsi="Times New Roman"/>
          <w:snapToGrid w:val="0"/>
        </w:rPr>
        <w:t>s</w:t>
      </w:r>
      <w:r w:rsidR="00B8260C">
        <w:rPr>
          <w:rFonts w:ascii="Times New Roman" w:eastAsia="Times New Roman" w:hAnsi="Times New Roman"/>
          <w:snapToGrid w:val="0"/>
        </w:rPr>
        <w:t>olidinio</w:t>
      </w:r>
      <w:proofErr w:type="spellEnd"/>
      <w:r w:rsidRPr="00037DA8">
        <w:rPr>
          <w:rFonts w:ascii="Times New Roman" w:eastAsia="Times New Roman" w:hAnsi="Times New Roman"/>
          <w:snapToGrid w:val="0"/>
        </w:rPr>
        <w:t xml:space="preserve"> naviko reakcijos</w:t>
      </w:r>
      <w:r w:rsidR="008A3613" w:rsidRPr="00037DA8">
        <w:rPr>
          <w:rFonts w:ascii="Times New Roman" w:eastAsia="Times New Roman" w:hAnsi="Times New Roman"/>
          <w:snapToGrid w:val="0"/>
        </w:rPr>
        <w:t xml:space="preserve"> </w:t>
      </w:r>
      <w:r w:rsidRPr="00037DA8">
        <w:rPr>
          <w:rFonts w:ascii="Times New Roman" w:eastAsia="Times New Roman" w:hAnsi="Times New Roman"/>
          <w:snapToGrid w:val="0"/>
        </w:rPr>
        <w:t>vertinimo kriterijus (</w:t>
      </w:r>
      <w:proofErr w:type="spellStart"/>
      <w:r w:rsidRPr="00037DA8">
        <w:rPr>
          <w:rFonts w:ascii="Times New Roman" w:eastAsia="Times New Roman" w:hAnsi="Times New Roman"/>
          <w:i/>
          <w:iCs/>
          <w:snapToGrid w:val="0"/>
        </w:rPr>
        <w:t>Response</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Evaluation</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Criteria</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in</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Solid</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Tumours</w:t>
      </w:r>
      <w:proofErr w:type="spellEnd"/>
      <w:r w:rsidRPr="00037DA8">
        <w:rPr>
          <w:rFonts w:ascii="Times New Roman" w:eastAsia="Times New Roman" w:hAnsi="Times New Roman"/>
          <w:snapToGrid w:val="0"/>
        </w:rPr>
        <w:t>, RECIST), PSA progresavimas</w:t>
      </w:r>
      <w:r w:rsidR="008A3613" w:rsidRPr="00037DA8">
        <w:rPr>
          <w:rFonts w:ascii="Times New Roman" w:eastAsia="Times New Roman" w:hAnsi="Times New Roman"/>
          <w:snapToGrid w:val="0"/>
        </w:rPr>
        <w:t xml:space="preserve"> </w:t>
      </w:r>
      <w:r w:rsidRPr="00037DA8">
        <w:rPr>
          <w:rFonts w:ascii="Times New Roman" w:eastAsia="Times New Roman" w:hAnsi="Times New Roman"/>
          <w:snapToGrid w:val="0"/>
        </w:rPr>
        <w:t>(apibrėžiamas kaip padidėjimas ≥</w:t>
      </w:r>
      <w:r w:rsidR="000448C3">
        <w:rPr>
          <w:rFonts w:ascii="Times New Roman" w:eastAsia="Times New Roman" w:hAnsi="Times New Roman"/>
          <w:snapToGrid w:val="0"/>
        </w:rPr>
        <w:t> </w:t>
      </w:r>
      <w:r w:rsidRPr="00037DA8">
        <w:rPr>
          <w:rFonts w:ascii="Times New Roman" w:eastAsia="Times New Roman" w:hAnsi="Times New Roman"/>
          <w:snapToGrid w:val="0"/>
        </w:rPr>
        <w:t>25</w:t>
      </w:r>
      <w:r w:rsidR="000448C3">
        <w:rPr>
          <w:rFonts w:ascii="Times New Roman" w:eastAsia="Times New Roman" w:hAnsi="Times New Roman"/>
          <w:snapToGrid w:val="0"/>
        </w:rPr>
        <w:t> </w:t>
      </w:r>
      <w:r w:rsidRPr="00830259">
        <w:rPr>
          <w:rFonts w:ascii="Times New Roman" w:eastAsia="Times New Roman" w:hAnsi="Times New Roman"/>
          <w:snapToGrid w:val="0"/>
        </w:rPr>
        <w:t>% arba &gt;</w:t>
      </w:r>
      <w:r w:rsidR="000448C3">
        <w:rPr>
          <w:rFonts w:ascii="Times New Roman" w:eastAsia="Times New Roman" w:hAnsi="Times New Roman"/>
          <w:snapToGrid w:val="0"/>
        </w:rPr>
        <w:t> </w:t>
      </w:r>
      <w:r w:rsidRPr="00830259">
        <w:rPr>
          <w:rFonts w:ascii="Times New Roman" w:eastAsia="Times New Roman" w:hAnsi="Times New Roman"/>
          <w:snapToGrid w:val="0"/>
        </w:rPr>
        <w:t>50</w:t>
      </w:r>
      <w:r w:rsidR="000448C3">
        <w:rPr>
          <w:rFonts w:ascii="Times New Roman" w:eastAsia="Times New Roman" w:hAnsi="Times New Roman"/>
          <w:snapToGrid w:val="0"/>
        </w:rPr>
        <w:t> </w:t>
      </w:r>
      <w:r w:rsidRPr="00830259">
        <w:rPr>
          <w:rFonts w:ascii="Times New Roman" w:eastAsia="Times New Roman" w:hAnsi="Times New Roman"/>
          <w:snapToGrid w:val="0"/>
        </w:rPr>
        <w:t>% atitinkamai pacientams, kurių PSA nereagavo ar</w:t>
      </w:r>
      <w:r w:rsidR="008A3613" w:rsidRPr="00830259">
        <w:rPr>
          <w:rFonts w:ascii="Times New Roman" w:eastAsia="Times New Roman" w:hAnsi="Times New Roman"/>
          <w:snapToGrid w:val="0"/>
        </w:rPr>
        <w:t xml:space="preserve"> </w:t>
      </w:r>
      <w:r w:rsidRPr="00830259">
        <w:rPr>
          <w:rFonts w:ascii="Times New Roman" w:eastAsia="Times New Roman" w:hAnsi="Times New Roman"/>
          <w:snapToGrid w:val="0"/>
        </w:rPr>
        <w:t>reagavo), PSA reakcija (PSA koncentracijos serume sumažėjimas mažiausiai 50</w:t>
      </w:r>
      <w:r w:rsidR="000448C3">
        <w:rPr>
          <w:rFonts w:ascii="Times New Roman" w:eastAsia="Times New Roman" w:hAnsi="Times New Roman"/>
          <w:snapToGrid w:val="0"/>
        </w:rPr>
        <w:t> </w:t>
      </w:r>
      <w:r w:rsidRPr="00830259">
        <w:rPr>
          <w:rFonts w:ascii="Times New Roman" w:eastAsia="Times New Roman" w:hAnsi="Times New Roman"/>
          <w:snapToGrid w:val="0"/>
        </w:rPr>
        <w:t>%), skausmo</w:t>
      </w:r>
      <w:r w:rsidR="008A3613" w:rsidRPr="00830259">
        <w:rPr>
          <w:rFonts w:ascii="Times New Roman" w:eastAsia="Times New Roman" w:hAnsi="Times New Roman"/>
          <w:snapToGrid w:val="0"/>
        </w:rPr>
        <w:t xml:space="preserve"> </w:t>
      </w:r>
      <w:r w:rsidRPr="0085406C">
        <w:rPr>
          <w:rFonts w:ascii="Times New Roman" w:eastAsia="Times New Roman" w:hAnsi="Times New Roman"/>
          <w:snapToGrid w:val="0"/>
        </w:rPr>
        <w:t xml:space="preserve">progresavimas (vertintas naudojant Esamo skausmo intensyvumo </w:t>
      </w:r>
      <w:r w:rsidR="008A3613" w:rsidRPr="0085406C">
        <w:rPr>
          <w:rFonts w:ascii="Times New Roman" w:eastAsia="Times New Roman" w:hAnsi="Times New Roman"/>
          <w:snapToGrid w:val="0"/>
        </w:rPr>
        <w:t>[</w:t>
      </w:r>
      <w:proofErr w:type="spellStart"/>
      <w:r w:rsidRPr="004200DB">
        <w:rPr>
          <w:rFonts w:ascii="Times New Roman" w:eastAsia="Times New Roman" w:hAnsi="Times New Roman"/>
          <w:i/>
          <w:iCs/>
          <w:snapToGrid w:val="0"/>
        </w:rPr>
        <w:t>Present</w:t>
      </w:r>
      <w:proofErr w:type="spellEnd"/>
      <w:r w:rsidRPr="004200DB">
        <w:rPr>
          <w:rFonts w:ascii="Times New Roman" w:eastAsia="Times New Roman" w:hAnsi="Times New Roman"/>
          <w:i/>
          <w:iCs/>
          <w:snapToGrid w:val="0"/>
        </w:rPr>
        <w:t xml:space="preserve"> </w:t>
      </w:r>
      <w:proofErr w:type="spellStart"/>
      <w:r w:rsidRPr="004200DB">
        <w:rPr>
          <w:rFonts w:ascii="Times New Roman" w:eastAsia="Times New Roman" w:hAnsi="Times New Roman"/>
          <w:i/>
          <w:iCs/>
          <w:snapToGrid w:val="0"/>
        </w:rPr>
        <w:t>Pain</w:t>
      </w:r>
      <w:proofErr w:type="spellEnd"/>
      <w:r w:rsidRPr="004200DB">
        <w:rPr>
          <w:rFonts w:ascii="Times New Roman" w:eastAsia="Times New Roman" w:hAnsi="Times New Roman"/>
          <w:i/>
          <w:iCs/>
          <w:snapToGrid w:val="0"/>
        </w:rPr>
        <w:t xml:space="preserve"> </w:t>
      </w:r>
      <w:proofErr w:type="spellStart"/>
      <w:r w:rsidRPr="004200DB">
        <w:rPr>
          <w:rFonts w:ascii="Times New Roman" w:eastAsia="Times New Roman" w:hAnsi="Times New Roman"/>
          <w:i/>
          <w:iCs/>
          <w:snapToGrid w:val="0"/>
        </w:rPr>
        <w:t>Intensity</w:t>
      </w:r>
      <w:proofErr w:type="spellEnd"/>
      <w:r w:rsidRPr="004200DB">
        <w:rPr>
          <w:rFonts w:ascii="Times New Roman" w:eastAsia="Times New Roman" w:hAnsi="Times New Roman"/>
          <w:snapToGrid w:val="0"/>
        </w:rPr>
        <w:t>, PPI</w:t>
      </w:r>
      <w:r w:rsidR="008A3613" w:rsidRPr="00037DA8">
        <w:rPr>
          <w:rFonts w:ascii="Times New Roman" w:eastAsia="Times New Roman" w:hAnsi="Times New Roman"/>
          <w:snapToGrid w:val="0"/>
        </w:rPr>
        <w:t>]</w:t>
      </w:r>
      <w:r w:rsidRPr="00037DA8">
        <w:rPr>
          <w:rFonts w:ascii="Times New Roman" w:eastAsia="Times New Roman" w:hAnsi="Times New Roman"/>
          <w:snapToGrid w:val="0"/>
        </w:rPr>
        <w:t xml:space="preserve"> skalę</w:t>
      </w:r>
      <w:r w:rsidR="008A3613"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iš </w:t>
      </w:r>
      <w:proofErr w:type="spellStart"/>
      <w:r w:rsidRPr="00037DA8">
        <w:rPr>
          <w:rFonts w:ascii="Times New Roman" w:eastAsia="Times New Roman" w:hAnsi="Times New Roman"/>
          <w:snapToGrid w:val="0"/>
        </w:rPr>
        <w:t>McGill-Melzack</w:t>
      </w:r>
      <w:proofErr w:type="spellEnd"/>
      <w:r w:rsidRPr="00037DA8">
        <w:rPr>
          <w:rFonts w:ascii="Times New Roman" w:eastAsia="Times New Roman" w:hAnsi="Times New Roman"/>
          <w:snapToGrid w:val="0"/>
        </w:rPr>
        <w:t xml:space="preserve"> klausimyno ir </w:t>
      </w:r>
      <w:proofErr w:type="spellStart"/>
      <w:r w:rsidRPr="00037DA8">
        <w:rPr>
          <w:rFonts w:ascii="Times New Roman" w:eastAsia="Times New Roman" w:hAnsi="Times New Roman"/>
          <w:snapToGrid w:val="0"/>
        </w:rPr>
        <w:t>Analgezijos</w:t>
      </w:r>
      <w:proofErr w:type="spellEnd"/>
      <w:r w:rsidRPr="00037DA8">
        <w:rPr>
          <w:rFonts w:ascii="Times New Roman" w:eastAsia="Times New Roman" w:hAnsi="Times New Roman"/>
          <w:snapToGrid w:val="0"/>
        </w:rPr>
        <w:t xml:space="preserve"> skalę (AS) ir skausmo reakcija (apibūdinta kaip 2 balais</w:t>
      </w:r>
      <w:r w:rsidR="008A3613" w:rsidRPr="00037DA8">
        <w:rPr>
          <w:rFonts w:ascii="Times New Roman" w:eastAsia="Times New Roman" w:hAnsi="Times New Roman"/>
          <w:snapToGrid w:val="0"/>
        </w:rPr>
        <w:t xml:space="preserve"> </w:t>
      </w:r>
      <w:r w:rsidRPr="00037DA8">
        <w:rPr>
          <w:rFonts w:ascii="Times New Roman" w:eastAsia="Times New Roman" w:hAnsi="Times New Roman"/>
          <w:snapToGrid w:val="0"/>
        </w:rPr>
        <w:lastRenderedPageBreak/>
        <w:t>didesnis sumažėjimas nuo pradinės PPI medianos kartu nepadidėjant AS arba sumažėjimas ≥</w:t>
      </w:r>
      <w:r w:rsidR="000448C3">
        <w:rPr>
          <w:rFonts w:ascii="Times New Roman" w:eastAsia="Times New Roman" w:hAnsi="Times New Roman"/>
          <w:snapToGrid w:val="0"/>
        </w:rPr>
        <w:t> </w:t>
      </w:r>
      <w:r w:rsidRPr="00037DA8">
        <w:rPr>
          <w:rFonts w:ascii="Times New Roman" w:eastAsia="Times New Roman" w:hAnsi="Times New Roman"/>
          <w:snapToGrid w:val="0"/>
        </w:rPr>
        <w:t>50%</w:t>
      </w:r>
      <w:r w:rsidR="000448C3">
        <w:rPr>
          <w:rFonts w:ascii="Times New Roman" w:eastAsia="Times New Roman" w:hAnsi="Times New Roman"/>
          <w:snapToGrid w:val="0"/>
        </w:rPr>
        <w:t> </w:t>
      </w:r>
      <w:r w:rsidRPr="00037DA8">
        <w:rPr>
          <w:rFonts w:ascii="Times New Roman" w:eastAsia="Times New Roman" w:hAnsi="Times New Roman"/>
          <w:snapToGrid w:val="0"/>
        </w:rPr>
        <w:t>nuo</w:t>
      </w:r>
      <w:r w:rsidR="008A3613" w:rsidRPr="00037DA8">
        <w:rPr>
          <w:rFonts w:ascii="Times New Roman" w:eastAsia="Times New Roman" w:hAnsi="Times New Roman"/>
          <w:snapToGrid w:val="0"/>
        </w:rPr>
        <w:t xml:space="preserve"> </w:t>
      </w:r>
      <w:r w:rsidRPr="00037DA8">
        <w:rPr>
          <w:rFonts w:ascii="Times New Roman" w:eastAsia="Times New Roman" w:hAnsi="Times New Roman"/>
          <w:snapToGrid w:val="0"/>
        </w:rPr>
        <w:t>pradinio vidutinio AS įvertinimo vartojant analgetikų ir nesustiprėjant skausmui).</w:t>
      </w:r>
    </w:p>
    <w:p w14:paraId="3E77544E" w14:textId="77777777" w:rsidR="003F2FBC" w:rsidRDefault="003F2FBC" w:rsidP="005031D7">
      <w:pPr>
        <w:tabs>
          <w:tab w:val="left" w:pos="567"/>
        </w:tabs>
        <w:spacing w:after="0" w:line="260" w:lineRule="exact"/>
        <w:rPr>
          <w:rFonts w:ascii="Times New Roman" w:eastAsia="Times New Roman" w:hAnsi="Times New Roman"/>
          <w:snapToGrid w:val="0"/>
        </w:rPr>
      </w:pPr>
    </w:p>
    <w:p w14:paraId="097F914F" w14:textId="1BAD39A0" w:rsidR="005031D7" w:rsidRPr="00037DA8" w:rsidRDefault="005031D7" w:rsidP="005031D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Iš viso 755 pacientai </w:t>
      </w:r>
      <w:r w:rsidR="008A3613" w:rsidRPr="00037DA8">
        <w:rPr>
          <w:rFonts w:ascii="Times New Roman" w:eastAsia="Times New Roman" w:hAnsi="Times New Roman"/>
          <w:snapToGrid w:val="0"/>
        </w:rPr>
        <w:t xml:space="preserve">atsitiktinių imčių būdu </w:t>
      </w:r>
      <w:r w:rsidRPr="00037DA8">
        <w:rPr>
          <w:rFonts w:ascii="Times New Roman" w:eastAsia="Times New Roman" w:hAnsi="Times New Roman"/>
          <w:snapToGrid w:val="0"/>
        </w:rPr>
        <w:t xml:space="preserve">buvo suskirstyti </w:t>
      </w:r>
      <w:r w:rsidR="00281D38">
        <w:rPr>
          <w:rFonts w:ascii="Times New Roman" w:eastAsia="Times New Roman" w:hAnsi="Times New Roman"/>
          <w:snapToGrid w:val="0"/>
        </w:rPr>
        <w:t xml:space="preserve">į </w:t>
      </w:r>
      <w:r w:rsidR="008A3613" w:rsidRPr="00037DA8">
        <w:rPr>
          <w:rFonts w:ascii="Times New Roman" w:eastAsia="Times New Roman" w:hAnsi="Times New Roman"/>
          <w:snapToGrid w:val="0"/>
        </w:rPr>
        <w:t>grupes</w:t>
      </w:r>
      <w:r w:rsidRPr="00037DA8">
        <w:rPr>
          <w:rFonts w:ascii="Times New Roman" w:eastAsia="Times New Roman" w:hAnsi="Times New Roman"/>
          <w:snapToGrid w:val="0"/>
        </w:rPr>
        <w:t xml:space="preserve"> ir gydomi arba </w:t>
      </w:r>
      <w:proofErr w:type="spellStart"/>
      <w:r w:rsidRPr="00037DA8">
        <w:rPr>
          <w:rFonts w:ascii="Times New Roman" w:eastAsia="Times New Roman" w:hAnsi="Times New Roman"/>
          <w:snapToGrid w:val="0"/>
        </w:rPr>
        <w:t>injekuojant</w:t>
      </w:r>
      <w:proofErr w:type="spellEnd"/>
      <w:r w:rsidRPr="00037DA8">
        <w:rPr>
          <w:rFonts w:ascii="Times New Roman" w:eastAsia="Times New Roman" w:hAnsi="Times New Roman"/>
          <w:snapToGrid w:val="0"/>
        </w:rPr>
        <w:t xml:space="preserve"> 25</w:t>
      </w:r>
      <w:r w:rsidR="008A3613" w:rsidRPr="00037DA8">
        <w:rPr>
          <w:rFonts w:ascii="Times New Roman" w:eastAsia="Times New Roman" w:hAnsi="Times New Roman"/>
          <w:snapToGrid w:val="0"/>
        </w:rPr>
        <w:t>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008A3613" w:rsidRPr="00037DA8">
        <w:rPr>
          <w:rFonts w:ascii="Times New Roman" w:eastAsia="Times New Roman" w:hAnsi="Times New Roman"/>
          <w:snapToGrid w:val="0"/>
          <w:vertAlign w:val="superscript"/>
        </w:rPr>
        <w:t xml:space="preserve"> </w:t>
      </w:r>
      <w:proofErr w:type="spellStart"/>
      <w:r w:rsidR="008A3613"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į veną kas 3</w:t>
      </w:r>
      <w:r w:rsidR="00A86C9C">
        <w:rPr>
          <w:rFonts w:ascii="Times New Roman" w:eastAsia="Times New Roman" w:hAnsi="Times New Roman"/>
          <w:snapToGrid w:val="0"/>
        </w:rPr>
        <w:t> </w:t>
      </w:r>
      <w:r w:rsidRPr="00037DA8">
        <w:rPr>
          <w:rFonts w:ascii="Times New Roman" w:eastAsia="Times New Roman" w:hAnsi="Times New Roman"/>
          <w:snapToGrid w:val="0"/>
        </w:rPr>
        <w:t>savaites, iš viso ne daugiau kaip 10</w:t>
      </w:r>
      <w:r w:rsidR="00BE2468">
        <w:rPr>
          <w:rFonts w:ascii="Times New Roman" w:eastAsia="Times New Roman" w:hAnsi="Times New Roman"/>
          <w:snapToGrid w:val="0"/>
        </w:rPr>
        <w:t> </w:t>
      </w:r>
      <w:r w:rsidRPr="00037DA8">
        <w:rPr>
          <w:rFonts w:ascii="Times New Roman" w:eastAsia="Times New Roman" w:hAnsi="Times New Roman"/>
          <w:snapToGrid w:val="0"/>
        </w:rPr>
        <w:t xml:space="preserve">kursų, </w:t>
      </w:r>
      <w:r w:rsidR="008A3613" w:rsidRPr="00037DA8">
        <w:rPr>
          <w:rFonts w:ascii="Times New Roman" w:eastAsia="Times New Roman" w:hAnsi="Times New Roman"/>
          <w:snapToGrid w:val="0"/>
        </w:rPr>
        <w:t>ir kartu gydymo metu</w:t>
      </w:r>
      <w:r w:rsidRPr="00037DA8">
        <w:rPr>
          <w:rFonts w:ascii="Times New Roman" w:eastAsia="Times New Roman" w:hAnsi="Times New Roman"/>
          <w:snapToGrid w:val="0"/>
        </w:rPr>
        <w:t xml:space="preserve"> </w:t>
      </w:r>
      <w:r w:rsidR="008A3613" w:rsidRPr="00037DA8">
        <w:rPr>
          <w:rFonts w:ascii="Times New Roman" w:eastAsia="Times New Roman" w:hAnsi="Times New Roman"/>
          <w:snapToGrid w:val="0"/>
        </w:rPr>
        <w:t>kasdien geriant po</w:t>
      </w:r>
      <w:r w:rsidRPr="00037DA8">
        <w:rPr>
          <w:rFonts w:ascii="Times New Roman" w:eastAsia="Times New Roman" w:hAnsi="Times New Roman"/>
          <w:snapToGrid w:val="0"/>
        </w:rPr>
        <w:t xml:space="preserve"> 10</w:t>
      </w:r>
      <w:r w:rsidR="008A3613" w:rsidRPr="00037DA8">
        <w:rPr>
          <w:rFonts w:ascii="Times New Roman" w:eastAsia="Times New Roman" w:hAnsi="Times New Roman"/>
          <w:snapToGrid w:val="0"/>
        </w:rPr>
        <w:t> </w:t>
      </w:r>
      <w:r w:rsidRPr="00037DA8">
        <w:rPr>
          <w:rFonts w:ascii="Times New Roman" w:eastAsia="Times New Roman" w:hAnsi="Times New Roman"/>
          <w:snapToGrid w:val="0"/>
        </w:rPr>
        <w:t>mg prednizono ar</w:t>
      </w:r>
      <w:r w:rsidR="008A3613" w:rsidRPr="00037DA8">
        <w:rPr>
          <w:rFonts w:ascii="Times New Roman" w:eastAsia="Times New Roman" w:hAnsi="Times New Roman"/>
          <w:snapToGrid w:val="0"/>
        </w:rPr>
        <w:t xml:space="preserve"> </w:t>
      </w:r>
      <w:r w:rsidRPr="00037DA8">
        <w:rPr>
          <w:rFonts w:ascii="Times New Roman" w:eastAsia="Times New Roman" w:hAnsi="Times New Roman"/>
          <w:snapToGrid w:val="0"/>
        </w:rPr>
        <w:t>prednizolono (n=378), arba leidžiant 12</w:t>
      </w:r>
      <w:r w:rsidR="00A86C9C">
        <w:rPr>
          <w:rFonts w:ascii="Times New Roman" w:eastAsia="Times New Roman" w:hAnsi="Times New Roman"/>
          <w:snapToGrid w:val="0"/>
        </w:rPr>
        <w:t>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mitoksantrono</w:t>
      </w:r>
      <w:proofErr w:type="spellEnd"/>
      <w:r w:rsidRPr="00037DA8">
        <w:rPr>
          <w:rFonts w:ascii="Times New Roman" w:eastAsia="Times New Roman" w:hAnsi="Times New Roman"/>
          <w:snapToGrid w:val="0"/>
        </w:rPr>
        <w:t xml:space="preserve"> į veną kas 3</w:t>
      </w:r>
      <w:r w:rsidR="00A86C9C">
        <w:rPr>
          <w:rFonts w:ascii="Times New Roman" w:eastAsia="Times New Roman" w:hAnsi="Times New Roman"/>
          <w:snapToGrid w:val="0"/>
        </w:rPr>
        <w:t> </w:t>
      </w:r>
      <w:r w:rsidRPr="00037DA8">
        <w:rPr>
          <w:rFonts w:ascii="Times New Roman" w:eastAsia="Times New Roman" w:hAnsi="Times New Roman"/>
          <w:snapToGrid w:val="0"/>
        </w:rPr>
        <w:t>savaites, iš viso ne daugiau</w:t>
      </w:r>
      <w:r w:rsidR="008A3613" w:rsidRPr="00037DA8">
        <w:rPr>
          <w:rFonts w:ascii="Times New Roman" w:eastAsia="Times New Roman" w:hAnsi="Times New Roman"/>
          <w:snapToGrid w:val="0"/>
        </w:rPr>
        <w:t xml:space="preserve"> </w:t>
      </w:r>
      <w:r w:rsidRPr="00037DA8">
        <w:rPr>
          <w:rFonts w:ascii="Times New Roman" w:eastAsia="Times New Roman" w:hAnsi="Times New Roman"/>
          <w:snapToGrid w:val="0"/>
        </w:rPr>
        <w:t>kaip 10</w:t>
      </w:r>
      <w:r w:rsidR="00BE2468">
        <w:rPr>
          <w:rFonts w:ascii="Times New Roman" w:eastAsia="Times New Roman" w:hAnsi="Times New Roman"/>
          <w:snapToGrid w:val="0"/>
        </w:rPr>
        <w:t> </w:t>
      </w:r>
      <w:r w:rsidRPr="00037DA8">
        <w:rPr>
          <w:rFonts w:ascii="Times New Roman" w:eastAsia="Times New Roman" w:hAnsi="Times New Roman"/>
          <w:snapToGrid w:val="0"/>
        </w:rPr>
        <w:t xml:space="preserve">kursų, kartu </w:t>
      </w:r>
      <w:r w:rsidR="008A3613" w:rsidRPr="00037DA8">
        <w:rPr>
          <w:rFonts w:ascii="Times New Roman" w:eastAsia="Times New Roman" w:hAnsi="Times New Roman"/>
          <w:snapToGrid w:val="0"/>
        </w:rPr>
        <w:t>gydymo metu kasdien geriant</w:t>
      </w:r>
      <w:r w:rsidRPr="00037DA8">
        <w:rPr>
          <w:rFonts w:ascii="Times New Roman" w:eastAsia="Times New Roman" w:hAnsi="Times New Roman"/>
          <w:snapToGrid w:val="0"/>
        </w:rPr>
        <w:t xml:space="preserve"> 10</w:t>
      </w:r>
      <w:r w:rsidR="005C3605" w:rsidRPr="00037DA8">
        <w:rPr>
          <w:rFonts w:ascii="Times New Roman" w:eastAsia="Times New Roman" w:hAnsi="Times New Roman"/>
          <w:snapToGrid w:val="0"/>
        </w:rPr>
        <w:t> </w:t>
      </w:r>
      <w:r w:rsidRPr="00037DA8">
        <w:rPr>
          <w:rFonts w:ascii="Times New Roman" w:eastAsia="Times New Roman" w:hAnsi="Times New Roman"/>
          <w:snapToGrid w:val="0"/>
        </w:rPr>
        <w:t>mg prednizono ar prednizolono (n=377).</w:t>
      </w:r>
    </w:p>
    <w:p w14:paraId="7DF63526" w14:textId="77777777" w:rsidR="005C3605" w:rsidRPr="00037DA8" w:rsidRDefault="005C3605" w:rsidP="005031D7">
      <w:pPr>
        <w:tabs>
          <w:tab w:val="left" w:pos="567"/>
        </w:tabs>
        <w:spacing w:after="0" w:line="260" w:lineRule="exact"/>
        <w:rPr>
          <w:rFonts w:ascii="Times New Roman" w:eastAsia="Times New Roman" w:hAnsi="Times New Roman"/>
          <w:snapToGrid w:val="0"/>
        </w:rPr>
      </w:pPr>
    </w:p>
    <w:p w14:paraId="6961EE82" w14:textId="08729346" w:rsidR="005031D7" w:rsidRPr="00037DA8" w:rsidRDefault="005C3605" w:rsidP="005031D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Šiame tyrime dalyvavo</w:t>
      </w:r>
      <w:r w:rsidR="005031D7" w:rsidRPr="00037DA8">
        <w:rPr>
          <w:rFonts w:ascii="Times New Roman" w:eastAsia="Times New Roman" w:hAnsi="Times New Roman"/>
          <w:snapToGrid w:val="0"/>
        </w:rPr>
        <w:t xml:space="preserve"> vyresni kaip 18</w:t>
      </w:r>
      <w:r w:rsidR="00A86C9C">
        <w:rPr>
          <w:rFonts w:ascii="Times New Roman" w:eastAsia="Times New Roman" w:hAnsi="Times New Roman"/>
          <w:snapToGrid w:val="0"/>
        </w:rPr>
        <w:t> </w:t>
      </w:r>
      <w:r w:rsidR="005031D7" w:rsidRPr="00037DA8">
        <w:rPr>
          <w:rFonts w:ascii="Times New Roman" w:eastAsia="Times New Roman" w:hAnsi="Times New Roman"/>
          <w:snapToGrid w:val="0"/>
        </w:rPr>
        <w:t>metų pacientai, s</w:t>
      </w:r>
      <w:r w:rsidRPr="00037DA8">
        <w:rPr>
          <w:rFonts w:ascii="Times New Roman" w:eastAsia="Times New Roman" w:hAnsi="Times New Roman"/>
          <w:snapToGrid w:val="0"/>
        </w:rPr>
        <w:t>ergantys</w:t>
      </w:r>
      <w:r w:rsidR="005031D7" w:rsidRPr="00037DA8">
        <w:rPr>
          <w:rFonts w:ascii="Times New Roman" w:eastAsia="Times New Roman" w:hAnsi="Times New Roman"/>
          <w:snapToGrid w:val="0"/>
        </w:rPr>
        <w:t xml:space="preserve"> kastracij</w:t>
      </w:r>
      <w:r w:rsidR="00281D38">
        <w:rPr>
          <w:rFonts w:ascii="Times New Roman" w:eastAsia="Times New Roman" w:hAnsi="Times New Roman"/>
          <w:snapToGrid w:val="0"/>
        </w:rPr>
        <w:t>ai</w:t>
      </w:r>
      <w:r w:rsidR="005031D7" w:rsidRPr="00037DA8">
        <w:rPr>
          <w:rFonts w:ascii="Times New Roman" w:eastAsia="Times New Roman" w:hAnsi="Times New Roman"/>
          <w:snapToGrid w:val="0"/>
        </w:rPr>
        <w:t xml:space="preserve"> </w:t>
      </w:r>
      <w:r w:rsidR="00281D38">
        <w:rPr>
          <w:rFonts w:ascii="Times New Roman" w:eastAsia="Times New Roman" w:hAnsi="Times New Roman"/>
          <w:snapToGrid w:val="0"/>
        </w:rPr>
        <w:t>atspariu</w:t>
      </w:r>
      <w:r w:rsidRPr="00037DA8">
        <w:rPr>
          <w:rFonts w:ascii="Times New Roman" w:eastAsia="Times New Roman" w:hAnsi="Times New Roman"/>
          <w:snapToGrid w:val="0"/>
        </w:rPr>
        <w:t xml:space="preserve"> </w:t>
      </w:r>
      <w:proofErr w:type="spellStart"/>
      <w:r w:rsidR="005031D7" w:rsidRPr="00037DA8">
        <w:rPr>
          <w:rFonts w:ascii="Times New Roman" w:eastAsia="Times New Roman" w:hAnsi="Times New Roman"/>
          <w:snapToGrid w:val="0"/>
        </w:rPr>
        <w:t>metastazavusiu</w:t>
      </w:r>
      <w:proofErr w:type="spellEnd"/>
      <w:r w:rsidR="005031D7" w:rsidRPr="00037DA8">
        <w:rPr>
          <w:rFonts w:ascii="Times New Roman" w:eastAsia="Times New Roman" w:hAnsi="Times New Roman"/>
          <w:snapToGrid w:val="0"/>
        </w:rPr>
        <w:t xml:space="preserve"> prostatos vėžiu</w:t>
      </w:r>
      <w:r w:rsidRPr="00037DA8">
        <w:rPr>
          <w:rFonts w:ascii="Times New Roman" w:eastAsia="Times New Roman" w:hAnsi="Times New Roman"/>
          <w:snapToGrid w:val="0"/>
        </w:rPr>
        <w:t>, kuris išmatuojamas</w:t>
      </w:r>
      <w:r w:rsidR="005031D7" w:rsidRPr="00037DA8">
        <w:rPr>
          <w:rFonts w:ascii="Times New Roman" w:eastAsia="Times New Roman" w:hAnsi="Times New Roman"/>
          <w:snapToGrid w:val="0"/>
        </w:rPr>
        <w:t xml:space="preserve"> pagal RECIST kriterijus, arba neišmatuojam</w:t>
      </w:r>
      <w:r w:rsidRPr="00037DA8">
        <w:rPr>
          <w:rFonts w:ascii="Times New Roman" w:eastAsia="Times New Roman" w:hAnsi="Times New Roman"/>
          <w:snapToGrid w:val="0"/>
        </w:rPr>
        <w:t>as</w:t>
      </w:r>
      <w:r w:rsidR="005031D7" w:rsidRPr="00037DA8">
        <w:rPr>
          <w:rFonts w:ascii="Times New Roman" w:eastAsia="Times New Roman" w:hAnsi="Times New Roman"/>
          <w:snapToGrid w:val="0"/>
        </w:rPr>
        <w:t>, tačiau</w:t>
      </w:r>
      <w:r w:rsidRPr="00037DA8">
        <w:rPr>
          <w:rFonts w:ascii="Times New Roman" w:eastAsia="Times New Roman" w:hAnsi="Times New Roman"/>
          <w:snapToGrid w:val="0"/>
        </w:rPr>
        <w:t xml:space="preserve"> </w:t>
      </w:r>
      <w:r w:rsidR="005031D7" w:rsidRPr="00037DA8">
        <w:rPr>
          <w:rFonts w:ascii="Times New Roman" w:eastAsia="Times New Roman" w:hAnsi="Times New Roman"/>
          <w:snapToGrid w:val="0"/>
        </w:rPr>
        <w:t xml:space="preserve">su didėjančia PSA koncentracija arba atsirandančiais naujais pažeidimais, </w:t>
      </w:r>
      <w:r w:rsidRPr="00037DA8">
        <w:rPr>
          <w:rFonts w:ascii="Times New Roman" w:eastAsia="Times New Roman" w:hAnsi="Times New Roman"/>
          <w:snapToGrid w:val="0"/>
        </w:rPr>
        <w:t>kurių funkcinė būklė pagal</w:t>
      </w:r>
      <w:r w:rsidR="005031D7" w:rsidRPr="00037DA8">
        <w:rPr>
          <w:rFonts w:ascii="Times New Roman" w:eastAsia="Times New Roman" w:hAnsi="Times New Roman"/>
          <w:snapToGrid w:val="0"/>
        </w:rPr>
        <w:t xml:space="preserve"> Rytų kooperatinės</w:t>
      </w:r>
      <w:r w:rsidRPr="00037DA8">
        <w:rPr>
          <w:rFonts w:ascii="Times New Roman" w:eastAsia="Times New Roman" w:hAnsi="Times New Roman"/>
          <w:snapToGrid w:val="0"/>
        </w:rPr>
        <w:t xml:space="preserve"> </w:t>
      </w:r>
      <w:r w:rsidR="005031D7" w:rsidRPr="00037DA8">
        <w:rPr>
          <w:rFonts w:ascii="Times New Roman" w:eastAsia="Times New Roman" w:hAnsi="Times New Roman"/>
          <w:snapToGrid w:val="0"/>
        </w:rPr>
        <w:t>onkologijos grupės (</w:t>
      </w:r>
      <w:r w:rsidR="005031D7" w:rsidRPr="00037DA8">
        <w:rPr>
          <w:rFonts w:ascii="Times New Roman" w:eastAsia="Times New Roman" w:hAnsi="Times New Roman"/>
          <w:i/>
          <w:iCs/>
          <w:snapToGrid w:val="0"/>
        </w:rPr>
        <w:t xml:space="preserve">Eastern </w:t>
      </w:r>
      <w:proofErr w:type="spellStart"/>
      <w:r w:rsidR="005031D7" w:rsidRPr="00037DA8">
        <w:rPr>
          <w:rFonts w:ascii="Times New Roman" w:eastAsia="Times New Roman" w:hAnsi="Times New Roman"/>
          <w:i/>
          <w:iCs/>
          <w:snapToGrid w:val="0"/>
        </w:rPr>
        <w:t>Cooperative</w:t>
      </w:r>
      <w:proofErr w:type="spellEnd"/>
      <w:r w:rsidR="005031D7" w:rsidRPr="00037DA8">
        <w:rPr>
          <w:rFonts w:ascii="Times New Roman" w:eastAsia="Times New Roman" w:hAnsi="Times New Roman"/>
          <w:i/>
          <w:iCs/>
          <w:snapToGrid w:val="0"/>
        </w:rPr>
        <w:t xml:space="preserve"> </w:t>
      </w:r>
      <w:proofErr w:type="spellStart"/>
      <w:r w:rsidR="005031D7" w:rsidRPr="00037DA8">
        <w:rPr>
          <w:rFonts w:ascii="Times New Roman" w:eastAsia="Times New Roman" w:hAnsi="Times New Roman"/>
          <w:i/>
          <w:iCs/>
          <w:snapToGrid w:val="0"/>
        </w:rPr>
        <w:t>Oncology</w:t>
      </w:r>
      <w:proofErr w:type="spellEnd"/>
      <w:r w:rsidR="005031D7" w:rsidRPr="00037DA8">
        <w:rPr>
          <w:rFonts w:ascii="Times New Roman" w:eastAsia="Times New Roman" w:hAnsi="Times New Roman"/>
          <w:i/>
          <w:iCs/>
          <w:snapToGrid w:val="0"/>
        </w:rPr>
        <w:t xml:space="preserve"> Group</w:t>
      </w:r>
      <w:r w:rsidR="005031D7" w:rsidRPr="00037DA8">
        <w:rPr>
          <w:rFonts w:ascii="Times New Roman" w:eastAsia="Times New Roman" w:hAnsi="Times New Roman"/>
          <w:snapToGrid w:val="0"/>
        </w:rPr>
        <w:t>, ECOG)</w:t>
      </w:r>
      <w:r w:rsidRPr="00037DA8">
        <w:rPr>
          <w:rFonts w:ascii="Times New Roman" w:eastAsia="Times New Roman" w:hAnsi="Times New Roman"/>
          <w:snapToGrid w:val="0"/>
        </w:rPr>
        <w:t xml:space="preserve"> skalę</w:t>
      </w:r>
      <w:r w:rsidR="005031D7" w:rsidRPr="00037DA8">
        <w:rPr>
          <w:rFonts w:ascii="Times New Roman" w:eastAsia="Times New Roman" w:hAnsi="Times New Roman"/>
          <w:snapToGrid w:val="0"/>
        </w:rPr>
        <w:t xml:space="preserve"> įvertin</w:t>
      </w:r>
      <w:r w:rsidRPr="00037DA8">
        <w:rPr>
          <w:rFonts w:ascii="Times New Roman" w:eastAsia="Times New Roman" w:hAnsi="Times New Roman"/>
          <w:snapToGrid w:val="0"/>
        </w:rPr>
        <w:t>ta</w:t>
      </w:r>
      <w:r w:rsidR="005031D7" w:rsidRPr="00037DA8">
        <w:rPr>
          <w:rFonts w:ascii="Times New Roman" w:eastAsia="Times New Roman" w:hAnsi="Times New Roman"/>
          <w:snapToGrid w:val="0"/>
        </w:rPr>
        <w:t xml:space="preserve"> nuo</w:t>
      </w:r>
      <w:r w:rsidRPr="00037DA8">
        <w:rPr>
          <w:rFonts w:ascii="Times New Roman" w:eastAsia="Times New Roman" w:hAnsi="Times New Roman"/>
          <w:snapToGrid w:val="0"/>
        </w:rPr>
        <w:t xml:space="preserve"> </w:t>
      </w:r>
      <w:r w:rsidR="005031D7" w:rsidRPr="00037DA8">
        <w:rPr>
          <w:rFonts w:ascii="Times New Roman" w:eastAsia="Times New Roman" w:hAnsi="Times New Roman"/>
          <w:snapToGrid w:val="0"/>
        </w:rPr>
        <w:t xml:space="preserve">0 iki 2. </w:t>
      </w:r>
      <w:proofErr w:type="spellStart"/>
      <w:r w:rsidR="005031D7" w:rsidRPr="00037DA8">
        <w:rPr>
          <w:rFonts w:ascii="Times New Roman" w:eastAsia="Times New Roman" w:hAnsi="Times New Roman"/>
          <w:snapToGrid w:val="0"/>
        </w:rPr>
        <w:t>Neutrofilų</w:t>
      </w:r>
      <w:proofErr w:type="spellEnd"/>
      <w:r w:rsidR="005031D7" w:rsidRPr="00037DA8">
        <w:rPr>
          <w:rFonts w:ascii="Times New Roman" w:eastAsia="Times New Roman" w:hAnsi="Times New Roman"/>
          <w:snapToGrid w:val="0"/>
        </w:rPr>
        <w:t xml:space="preserve"> kiekis turėjo būti &gt;</w:t>
      </w:r>
      <w:r w:rsidR="00A86C9C">
        <w:rPr>
          <w:rFonts w:ascii="Times New Roman" w:eastAsia="Times New Roman" w:hAnsi="Times New Roman"/>
          <w:snapToGrid w:val="0"/>
        </w:rPr>
        <w:t> </w:t>
      </w:r>
      <w:r w:rsidR="005031D7" w:rsidRPr="00037DA8">
        <w:rPr>
          <w:rFonts w:ascii="Times New Roman" w:eastAsia="Times New Roman" w:hAnsi="Times New Roman"/>
          <w:snapToGrid w:val="0"/>
        </w:rPr>
        <w:t>1500/mm</w:t>
      </w:r>
      <w:r w:rsidR="005031D7" w:rsidRPr="00037DA8">
        <w:rPr>
          <w:rFonts w:ascii="Times New Roman" w:eastAsia="Times New Roman" w:hAnsi="Times New Roman"/>
          <w:snapToGrid w:val="0"/>
          <w:vertAlign w:val="superscript"/>
        </w:rPr>
        <w:t>3</w:t>
      </w:r>
      <w:r w:rsidR="005031D7" w:rsidRPr="00037DA8">
        <w:rPr>
          <w:rFonts w:ascii="Times New Roman" w:eastAsia="Times New Roman" w:hAnsi="Times New Roman"/>
          <w:snapToGrid w:val="0"/>
        </w:rPr>
        <w:t>, trombocitų kiekis &gt;</w:t>
      </w:r>
      <w:r w:rsidR="00A86C9C">
        <w:rPr>
          <w:rFonts w:ascii="Times New Roman" w:eastAsia="Times New Roman" w:hAnsi="Times New Roman"/>
          <w:snapToGrid w:val="0"/>
        </w:rPr>
        <w:t> </w:t>
      </w:r>
      <w:r w:rsidR="005031D7" w:rsidRPr="00037DA8">
        <w:rPr>
          <w:rFonts w:ascii="Times New Roman" w:eastAsia="Times New Roman" w:hAnsi="Times New Roman"/>
          <w:snapToGrid w:val="0"/>
        </w:rPr>
        <w:t>100</w:t>
      </w:r>
      <w:r w:rsidR="00A86C9C">
        <w:rPr>
          <w:rFonts w:ascii="Times New Roman" w:eastAsia="Times New Roman" w:hAnsi="Times New Roman"/>
          <w:snapToGrid w:val="0"/>
        </w:rPr>
        <w:t> </w:t>
      </w:r>
      <w:r w:rsidR="005031D7" w:rsidRPr="00037DA8">
        <w:rPr>
          <w:rFonts w:ascii="Times New Roman" w:eastAsia="Times New Roman" w:hAnsi="Times New Roman"/>
          <w:snapToGrid w:val="0"/>
        </w:rPr>
        <w:t>000/mm</w:t>
      </w:r>
      <w:r w:rsidR="005031D7" w:rsidRPr="00037DA8">
        <w:rPr>
          <w:rFonts w:ascii="Times New Roman" w:eastAsia="Times New Roman" w:hAnsi="Times New Roman"/>
          <w:snapToGrid w:val="0"/>
          <w:vertAlign w:val="superscript"/>
        </w:rPr>
        <w:t>3</w:t>
      </w:r>
      <w:r w:rsidR="005031D7" w:rsidRPr="00037DA8">
        <w:rPr>
          <w:rFonts w:ascii="Times New Roman" w:eastAsia="Times New Roman" w:hAnsi="Times New Roman"/>
          <w:snapToGrid w:val="0"/>
        </w:rPr>
        <w:t>, hemoglobino</w:t>
      </w:r>
      <w:r w:rsidRPr="00037DA8">
        <w:rPr>
          <w:rFonts w:ascii="Times New Roman" w:eastAsia="Times New Roman" w:hAnsi="Times New Roman"/>
          <w:snapToGrid w:val="0"/>
        </w:rPr>
        <w:t xml:space="preserve"> kiekis</w:t>
      </w:r>
      <w:r w:rsidR="005031D7" w:rsidRPr="00037DA8">
        <w:rPr>
          <w:rFonts w:ascii="Times New Roman" w:eastAsia="Times New Roman" w:hAnsi="Times New Roman"/>
          <w:snapToGrid w:val="0"/>
        </w:rPr>
        <w:t xml:space="preserve"> &gt;</w:t>
      </w:r>
      <w:r w:rsidR="00166270">
        <w:rPr>
          <w:rFonts w:ascii="Times New Roman" w:eastAsia="Times New Roman" w:hAnsi="Times New Roman"/>
          <w:snapToGrid w:val="0"/>
        </w:rPr>
        <w:t> </w:t>
      </w:r>
      <w:r w:rsidR="005031D7" w:rsidRPr="00037DA8">
        <w:rPr>
          <w:rFonts w:ascii="Times New Roman" w:eastAsia="Times New Roman" w:hAnsi="Times New Roman"/>
          <w:snapToGrid w:val="0"/>
        </w:rPr>
        <w:t>10</w:t>
      </w:r>
      <w:r w:rsidR="00166270">
        <w:rPr>
          <w:rFonts w:ascii="Times New Roman" w:eastAsia="Times New Roman" w:hAnsi="Times New Roman"/>
          <w:snapToGrid w:val="0"/>
        </w:rPr>
        <w:t> </w:t>
      </w:r>
      <w:r w:rsidR="005031D7" w:rsidRPr="00037DA8">
        <w:rPr>
          <w:rFonts w:ascii="Times New Roman" w:eastAsia="Times New Roman" w:hAnsi="Times New Roman"/>
          <w:snapToGrid w:val="0"/>
        </w:rPr>
        <w:t>g/dl, kreatinino koncentracija &lt;</w:t>
      </w:r>
      <w:r w:rsidR="00166270">
        <w:rPr>
          <w:rFonts w:ascii="Times New Roman" w:eastAsia="Times New Roman" w:hAnsi="Times New Roman"/>
          <w:snapToGrid w:val="0"/>
        </w:rPr>
        <w:t> </w:t>
      </w:r>
      <w:r w:rsidR="005031D7" w:rsidRPr="00037DA8">
        <w:rPr>
          <w:rFonts w:ascii="Times New Roman" w:eastAsia="Times New Roman" w:hAnsi="Times New Roman"/>
          <w:snapToGrid w:val="0"/>
        </w:rPr>
        <w:t xml:space="preserve">1,5 x VNR, bendrojo </w:t>
      </w:r>
      <w:proofErr w:type="spellStart"/>
      <w:r w:rsidR="005031D7" w:rsidRPr="00037DA8">
        <w:rPr>
          <w:rFonts w:ascii="Times New Roman" w:eastAsia="Times New Roman" w:hAnsi="Times New Roman"/>
          <w:snapToGrid w:val="0"/>
        </w:rPr>
        <w:t>bilirubino</w:t>
      </w:r>
      <w:proofErr w:type="spellEnd"/>
      <w:r w:rsidR="005031D7" w:rsidRPr="00037DA8">
        <w:rPr>
          <w:rFonts w:ascii="Times New Roman" w:eastAsia="Times New Roman" w:hAnsi="Times New Roman"/>
          <w:snapToGrid w:val="0"/>
        </w:rPr>
        <w:t xml:space="preserve"> koncentracija</w:t>
      </w:r>
      <w:r w:rsidR="00166270">
        <w:rPr>
          <w:rFonts w:ascii="Times New Roman" w:eastAsia="Times New Roman" w:hAnsi="Times New Roman"/>
          <w:snapToGrid w:val="0"/>
        </w:rPr>
        <w:t xml:space="preserve"> </w:t>
      </w:r>
      <w:r w:rsidR="005031D7" w:rsidRPr="00037DA8">
        <w:rPr>
          <w:rFonts w:ascii="Times New Roman" w:eastAsia="Times New Roman" w:hAnsi="Times New Roman"/>
          <w:snapToGrid w:val="0"/>
        </w:rPr>
        <w:t>&lt;</w:t>
      </w:r>
      <w:r w:rsidR="00166270">
        <w:rPr>
          <w:rFonts w:ascii="Times New Roman" w:eastAsia="Times New Roman" w:hAnsi="Times New Roman"/>
          <w:snapToGrid w:val="0"/>
        </w:rPr>
        <w:t> </w:t>
      </w:r>
      <w:r w:rsidR="005031D7" w:rsidRPr="00037DA8">
        <w:rPr>
          <w:rFonts w:ascii="Times New Roman" w:eastAsia="Times New Roman" w:hAnsi="Times New Roman"/>
          <w:snapToGrid w:val="0"/>
        </w:rPr>
        <w:t xml:space="preserve">1 x VNR, AST ir ALT </w:t>
      </w:r>
      <w:r w:rsidRPr="00037DA8">
        <w:rPr>
          <w:rFonts w:ascii="Times New Roman" w:eastAsia="Times New Roman" w:hAnsi="Times New Roman"/>
          <w:snapToGrid w:val="0"/>
        </w:rPr>
        <w:t>aktyvumas</w:t>
      </w:r>
      <w:r w:rsidR="005031D7" w:rsidRPr="00037DA8">
        <w:rPr>
          <w:rFonts w:ascii="Times New Roman" w:eastAsia="Times New Roman" w:hAnsi="Times New Roman"/>
          <w:snapToGrid w:val="0"/>
        </w:rPr>
        <w:t xml:space="preserve"> &lt;</w:t>
      </w:r>
      <w:r w:rsidR="00166270">
        <w:rPr>
          <w:rFonts w:ascii="Times New Roman" w:eastAsia="Times New Roman" w:hAnsi="Times New Roman"/>
          <w:snapToGrid w:val="0"/>
        </w:rPr>
        <w:t> </w:t>
      </w:r>
      <w:r w:rsidR="005031D7" w:rsidRPr="00037DA8">
        <w:rPr>
          <w:rFonts w:ascii="Times New Roman" w:eastAsia="Times New Roman" w:hAnsi="Times New Roman"/>
          <w:snapToGrid w:val="0"/>
        </w:rPr>
        <w:t>1,5 x VNR.</w:t>
      </w:r>
    </w:p>
    <w:p w14:paraId="5615DE87" w14:textId="77777777" w:rsidR="003F2FBC" w:rsidRDefault="003F2FBC" w:rsidP="005031D7">
      <w:pPr>
        <w:tabs>
          <w:tab w:val="left" w:pos="567"/>
        </w:tabs>
        <w:spacing w:after="0" w:line="260" w:lineRule="exact"/>
        <w:rPr>
          <w:rFonts w:ascii="Times New Roman" w:eastAsia="Times New Roman" w:hAnsi="Times New Roman"/>
          <w:snapToGrid w:val="0"/>
        </w:rPr>
      </w:pPr>
    </w:p>
    <w:p w14:paraId="6D07ED3B" w14:textId="5ACBC372" w:rsidR="005031D7" w:rsidRPr="00037DA8" w:rsidRDefault="005031D7" w:rsidP="005031D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Į tyrimą nebuvo </w:t>
      </w:r>
      <w:r w:rsidR="005C3605" w:rsidRPr="00037DA8">
        <w:rPr>
          <w:rFonts w:ascii="Times New Roman" w:eastAsia="Times New Roman" w:hAnsi="Times New Roman"/>
          <w:snapToGrid w:val="0"/>
        </w:rPr>
        <w:t>įtraukti</w:t>
      </w:r>
      <w:r w:rsidRPr="00037DA8">
        <w:rPr>
          <w:rFonts w:ascii="Times New Roman" w:eastAsia="Times New Roman" w:hAnsi="Times New Roman"/>
          <w:snapToGrid w:val="0"/>
        </w:rPr>
        <w:t xml:space="preserve"> pacientai, s</w:t>
      </w:r>
      <w:r w:rsidR="005C3605" w:rsidRPr="00037DA8">
        <w:rPr>
          <w:rFonts w:ascii="Times New Roman" w:eastAsia="Times New Roman" w:hAnsi="Times New Roman"/>
          <w:snapToGrid w:val="0"/>
        </w:rPr>
        <w:t>ergantys</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staziniu</w:t>
      </w:r>
      <w:proofErr w:type="spellEnd"/>
      <w:r w:rsidRPr="00037DA8">
        <w:rPr>
          <w:rFonts w:ascii="Times New Roman" w:eastAsia="Times New Roman" w:hAnsi="Times New Roman"/>
          <w:snapToGrid w:val="0"/>
        </w:rPr>
        <w:t xml:space="preserve"> širdies nepakankamumu ar ištikti infarkto paskutinių</w:t>
      </w:r>
      <w:r w:rsidR="005C3605" w:rsidRPr="00037DA8">
        <w:rPr>
          <w:rFonts w:ascii="Times New Roman" w:eastAsia="Times New Roman" w:hAnsi="Times New Roman"/>
          <w:snapToGrid w:val="0"/>
        </w:rPr>
        <w:t xml:space="preserve"> </w:t>
      </w:r>
      <w:r w:rsidRPr="00037DA8">
        <w:rPr>
          <w:rFonts w:ascii="Times New Roman" w:eastAsia="Times New Roman" w:hAnsi="Times New Roman"/>
          <w:snapToGrid w:val="0"/>
        </w:rPr>
        <w:t>6</w:t>
      </w:r>
      <w:r w:rsidR="00166270">
        <w:rPr>
          <w:rFonts w:ascii="Times New Roman" w:eastAsia="Times New Roman" w:hAnsi="Times New Roman"/>
          <w:snapToGrid w:val="0"/>
        </w:rPr>
        <w:t> </w:t>
      </w:r>
      <w:r w:rsidRPr="00037DA8">
        <w:rPr>
          <w:rFonts w:ascii="Times New Roman" w:eastAsia="Times New Roman" w:hAnsi="Times New Roman"/>
          <w:snapToGrid w:val="0"/>
        </w:rPr>
        <w:t>mėnesių laikotarpiu, bei pacientai, s</w:t>
      </w:r>
      <w:r w:rsidR="005C3605" w:rsidRPr="00037DA8">
        <w:rPr>
          <w:rFonts w:ascii="Times New Roman" w:eastAsia="Times New Roman" w:hAnsi="Times New Roman"/>
          <w:snapToGrid w:val="0"/>
        </w:rPr>
        <w:t>ergantys</w:t>
      </w:r>
      <w:r w:rsidRPr="00037DA8">
        <w:rPr>
          <w:rFonts w:ascii="Times New Roman" w:eastAsia="Times New Roman" w:hAnsi="Times New Roman"/>
          <w:snapToGrid w:val="0"/>
        </w:rPr>
        <w:t xml:space="preserve"> nekontroliuojama širdies aritmija, krūtinės angina ir (arba</w:t>
      </w:r>
      <w:r w:rsidR="005C3605" w:rsidRPr="00037DA8">
        <w:rPr>
          <w:rFonts w:ascii="Times New Roman" w:eastAsia="Times New Roman" w:hAnsi="Times New Roman"/>
          <w:snapToGrid w:val="0"/>
        </w:rPr>
        <w:t xml:space="preserve">) </w:t>
      </w:r>
      <w:r w:rsidRPr="00037DA8">
        <w:rPr>
          <w:rFonts w:ascii="Times New Roman" w:eastAsia="Times New Roman" w:hAnsi="Times New Roman"/>
          <w:snapToGrid w:val="0"/>
        </w:rPr>
        <w:t>hipertenzija.</w:t>
      </w:r>
    </w:p>
    <w:p w14:paraId="01C3C041" w14:textId="77777777" w:rsidR="003F2FBC" w:rsidRDefault="003F2FBC" w:rsidP="005031D7">
      <w:pPr>
        <w:tabs>
          <w:tab w:val="left" w:pos="567"/>
        </w:tabs>
        <w:spacing w:after="0" w:line="260" w:lineRule="exact"/>
        <w:rPr>
          <w:rFonts w:ascii="Times New Roman" w:eastAsia="Times New Roman" w:hAnsi="Times New Roman"/>
          <w:snapToGrid w:val="0"/>
        </w:rPr>
      </w:pPr>
    </w:p>
    <w:p w14:paraId="6424E1E0" w14:textId="1A7125CC" w:rsidR="005031D7" w:rsidRPr="00830259" w:rsidRDefault="005031D7" w:rsidP="005031D7">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Demografiniai duomenys, įskaitant amžių, rasę ir ECOG funkcinę būklę (nuo 0 iki 2), gydymo</w:t>
      </w:r>
      <w:r w:rsidR="005C3605"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grupėse buvo panašūs. </w:t>
      </w:r>
      <w:proofErr w:type="spellStart"/>
      <w:r w:rsidR="005C3605" w:rsidRPr="00037DA8">
        <w:rPr>
          <w:rFonts w:ascii="Times New Roman" w:eastAsia="Times New Roman" w:hAnsi="Times New Roman"/>
          <w:snapToGrid w:val="0"/>
        </w:rPr>
        <w:t>Kabazitakseliu</w:t>
      </w:r>
      <w:proofErr w:type="spellEnd"/>
      <w:r w:rsidRPr="00037DA8">
        <w:rPr>
          <w:rFonts w:ascii="Times New Roman" w:eastAsia="Times New Roman" w:hAnsi="Times New Roman"/>
          <w:snapToGrid w:val="0"/>
        </w:rPr>
        <w:t xml:space="preserve"> gydytų pacientų vidutinis amžius buvo 68</w:t>
      </w:r>
      <w:r w:rsidR="00166270">
        <w:rPr>
          <w:rFonts w:ascii="Times New Roman" w:eastAsia="Times New Roman" w:hAnsi="Times New Roman"/>
          <w:snapToGrid w:val="0"/>
        </w:rPr>
        <w:t> </w:t>
      </w:r>
      <w:r w:rsidRPr="00037DA8">
        <w:rPr>
          <w:rFonts w:ascii="Times New Roman" w:eastAsia="Times New Roman" w:hAnsi="Times New Roman"/>
          <w:snapToGrid w:val="0"/>
        </w:rPr>
        <w:t>metai (46-92 metai),</w:t>
      </w:r>
      <w:r w:rsidR="005C3605" w:rsidRPr="00037DA8">
        <w:rPr>
          <w:rFonts w:ascii="Times New Roman" w:eastAsia="Times New Roman" w:hAnsi="Times New Roman"/>
          <w:snapToGrid w:val="0"/>
        </w:rPr>
        <w:t xml:space="preserve"> </w:t>
      </w:r>
      <w:r w:rsidRPr="00037DA8">
        <w:rPr>
          <w:rFonts w:ascii="Times New Roman" w:eastAsia="Times New Roman" w:hAnsi="Times New Roman"/>
          <w:snapToGrid w:val="0"/>
        </w:rPr>
        <w:t>83,9</w:t>
      </w:r>
      <w:r w:rsidR="00166270">
        <w:rPr>
          <w:rFonts w:ascii="Times New Roman" w:eastAsia="Times New Roman" w:hAnsi="Times New Roman"/>
          <w:snapToGrid w:val="0"/>
        </w:rPr>
        <w:t> </w:t>
      </w:r>
      <w:r w:rsidRPr="00037DA8">
        <w:rPr>
          <w:rFonts w:ascii="Times New Roman" w:eastAsia="Times New Roman" w:hAnsi="Times New Roman"/>
          <w:snapToGrid w:val="0"/>
        </w:rPr>
        <w:t>% pacientų buvo baltaodžiai, 6,9</w:t>
      </w:r>
      <w:r w:rsidR="00166270">
        <w:rPr>
          <w:rFonts w:ascii="Times New Roman" w:eastAsia="Times New Roman" w:hAnsi="Times New Roman"/>
          <w:snapToGrid w:val="0"/>
        </w:rPr>
        <w:t> </w:t>
      </w:r>
      <w:r w:rsidRPr="00830259">
        <w:rPr>
          <w:rFonts w:ascii="Times New Roman" w:eastAsia="Times New Roman" w:hAnsi="Times New Roman"/>
          <w:snapToGrid w:val="0"/>
        </w:rPr>
        <w:t>% - azijiečiai / rytiečiai, 5,3</w:t>
      </w:r>
      <w:r w:rsidR="00166270">
        <w:rPr>
          <w:rFonts w:ascii="Times New Roman" w:eastAsia="Times New Roman" w:hAnsi="Times New Roman"/>
          <w:snapToGrid w:val="0"/>
        </w:rPr>
        <w:t> </w:t>
      </w:r>
      <w:r w:rsidRPr="00830259">
        <w:rPr>
          <w:rFonts w:ascii="Times New Roman" w:eastAsia="Times New Roman" w:hAnsi="Times New Roman"/>
          <w:snapToGrid w:val="0"/>
        </w:rPr>
        <w:t>% - juodaodžiai, 4</w:t>
      </w:r>
      <w:r w:rsidR="00166270">
        <w:rPr>
          <w:rFonts w:ascii="Times New Roman" w:eastAsia="Times New Roman" w:hAnsi="Times New Roman"/>
          <w:snapToGrid w:val="0"/>
        </w:rPr>
        <w:t> </w:t>
      </w:r>
      <w:r w:rsidRPr="00830259">
        <w:rPr>
          <w:rFonts w:ascii="Times New Roman" w:eastAsia="Times New Roman" w:hAnsi="Times New Roman"/>
          <w:snapToGrid w:val="0"/>
        </w:rPr>
        <w:t>% - kitokios rasės.</w:t>
      </w:r>
    </w:p>
    <w:p w14:paraId="75FA2883" w14:textId="77777777" w:rsidR="005C3605" w:rsidRPr="0085406C" w:rsidRDefault="005C3605" w:rsidP="005031D7">
      <w:pPr>
        <w:tabs>
          <w:tab w:val="left" w:pos="567"/>
        </w:tabs>
        <w:spacing w:after="0" w:line="260" w:lineRule="exact"/>
        <w:rPr>
          <w:rFonts w:ascii="Times New Roman" w:eastAsia="Times New Roman" w:hAnsi="Times New Roman"/>
          <w:snapToGrid w:val="0"/>
        </w:rPr>
      </w:pPr>
    </w:p>
    <w:p w14:paraId="18F11723" w14:textId="43F38008" w:rsidR="005031D7" w:rsidRPr="0085406C" w:rsidRDefault="005031D7" w:rsidP="005031D7">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 xml:space="preserve">Gydymo kursų skaičiaus mediana buvo 6 </w:t>
      </w:r>
      <w:proofErr w:type="spellStart"/>
      <w:r w:rsidR="005C3605" w:rsidRPr="0085406C">
        <w:rPr>
          <w:rFonts w:ascii="Times New Roman" w:eastAsia="Times New Roman" w:hAnsi="Times New Roman"/>
          <w:snapToGrid w:val="0"/>
        </w:rPr>
        <w:t>kabazitakselio</w:t>
      </w:r>
      <w:proofErr w:type="spellEnd"/>
      <w:r w:rsidR="005C3605" w:rsidRPr="0085406C">
        <w:rPr>
          <w:rFonts w:ascii="Times New Roman" w:eastAsia="Times New Roman" w:hAnsi="Times New Roman"/>
          <w:snapToGrid w:val="0"/>
        </w:rPr>
        <w:t xml:space="preserve"> grupėje</w:t>
      </w:r>
      <w:r w:rsidRPr="004200DB">
        <w:rPr>
          <w:rFonts w:ascii="Times New Roman" w:eastAsia="Times New Roman" w:hAnsi="Times New Roman"/>
          <w:snapToGrid w:val="0"/>
        </w:rPr>
        <w:t xml:space="preserve"> ir 4 </w:t>
      </w:r>
      <w:proofErr w:type="spellStart"/>
      <w:r w:rsidRPr="004200DB">
        <w:rPr>
          <w:rFonts w:ascii="Times New Roman" w:eastAsia="Times New Roman" w:hAnsi="Times New Roman"/>
          <w:snapToGrid w:val="0"/>
        </w:rPr>
        <w:t>mitoksantron</w:t>
      </w:r>
      <w:r w:rsidR="005C3605" w:rsidRPr="004200DB">
        <w:rPr>
          <w:rFonts w:ascii="Times New Roman" w:eastAsia="Times New Roman" w:hAnsi="Times New Roman"/>
          <w:snapToGrid w:val="0"/>
        </w:rPr>
        <w:t>o</w:t>
      </w:r>
      <w:proofErr w:type="spellEnd"/>
      <w:r w:rsidRPr="004200DB">
        <w:rPr>
          <w:rFonts w:ascii="Times New Roman" w:eastAsia="Times New Roman" w:hAnsi="Times New Roman"/>
          <w:snapToGrid w:val="0"/>
        </w:rPr>
        <w:t xml:space="preserve"> grupė</w:t>
      </w:r>
      <w:r w:rsidR="005C3605" w:rsidRPr="00037DA8">
        <w:rPr>
          <w:rFonts w:ascii="Times New Roman" w:eastAsia="Times New Roman" w:hAnsi="Times New Roman"/>
          <w:snapToGrid w:val="0"/>
        </w:rPr>
        <w:t>je</w:t>
      </w:r>
      <w:r w:rsidRPr="00037DA8">
        <w:rPr>
          <w:rFonts w:ascii="Times New Roman" w:eastAsia="Times New Roman" w:hAnsi="Times New Roman"/>
          <w:snapToGrid w:val="0"/>
        </w:rPr>
        <w:t>.</w:t>
      </w:r>
      <w:r w:rsidR="005C3605" w:rsidRPr="00037DA8">
        <w:rPr>
          <w:rFonts w:ascii="Times New Roman" w:eastAsia="Times New Roman" w:hAnsi="Times New Roman"/>
          <w:snapToGrid w:val="0"/>
        </w:rPr>
        <w:t xml:space="preserve"> </w:t>
      </w:r>
      <w:r w:rsidRPr="00037DA8">
        <w:rPr>
          <w:rFonts w:ascii="Times New Roman" w:eastAsia="Times New Roman" w:hAnsi="Times New Roman"/>
          <w:snapToGrid w:val="0"/>
        </w:rPr>
        <w:t>Pacientų, kurie užbaigė tyrimo gydymą (10 kursų), buvo 29,4</w:t>
      </w:r>
      <w:r w:rsidR="00166270">
        <w:rPr>
          <w:rFonts w:ascii="Times New Roman" w:eastAsia="Times New Roman" w:hAnsi="Times New Roman"/>
          <w:snapToGrid w:val="0"/>
        </w:rPr>
        <w:t> </w:t>
      </w:r>
      <w:r w:rsidRPr="00830259">
        <w:rPr>
          <w:rFonts w:ascii="Times New Roman" w:eastAsia="Times New Roman" w:hAnsi="Times New Roman"/>
          <w:snapToGrid w:val="0"/>
        </w:rPr>
        <w:t>% ir 13,5</w:t>
      </w:r>
      <w:r w:rsidR="00166270">
        <w:rPr>
          <w:rFonts w:ascii="Times New Roman" w:eastAsia="Times New Roman" w:hAnsi="Times New Roman"/>
          <w:snapToGrid w:val="0"/>
        </w:rPr>
        <w:t> </w:t>
      </w:r>
      <w:r w:rsidRPr="00830259">
        <w:rPr>
          <w:rFonts w:ascii="Times New Roman" w:eastAsia="Times New Roman" w:hAnsi="Times New Roman"/>
          <w:snapToGrid w:val="0"/>
        </w:rPr>
        <w:t xml:space="preserve">% (atitinkamai </w:t>
      </w:r>
      <w:proofErr w:type="spellStart"/>
      <w:r w:rsidR="00D71454" w:rsidRPr="00830259">
        <w:rPr>
          <w:rFonts w:ascii="Times New Roman" w:eastAsia="Times New Roman" w:hAnsi="Times New Roman"/>
          <w:snapToGrid w:val="0"/>
        </w:rPr>
        <w:t>kabazitakselio</w:t>
      </w:r>
      <w:proofErr w:type="spellEnd"/>
      <w:r w:rsidRPr="00830259">
        <w:rPr>
          <w:rFonts w:ascii="Times New Roman" w:eastAsia="Times New Roman" w:hAnsi="Times New Roman"/>
          <w:snapToGrid w:val="0"/>
        </w:rPr>
        <w:t xml:space="preserve"> ir</w:t>
      </w:r>
      <w:r w:rsidR="00D71454" w:rsidRPr="00830259">
        <w:rPr>
          <w:rFonts w:ascii="Times New Roman" w:eastAsia="Times New Roman" w:hAnsi="Times New Roman"/>
          <w:snapToGrid w:val="0"/>
        </w:rPr>
        <w:t xml:space="preserve"> </w:t>
      </w:r>
      <w:r w:rsidRPr="0085406C">
        <w:rPr>
          <w:rFonts w:ascii="Times New Roman" w:eastAsia="Times New Roman" w:hAnsi="Times New Roman"/>
          <w:snapToGrid w:val="0"/>
        </w:rPr>
        <w:t>lyginamosios grupės pacientų).</w:t>
      </w:r>
    </w:p>
    <w:p w14:paraId="741162C4" w14:textId="77777777" w:rsidR="005031D7" w:rsidRPr="004200DB" w:rsidRDefault="005031D7" w:rsidP="00267DDB">
      <w:pPr>
        <w:tabs>
          <w:tab w:val="left" w:pos="567"/>
        </w:tabs>
        <w:spacing w:after="0" w:line="260" w:lineRule="exact"/>
        <w:rPr>
          <w:rFonts w:ascii="Times New Roman" w:eastAsia="Times New Roman" w:hAnsi="Times New Roman"/>
          <w:snapToGrid w:val="0"/>
        </w:rPr>
      </w:pPr>
    </w:p>
    <w:p w14:paraId="5A06FD3A" w14:textId="75769A06" w:rsidR="002A44ED" w:rsidRPr="00830259" w:rsidRDefault="002A44ED" w:rsidP="002A44ED">
      <w:pPr>
        <w:tabs>
          <w:tab w:val="left" w:pos="567"/>
        </w:tabs>
        <w:spacing w:after="0" w:line="260" w:lineRule="exact"/>
        <w:rPr>
          <w:rFonts w:ascii="Times New Roman" w:eastAsia="Times New Roman" w:hAnsi="Times New Roman"/>
          <w:snapToGrid w:val="0"/>
        </w:rPr>
      </w:pPr>
      <w:proofErr w:type="spellStart"/>
      <w:r w:rsidRPr="004200DB">
        <w:rPr>
          <w:rFonts w:ascii="Times New Roman" w:eastAsia="Times New Roman" w:hAnsi="Times New Roman"/>
          <w:snapToGrid w:val="0"/>
        </w:rPr>
        <w:t>Kabazitakseliu</w:t>
      </w:r>
      <w:proofErr w:type="spellEnd"/>
      <w:r w:rsidRPr="004200DB">
        <w:rPr>
          <w:rFonts w:ascii="Times New Roman" w:eastAsia="Times New Roman" w:hAnsi="Times New Roman"/>
          <w:snapToGrid w:val="0"/>
        </w:rPr>
        <w:t xml:space="preserve"> gydytų pacientų bendrasis išgyvenamumas buvo reikšmingai ilgesnis nei </w:t>
      </w:r>
      <w:proofErr w:type="spellStart"/>
      <w:r w:rsidRPr="004200DB">
        <w:rPr>
          <w:rFonts w:ascii="Times New Roman" w:eastAsia="Times New Roman" w:hAnsi="Times New Roman"/>
          <w:snapToGrid w:val="0"/>
        </w:rPr>
        <w:t>mitoksantrono</w:t>
      </w:r>
      <w:proofErr w:type="spellEnd"/>
      <w:r w:rsidRPr="004200DB">
        <w:rPr>
          <w:rFonts w:ascii="Times New Roman" w:eastAsia="Times New Roman" w:hAnsi="Times New Roman"/>
          <w:snapToGrid w:val="0"/>
        </w:rPr>
        <w:t xml:space="preserve"> vartojusių pacientų (atitinkamai 15,1</w:t>
      </w:r>
      <w:r w:rsidR="00166270">
        <w:rPr>
          <w:rFonts w:ascii="Times New Roman" w:eastAsia="Times New Roman" w:hAnsi="Times New Roman"/>
          <w:snapToGrid w:val="0"/>
        </w:rPr>
        <w:t> </w:t>
      </w:r>
      <w:r w:rsidRPr="004200DB">
        <w:rPr>
          <w:rFonts w:ascii="Times New Roman" w:eastAsia="Times New Roman" w:hAnsi="Times New Roman"/>
          <w:snapToGrid w:val="0"/>
        </w:rPr>
        <w:t>mėnesio ir 12,7</w:t>
      </w:r>
      <w:r w:rsidR="00166270">
        <w:rPr>
          <w:rFonts w:ascii="Times New Roman" w:eastAsia="Times New Roman" w:hAnsi="Times New Roman"/>
          <w:snapToGrid w:val="0"/>
        </w:rPr>
        <w:t> </w:t>
      </w:r>
      <w:r w:rsidRPr="004200DB">
        <w:rPr>
          <w:rFonts w:ascii="Times New Roman" w:eastAsia="Times New Roman" w:hAnsi="Times New Roman"/>
          <w:snapToGrid w:val="0"/>
        </w:rPr>
        <w:t>mėnesio), o mirties rizika sumažėjo 30</w:t>
      </w:r>
      <w:r w:rsidR="00166270">
        <w:rPr>
          <w:rFonts w:ascii="Times New Roman" w:eastAsia="Times New Roman" w:hAnsi="Times New Roman"/>
          <w:snapToGrid w:val="0"/>
        </w:rPr>
        <w:t> </w:t>
      </w:r>
      <w:r w:rsidRPr="00830259">
        <w:rPr>
          <w:rFonts w:ascii="Times New Roman" w:eastAsia="Times New Roman" w:hAnsi="Times New Roman"/>
          <w:snapToGrid w:val="0"/>
        </w:rPr>
        <w:t xml:space="preserve">%, palyginti su </w:t>
      </w:r>
      <w:proofErr w:type="spellStart"/>
      <w:r w:rsidRPr="00830259">
        <w:rPr>
          <w:rFonts w:ascii="Times New Roman" w:eastAsia="Times New Roman" w:hAnsi="Times New Roman"/>
          <w:snapToGrid w:val="0"/>
        </w:rPr>
        <w:t>mitoksantronu</w:t>
      </w:r>
      <w:proofErr w:type="spellEnd"/>
      <w:r w:rsidRPr="00830259">
        <w:rPr>
          <w:rFonts w:ascii="Times New Roman" w:eastAsia="Times New Roman" w:hAnsi="Times New Roman"/>
          <w:snapToGrid w:val="0"/>
        </w:rPr>
        <w:t xml:space="preserve"> gydytų pacientų (žr. 3 lentelę ir 1 paveikslą).</w:t>
      </w:r>
    </w:p>
    <w:p w14:paraId="6C03842D" w14:textId="77777777" w:rsidR="003F2FBC" w:rsidRDefault="003F2FBC" w:rsidP="002A44ED">
      <w:pPr>
        <w:tabs>
          <w:tab w:val="left" w:pos="567"/>
        </w:tabs>
        <w:spacing w:after="0" w:line="260" w:lineRule="exact"/>
        <w:rPr>
          <w:rFonts w:ascii="Times New Roman" w:eastAsia="Times New Roman" w:hAnsi="Times New Roman"/>
          <w:snapToGrid w:val="0"/>
        </w:rPr>
      </w:pPr>
    </w:p>
    <w:p w14:paraId="592D7602" w14:textId="5F8878B4" w:rsidR="002A44ED" w:rsidRPr="00830259" w:rsidRDefault="002A44ED" w:rsidP="002A44ED">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 xml:space="preserve">59 pacientų pogrupyje anksčiau vartoto </w:t>
      </w:r>
      <w:proofErr w:type="spellStart"/>
      <w:r w:rsidRPr="0085406C">
        <w:rPr>
          <w:rFonts w:ascii="Times New Roman" w:eastAsia="Times New Roman" w:hAnsi="Times New Roman"/>
          <w:snapToGrid w:val="0"/>
        </w:rPr>
        <w:t>docetakselio</w:t>
      </w:r>
      <w:proofErr w:type="spellEnd"/>
      <w:r w:rsidRPr="0085406C">
        <w:rPr>
          <w:rFonts w:ascii="Times New Roman" w:eastAsia="Times New Roman" w:hAnsi="Times New Roman"/>
          <w:snapToGrid w:val="0"/>
        </w:rPr>
        <w:t xml:space="preserve"> kumuliacinė dozė buvo &lt;</w:t>
      </w:r>
      <w:r w:rsidR="00166270">
        <w:rPr>
          <w:rFonts w:ascii="Times New Roman" w:eastAsia="Times New Roman" w:hAnsi="Times New Roman"/>
          <w:snapToGrid w:val="0"/>
        </w:rPr>
        <w:t> </w:t>
      </w:r>
      <w:r w:rsidRPr="0085406C">
        <w:rPr>
          <w:rFonts w:ascii="Times New Roman" w:eastAsia="Times New Roman" w:hAnsi="Times New Roman"/>
          <w:snapToGrid w:val="0"/>
        </w:rPr>
        <w:t>225</w:t>
      </w:r>
      <w:r w:rsidR="00166270">
        <w:rPr>
          <w:rFonts w:ascii="Times New Roman" w:eastAsia="Times New Roman" w:hAnsi="Times New Roman"/>
          <w:snapToGrid w:val="0"/>
        </w:rPr>
        <w:t> </w:t>
      </w:r>
      <w:r w:rsidRPr="0085406C">
        <w:rPr>
          <w:rFonts w:ascii="Times New Roman" w:eastAsia="Times New Roman" w:hAnsi="Times New Roman"/>
          <w:snapToGrid w:val="0"/>
        </w:rPr>
        <w:t>mg/m² (29</w:t>
      </w:r>
      <w:r w:rsidR="003F2FBC">
        <w:rPr>
          <w:rFonts w:ascii="Times New Roman" w:eastAsia="Times New Roman" w:hAnsi="Times New Roman"/>
          <w:snapToGrid w:val="0"/>
        </w:rPr>
        <w:t> </w:t>
      </w:r>
      <w:r w:rsidRPr="0085406C">
        <w:rPr>
          <w:rFonts w:ascii="Times New Roman" w:eastAsia="Times New Roman" w:hAnsi="Times New Roman"/>
          <w:snapToGrid w:val="0"/>
        </w:rPr>
        <w:t xml:space="preserve">pacientai gydyti </w:t>
      </w:r>
      <w:proofErr w:type="spellStart"/>
      <w:r w:rsidRPr="0085406C">
        <w:rPr>
          <w:rFonts w:ascii="Times New Roman" w:eastAsia="Times New Roman" w:hAnsi="Times New Roman"/>
          <w:snapToGrid w:val="0"/>
        </w:rPr>
        <w:t>kabazitakseliu</w:t>
      </w:r>
      <w:proofErr w:type="spellEnd"/>
      <w:r w:rsidRPr="0085406C">
        <w:rPr>
          <w:rFonts w:ascii="Times New Roman" w:eastAsia="Times New Roman" w:hAnsi="Times New Roman"/>
          <w:snapToGrid w:val="0"/>
        </w:rPr>
        <w:t xml:space="preserve">, 30 – </w:t>
      </w:r>
      <w:proofErr w:type="spellStart"/>
      <w:r w:rsidRPr="0085406C">
        <w:rPr>
          <w:rFonts w:ascii="Times New Roman" w:eastAsia="Times New Roman" w:hAnsi="Times New Roman"/>
          <w:snapToGrid w:val="0"/>
        </w:rPr>
        <w:t>mitoksantronu</w:t>
      </w:r>
      <w:proofErr w:type="spellEnd"/>
      <w:r w:rsidRPr="0085406C">
        <w:rPr>
          <w:rFonts w:ascii="Times New Roman" w:eastAsia="Times New Roman" w:hAnsi="Times New Roman"/>
          <w:snapToGrid w:val="0"/>
        </w:rPr>
        <w:t>). Bendrasis šių grupių pacientų išgyvenamumas reikšmingai nesiskyrė (RS (95</w:t>
      </w:r>
      <w:r w:rsidR="004B3430">
        <w:rPr>
          <w:rFonts w:ascii="Times New Roman" w:eastAsia="Times New Roman" w:hAnsi="Times New Roman"/>
          <w:snapToGrid w:val="0"/>
        </w:rPr>
        <w:t> </w:t>
      </w:r>
      <w:r w:rsidRPr="00830259">
        <w:rPr>
          <w:rFonts w:ascii="Times New Roman" w:eastAsia="Times New Roman" w:hAnsi="Times New Roman"/>
          <w:snapToGrid w:val="0"/>
        </w:rPr>
        <w:t>%PI) 0,96 (0,49-1,86)).</w:t>
      </w:r>
    </w:p>
    <w:p w14:paraId="4014FFB2" w14:textId="403E0CA2" w:rsidR="002A44ED" w:rsidRPr="0085406C" w:rsidRDefault="002A44ED" w:rsidP="002A44ED">
      <w:pPr>
        <w:tabs>
          <w:tab w:val="left" w:pos="567"/>
        </w:tabs>
        <w:spacing w:after="0" w:line="260" w:lineRule="exact"/>
        <w:rPr>
          <w:rFonts w:ascii="Times New Roman" w:eastAsia="Times New Roman" w:hAnsi="Times New Roman"/>
          <w:snapToGrid w:val="0"/>
        </w:rPr>
      </w:pPr>
    </w:p>
    <w:p w14:paraId="00A228C2" w14:textId="118B7978" w:rsidR="005031D7" w:rsidRDefault="002A44ED" w:rsidP="00361D6D">
      <w:pPr>
        <w:tabs>
          <w:tab w:val="left" w:pos="851"/>
        </w:tabs>
        <w:spacing w:after="0" w:line="260" w:lineRule="exact"/>
        <w:ind w:left="851" w:hanging="851"/>
        <w:rPr>
          <w:rFonts w:ascii="Times New Roman" w:eastAsia="Times New Roman" w:hAnsi="Times New Roman"/>
          <w:snapToGrid w:val="0"/>
        </w:rPr>
      </w:pPr>
      <w:r w:rsidRPr="004200DB">
        <w:rPr>
          <w:rFonts w:ascii="Times New Roman" w:eastAsia="Times New Roman" w:hAnsi="Times New Roman"/>
          <w:snapToGrid w:val="0"/>
        </w:rPr>
        <w:t>3</w:t>
      </w:r>
      <w:r w:rsidR="002C2B24">
        <w:rPr>
          <w:rFonts w:ascii="Times New Roman" w:eastAsia="Times New Roman" w:hAnsi="Times New Roman"/>
          <w:snapToGrid w:val="0"/>
        </w:rPr>
        <w:t> </w:t>
      </w:r>
      <w:r w:rsidRPr="004200DB">
        <w:rPr>
          <w:rFonts w:ascii="Times New Roman" w:eastAsia="Times New Roman" w:hAnsi="Times New Roman"/>
          <w:snapToGrid w:val="0"/>
        </w:rPr>
        <w:t xml:space="preserve">lentelė. </w:t>
      </w:r>
      <w:proofErr w:type="spellStart"/>
      <w:r w:rsidRPr="004200DB">
        <w:rPr>
          <w:rFonts w:ascii="Times New Roman" w:eastAsia="Times New Roman" w:hAnsi="Times New Roman"/>
          <w:snapToGrid w:val="0"/>
        </w:rPr>
        <w:t>Kabazitakselio</w:t>
      </w:r>
      <w:proofErr w:type="spellEnd"/>
      <w:r w:rsidRPr="004200DB">
        <w:rPr>
          <w:rFonts w:ascii="Times New Roman" w:eastAsia="Times New Roman" w:hAnsi="Times New Roman"/>
          <w:snapToGrid w:val="0"/>
        </w:rPr>
        <w:t xml:space="preserve"> veiksmingumas tyrimo EFC6193 metu gydant kastracij</w:t>
      </w:r>
      <w:r w:rsidR="00B25837">
        <w:rPr>
          <w:rFonts w:ascii="Times New Roman" w:eastAsia="Times New Roman" w:hAnsi="Times New Roman"/>
          <w:snapToGrid w:val="0"/>
        </w:rPr>
        <w:t>ai</w:t>
      </w:r>
      <w:r w:rsidRPr="004200DB">
        <w:rPr>
          <w:rFonts w:ascii="Times New Roman" w:eastAsia="Times New Roman" w:hAnsi="Times New Roman"/>
          <w:snapToGrid w:val="0"/>
        </w:rPr>
        <w:t xml:space="preserve"> </w:t>
      </w:r>
      <w:r w:rsidR="00B25837">
        <w:rPr>
          <w:rFonts w:ascii="Times New Roman" w:eastAsia="Times New Roman" w:hAnsi="Times New Roman"/>
          <w:snapToGrid w:val="0"/>
        </w:rPr>
        <w:t>atspariu</w:t>
      </w:r>
      <w:r w:rsidR="00420934">
        <w:rPr>
          <w:rFonts w:ascii="Times New Roman" w:eastAsia="Times New Roman" w:hAnsi="Times New Roman"/>
          <w:snapToGrid w:val="0"/>
        </w:rPr>
        <w:t xml:space="preserve"> </w:t>
      </w:r>
      <w:proofErr w:type="spellStart"/>
      <w:r w:rsidRPr="004200DB">
        <w:rPr>
          <w:rFonts w:ascii="Times New Roman" w:eastAsia="Times New Roman" w:hAnsi="Times New Roman"/>
          <w:snapToGrid w:val="0"/>
        </w:rPr>
        <w:t>metastazavusiu</w:t>
      </w:r>
      <w:proofErr w:type="spellEnd"/>
      <w:r w:rsidRPr="004200DB">
        <w:rPr>
          <w:rFonts w:ascii="Times New Roman" w:eastAsia="Times New Roman" w:hAnsi="Times New Roman"/>
          <w:snapToGrid w:val="0"/>
        </w:rPr>
        <w:t xml:space="preserve"> prostatos vėžiu sergančius pacientus</w:t>
      </w:r>
    </w:p>
    <w:p w14:paraId="1496B879" w14:textId="77777777" w:rsidR="00833F66" w:rsidRPr="004200DB" w:rsidRDefault="00833F66" w:rsidP="00361D6D">
      <w:pPr>
        <w:tabs>
          <w:tab w:val="left" w:pos="851"/>
        </w:tabs>
        <w:spacing w:after="0" w:line="260" w:lineRule="exact"/>
        <w:ind w:left="851" w:hanging="851"/>
        <w:rPr>
          <w:rFonts w:ascii="Times New Roman" w:eastAsia="Times New Roman" w:hAnsi="Times New Roman"/>
          <w:snapToGrid w:val="0"/>
        </w:rPr>
      </w:pPr>
    </w:p>
    <w:tbl>
      <w:tblPr>
        <w:tblW w:w="9039" w:type="dxa"/>
        <w:tblBorders>
          <w:top w:val="single" w:sz="4" w:space="0" w:color="7F7F7F"/>
          <w:bottom w:val="single" w:sz="4" w:space="0" w:color="7F7F7F"/>
        </w:tblBorders>
        <w:tblLayout w:type="fixed"/>
        <w:tblLook w:val="04A0" w:firstRow="1" w:lastRow="0" w:firstColumn="1" w:lastColumn="0" w:noHBand="0" w:noVBand="1"/>
      </w:tblPr>
      <w:tblGrid>
        <w:gridCol w:w="3369"/>
        <w:gridCol w:w="2551"/>
        <w:gridCol w:w="3119"/>
      </w:tblGrid>
      <w:tr w:rsidR="002A44ED" w:rsidRPr="00074768" w14:paraId="03335353" w14:textId="77777777" w:rsidTr="00037DA8">
        <w:tc>
          <w:tcPr>
            <w:tcW w:w="3369" w:type="dxa"/>
            <w:tcBorders>
              <w:top w:val="single" w:sz="4" w:space="0" w:color="auto"/>
              <w:bottom w:val="single" w:sz="4" w:space="0" w:color="7F7F7F"/>
            </w:tcBorders>
            <w:shd w:val="clear" w:color="auto" w:fill="auto"/>
          </w:tcPr>
          <w:p w14:paraId="68024CD4" w14:textId="77777777" w:rsidR="002A44ED" w:rsidRPr="00D9458E" w:rsidRDefault="002A44ED" w:rsidP="002A44ED">
            <w:pPr>
              <w:tabs>
                <w:tab w:val="left" w:pos="567"/>
              </w:tabs>
              <w:spacing w:after="0" w:line="260" w:lineRule="exact"/>
              <w:rPr>
                <w:rFonts w:ascii="Times New Roman" w:eastAsia="Times New Roman" w:hAnsi="Times New Roman"/>
                <w:b/>
                <w:bCs/>
                <w:snapToGrid w:val="0"/>
              </w:rPr>
            </w:pPr>
          </w:p>
        </w:tc>
        <w:tc>
          <w:tcPr>
            <w:tcW w:w="2551" w:type="dxa"/>
            <w:tcBorders>
              <w:top w:val="single" w:sz="4" w:space="0" w:color="auto"/>
              <w:bottom w:val="single" w:sz="4" w:space="0" w:color="auto"/>
            </w:tcBorders>
            <w:shd w:val="clear" w:color="auto" w:fill="auto"/>
          </w:tcPr>
          <w:p w14:paraId="3B4A3D41" w14:textId="13DE7E5A" w:rsidR="002A44ED" w:rsidRPr="004200DB" w:rsidRDefault="002A44ED" w:rsidP="002A44ED">
            <w:pPr>
              <w:tabs>
                <w:tab w:val="left" w:pos="567"/>
              </w:tabs>
              <w:spacing w:after="0" w:line="260" w:lineRule="exact"/>
              <w:jc w:val="center"/>
              <w:rPr>
                <w:rFonts w:ascii="Times New Roman" w:eastAsia="Times New Roman" w:hAnsi="Times New Roman"/>
                <w:b/>
                <w:bCs/>
                <w:snapToGrid w:val="0"/>
              </w:rPr>
            </w:pPr>
            <w:proofErr w:type="spellStart"/>
            <w:r w:rsidRPr="0085406C">
              <w:rPr>
                <w:rFonts w:ascii="Times New Roman" w:eastAsia="Times New Roman" w:hAnsi="Times New Roman"/>
                <w:b/>
                <w:snapToGrid w:val="0"/>
              </w:rPr>
              <w:t>Kabazitakselis</w:t>
            </w:r>
            <w:proofErr w:type="spellEnd"/>
            <w:r w:rsidRPr="0085406C">
              <w:rPr>
                <w:rFonts w:ascii="Times New Roman" w:eastAsia="Times New Roman" w:hAnsi="Times New Roman"/>
                <w:b/>
                <w:bCs/>
                <w:snapToGrid w:val="0"/>
              </w:rPr>
              <w:t xml:space="preserve"> + prednizonas</w:t>
            </w:r>
          </w:p>
          <w:p w14:paraId="2A1CBC8F" w14:textId="77777777" w:rsidR="002A44ED" w:rsidRPr="004200DB" w:rsidRDefault="002A44ED" w:rsidP="002A44ED">
            <w:pPr>
              <w:tabs>
                <w:tab w:val="left" w:pos="567"/>
              </w:tabs>
              <w:spacing w:after="0" w:line="260" w:lineRule="exact"/>
              <w:jc w:val="center"/>
              <w:rPr>
                <w:rFonts w:ascii="Times New Roman" w:eastAsia="Times New Roman" w:hAnsi="Times New Roman"/>
                <w:b/>
                <w:bCs/>
                <w:snapToGrid w:val="0"/>
              </w:rPr>
            </w:pPr>
            <w:r w:rsidRPr="004200DB">
              <w:rPr>
                <w:rFonts w:ascii="Times New Roman" w:eastAsia="Times New Roman" w:hAnsi="Times New Roman"/>
                <w:b/>
                <w:bCs/>
                <w:snapToGrid w:val="0"/>
              </w:rPr>
              <w:t>n=378</w:t>
            </w:r>
          </w:p>
        </w:tc>
        <w:tc>
          <w:tcPr>
            <w:tcW w:w="3119" w:type="dxa"/>
            <w:tcBorders>
              <w:top w:val="single" w:sz="4" w:space="0" w:color="auto"/>
              <w:bottom w:val="single" w:sz="4" w:space="0" w:color="auto"/>
            </w:tcBorders>
            <w:shd w:val="clear" w:color="auto" w:fill="auto"/>
          </w:tcPr>
          <w:p w14:paraId="2B7A7A8A" w14:textId="77777777" w:rsidR="002A44ED" w:rsidRPr="00037DA8" w:rsidRDefault="002A44ED" w:rsidP="002A44ED">
            <w:pPr>
              <w:tabs>
                <w:tab w:val="left" w:pos="567"/>
              </w:tabs>
              <w:spacing w:after="0" w:line="260" w:lineRule="exact"/>
              <w:jc w:val="center"/>
              <w:rPr>
                <w:rFonts w:ascii="Times New Roman" w:eastAsia="Times New Roman" w:hAnsi="Times New Roman"/>
                <w:b/>
                <w:bCs/>
                <w:snapToGrid w:val="0"/>
              </w:rPr>
            </w:pPr>
            <w:proofErr w:type="spellStart"/>
            <w:r w:rsidRPr="004200DB">
              <w:rPr>
                <w:rFonts w:ascii="Times New Roman" w:eastAsia="Times New Roman" w:hAnsi="Times New Roman"/>
                <w:b/>
                <w:bCs/>
                <w:snapToGrid w:val="0"/>
              </w:rPr>
              <w:t>Mitoksantronas</w:t>
            </w:r>
            <w:proofErr w:type="spellEnd"/>
            <w:r w:rsidRPr="004200DB">
              <w:rPr>
                <w:rFonts w:ascii="Times New Roman" w:eastAsia="Times New Roman" w:hAnsi="Times New Roman"/>
                <w:b/>
                <w:bCs/>
                <w:snapToGrid w:val="0"/>
              </w:rPr>
              <w:t xml:space="preserve"> + </w:t>
            </w:r>
            <w:r w:rsidRPr="00037DA8">
              <w:rPr>
                <w:rFonts w:ascii="Times New Roman" w:eastAsia="Times New Roman" w:hAnsi="Times New Roman"/>
                <w:b/>
                <w:bCs/>
                <w:snapToGrid w:val="0"/>
              </w:rPr>
              <w:t>prednizonas</w:t>
            </w:r>
          </w:p>
          <w:p w14:paraId="14BBC9A4" w14:textId="77777777" w:rsidR="002A44ED" w:rsidRPr="00037DA8" w:rsidRDefault="002A44ED" w:rsidP="002A44ED">
            <w:pPr>
              <w:tabs>
                <w:tab w:val="left" w:pos="567"/>
              </w:tabs>
              <w:spacing w:after="0" w:line="260" w:lineRule="exact"/>
              <w:jc w:val="center"/>
              <w:rPr>
                <w:rFonts w:ascii="Times New Roman" w:eastAsia="Times New Roman" w:hAnsi="Times New Roman"/>
                <w:b/>
                <w:bCs/>
                <w:snapToGrid w:val="0"/>
              </w:rPr>
            </w:pPr>
            <w:r w:rsidRPr="00037DA8">
              <w:rPr>
                <w:rFonts w:ascii="Times New Roman" w:eastAsia="Times New Roman" w:hAnsi="Times New Roman"/>
                <w:b/>
                <w:bCs/>
                <w:snapToGrid w:val="0"/>
              </w:rPr>
              <w:t>n=377</w:t>
            </w:r>
          </w:p>
        </w:tc>
      </w:tr>
      <w:tr w:rsidR="002A44ED" w:rsidRPr="00074768" w14:paraId="3FF31B38" w14:textId="77777777" w:rsidTr="00037DA8">
        <w:tc>
          <w:tcPr>
            <w:tcW w:w="3369" w:type="dxa"/>
            <w:tcBorders>
              <w:top w:val="single" w:sz="4" w:space="0" w:color="7F7F7F"/>
              <w:bottom w:val="nil"/>
            </w:tcBorders>
            <w:shd w:val="clear" w:color="auto" w:fill="auto"/>
          </w:tcPr>
          <w:p w14:paraId="63105A36" w14:textId="77777777" w:rsidR="002A44ED" w:rsidRPr="00830259" w:rsidRDefault="00C14E48" w:rsidP="002A44ED">
            <w:pPr>
              <w:tabs>
                <w:tab w:val="left" w:pos="567"/>
              </w:tabs>
              <w:spacing w:after="0" w:line="260" w:lineRule="exact"/>
              <w:rPr>
                <w:rFonts w:ascii="Times New Roman" w:eastAsia="Times New Roman" w:hAnsi="Times New Roman"/>
                <w:b/>
                <w:bCs/>
                <w:snapToGrid w:val="0"/>
              </w:rPr>
            </w:pPr>
            <w:r w:rsidRPr="00074768">
              <w:rPr>
                <w:rFonts w:ascii="Times New Roman" w:eastAsia="Times New Roman" w:hAnsi="Times New Roman"/>
                <w:b/>
                <w:bCs/>
                <w:snapToGrid w:val="0"/>
              </w:rPr>
              <w:t>Bendrasis išgyvenamumas</w:t>
            </w:r>
          </w:p>
        </w:tc>
        <w:tc>
          <w:tcPr>
            <w:tcW w:w="2551" w:type="dxa"/>
            <w:tcBorders>
              <w:top w:val="single" w:sz="4" w:space="0" w:color="auto"/>
              <w:bottom w:val="nil"/>
            </w:tcBorders>
            <w:shd w:val="clear" w:color="auto" w:fill="auto"/>
          </w:tcPr>
          <w:p w14:paraId="0561B944" w14:textId="77777777" w:rsidR="002A44ED" w:rsidRPr="0085406C" w:rsidRDefault="002A44ED" w:rsidP="002A44ED">
            <w:pPr>
              <w:tabs>
                <w:tab w:val="left" w:pos="567"/>
              </w:tabs>
              <w:spacing w:after="0" w:line="260" w:lineRule="exact"/>
              <w:rPr>
                <w:rFonts w:ascii="Times New Roman" w:eastAsia="Times New Roman" w:hAnsi="Times New Roman"/>
                <w:b/>
                <w:bCs/>
                <w:snapToGrid w:val="0"/>
              </w:rPr>
            </w:pPr>
          </w:p>
        </w:tc>
        <w:tc>
          <w:tcPr>
            <w:tcW w:w="3119" w:type="dxa"/>
            <w:tcBorders>
              <w:top w:val="single" w:sz="4" w:space="0" w:color="auto"/>
              <w:bottom w:val="nil"/>
            </w:tcBorders>
            <w:shd w:val="clear" w:color="auto" w:fill="auto"/>
          </w:tcPr>
          <w:p w14:paraId="110D228C" w14:textId="77777777" w:rsidR="002A44ED" w:rsidRPr="004200DB" w:rsidRDefault="002A44ED" w:rsidP="002A44ED">
            <w:pPr>
              <w:tabs>
                <w:tab w:val="left" w:pos="567"/>
              </w:tabs>
              <w:spacing w:after="0" w:line="260" w:lineRule="exact"/>
              <w:rPr>
                <w:rFonts w:ascii="Times New Roman" w:eastAsia="Times New Roman" w:hAnsi="Times New Roman"/>
                <w:b/>
                <w:bCs/>
                <w:snapToGrid w:val="0"/>
              </w:rPr>
            </w:pPr>
          </w:p>
        </w:tc>
      </w:tr>
      <w:tr w:rsidR="002A44ED" w:rsidRPr="00074768" w14:paraId="6A2F97D7" w14:textId="77777777" w:rsidTr="002642B8">
        <w:tc>
          <w:tcPr>
            <w:tcW w:w="3369" w:type="dxa"/>
            <w:tcBorders>
              <w:top w:val="nil"/>
              <w:bottom w:val="nil"/>
            </w:tcBorders>
            <w:shd w:val="clear" w:color="auto" w:fill="auto"/>
          </w:tcPr>
          <w:p w14:paraId="6C67FC52" w14:textId="77777777" w:rsidR="002A44ED" w:rsidRPr="00830259" w:rsidRDefault="00C14E48" w:rsidP="00C14E48">
            <w:pPr>
              <w:tabs>
                <w:tab w:val="left" w:pos="567"/>
              </w:tabs>
              <w:spacing w:after="0" w:line="260" w:lineRule="exact"/>
              <w:rPr>
                <w:rFonts w:ascii="Times New Roman" w:eastAsia="Times New Roman" w:hAnsi="Times New Roman"/>
                <w:bCs/>
                <w:snapToGrid w:val="0"/>
              </w:rPr>
            </w:pPr>
            <w:r w:rsidRPr="00074768">
              <w:rPr>
                <w:rFonts w:ascii="Times New Roman" w:eastAsia="Times New Roman" w:hAnsi="Times New Roman"/>
                <w:bCs/>
                <w:snapToGrid w:val="0"/>
              </w:rPr>
              <w:t xml:space="preserve">Mirusių pacientų skaičius </w:t>
            </w:r>
            <w:r w:rsidR="002A44ED" w:rsidRPr="00830259">
              <w:rPr>
                <w:rFonts w:ascii="Times New Roman" w:eastAsia="Times New Roman" w:hAnsi="Times New Roman"/>
                <w:bCs/>
                <w:snapToGrid w:val="0"/>
              </w:rPr>
              <w:t>(%)</w:t>
            </w:r>
          </w:p>
        </w:tc>
        <w:tc>
          <w:tcPr>
            <w:tcW w:w="2551" w:type="dxa"/>
            <w:tcBorders>
              <w:top w:val="nil"/>
              <w:bottom w:val="nil"/>
            </w:tcBorders>
            <w:shd w:val="clear" w:color="auto" w:fill="auto"/>
          </w:tcPr>
          <w:p w14:paraId="6C47D2D8" w14:textId="66DE1712" w:rsidR="002A44ED" w:rsidRPr="004200DB" w:rsidRDefault="002A44ED" w:rsidP="002642B8">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234 (61</w:t>
            </w:r>
            <w:r w:rsidR="00C14E48" w:rsidRPr="0085406C">
              <w:rPr>
                <w:rFonts w:ascii="Times New Roman" w:eastAsia="Times New Roman" w:hAnsi="Times New Roman"/>
                <w:snapToGrid w:val="0"/>
              </w:rPr>
              <w:t>,</w:t>
            </w:r>
            <w:r w:rsidRPr="004200DB">
              <w:rPr>
                <w:rFonts w:ascii="Times New Roman" w:eastAsia="Times New Roman" w:hAnsi="Times New Roman"/>
                <w:snapToGrid w:val="0"/>
              </w:rPr>
              <w:t>9</w:t>
            </w:r>
            <w:r w:rsidR="004B3430">
              <w:rPr>
                <w:rFonts w:ascii="Times New Roman" w:eastAsia="Times New Roman" w:hAnsi="Times New Roman"/>
                <w:snapToGrid w:val="0"/>
              </w:rPr>
              <w:t> </w:t>
            </w:r>
            <w:r w:rsidRPr="004200DB">
              <w:rPr>
                <w:rFonts w:ascii="Times New Roman" w:eastAsia="Times New Roman" w:hAnsi="Times New Roman"/>
                <w:snapToGrid w:val="0"/>
              </w:rPr>
              <w:t>%)</w:t>
            </w:r>
          </w:p>
        </w:tc>
        <w:tc>
          <w:tcPr>
            <w:tcW w:w="3119" w:type="dxa"/>
            <w:tcBorders>
              <w:top w:val="nil"/>
              <w:bottom w:val="nil"/>
            </w:tcBorders>
            <w:shd w:val="clear" w:color="auto" w:fill="auto"/>
          </w:tcPr>
          <w:p w14:paraId="1A708874" w14:textId="2E31A7F6" w:rsidR="002A44ED" w:rsidRPr="004200DB" w:rsidRDefault="002A44ED" w:rsidP="002642B8">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279 (</w:t>
            </w:r>
            <w:r w:rsidR="00307A91">
              <w:rPr>
                <w:rFonts w:ascii="Times New Roman" w:eastAsia="Times New Roman" w:hAnsi="Times New Roman"/>
                <w:snapToGrid w:val="0"/>
              </w:rPr>
              <w:t>7</w:t>
            </w:r>
            <w:r w:rsidRPr="004200DB">
              <w:rPr>
                <w:rFonts w:ascii="Times New Roman" w:eastAsia="Times New Roman" w:hAnsi="Times New Roman"/>
                <w:snapToGrid w:val="0"/>
              </w:rPr>
              <w:t>4</w:t>
            </w:r>
            <w:r w:rsidR="004B3430">
              <w:rPr>
                <w:rFonts w:ascii="Times New Roman" w:eastAsia="Times New Roman" w:hAnsi="Times New Roman"/>
                <w:snapToGrid w:val="0"/>
              </w:rPr>
              <w:t> </w:t>
            </w:r>
            <w:r w:rsidRPr="004200DB">
              <w:rPr>
                <w:rFonts w:ascii="Times New Roman" w:eastAsia="Times New Roman" w:hAnsi="Times New Roman"/>
                <w:snapToGrid w:val="0"/>
              </w:rPr>
              <w:t>%)</w:t>
            </w:r>
          </w:p>
        </w:tc>
      </w:tr>
      <w:tr w:rsidR="002A44ED" w:rsidRPr="00074768" w14:paraId="06C6C19C" w14:textId="77777777" w:rsidTr="002642B8">
        <w:tc>
          <w:tcPr>
            <w:tcW w:w="3369" w:type="dxa"/>
            <w:tcBorders>
              <w:top w:val="nil"/>
              <w:bottom w:val="nil"/>
            </w:tcBorders>
            <w:shd w:val="clear" w:color="auto" w:fill="auto"/>
          </w:tcPr>
          <w:p w14:paraId="3EE0FACE" w14:textId="77777777" w:rsidR="00C14E48" w:rsidRPr="00074768" w:rsidRDefault="00C14E48" w:rsidP="00C14E48">
            <w:pPr>
              <w:tabs>
                <w:tab w:val="left" w:pos="567"/>
              </w:tabs>
              <w:spacing w:after="0" w:line="260" w:lineRule="exact"/>
              <w:rPr>
                <w:rFonts w:ascii="Times New Roman" w:eastAsia="Times New Roman" w:hAnsi="Times New Roman"/>
                <w:bCs/>
                <w:snapToGrid w:val="0"/>
              </w:rPr>
            </w:pPr>
            <w:r w:rsidRPr="00074768">
              <w:rPr>
                <w:rFonts w:ascii="Times New Roman" w:eastAsia="Times New Roman" w:hAnsi="Times New Roman"/>
                <w:bCs/>
                <w:snapToGrid w:val="0"/>
              </w:rPr>
              <w:t>Išgyvenamumo mediana (mėnesiai)</w:t>
            </w:r>
          </w:p>
          <w:p w14:paraId="580299A9" w14:textId="13D6B638" w:rsidR="002A44ED" w:rsidRPr="00830259" w:rsidRDefault="00C14E48" w:rsidP="00C14E48">
            <w:pPr>
              <w:tabs>
                <w:tab w:val="left" w:pos="567"/>
              </w:tabs>
              <w:spacing w:after="0" w:line="260" w:lineRule="exact"/>
              <w:rPr>
                <w:rFonts w:ascii="Times New Roman" w:eastAsia="Times New Roman" w:hAnsi="Times New Roman"/>
                <w:bCs/>
                <w:snapToGrid w:val="0"/>
              </w:rPr>
            </w:pPr>
            <w:r w:rsidRPr="00830259">
              <w:rPr>
                <w:rFonts w:ascii="Times New Roman" w:eastAsia="Times New Roman" w:hAnsi="Times New Roman"/>
                <w:bCs/>
                <w:snapToGrid w:val="0"/>
              </w:rPr>
              <w:t>(95</w:t>
            </w:r>
            <w:r w:rsidR="004B3430">
              <w:rPr>
                <w:rFonts w:ascii="Times New Roman" w:eastAsia="Times New Roman" w:hAnsi="Times New Roman"/>
                <w:bCs/>
                <w:snapToGrid w:val="0"/>
              </w:rPr>
              <w:t> </w:t>
            </w:r>
            <w:r w:rsidRPr="00830259">
              <w:rPr>
                <w:rFonts w:ascii="Times New Roman" w:eastAsia="Times New Roman" w:hAnsi="Times New Roman"/>
                <w:bCs/>
                <w:snapToGrid w:val="0"/>
              </w:rPr>
              <w:t>% PI)</w:t>
            </w:r>
          </w:p>
        </w:tc>
        <w:tc>
          <w:tcPr>
            <w:tcW w:w="2551" w:type="dxa"/>
            <w:tcBorders>
              <w:top w:val="nil"/>
              <w:bottom w:val="nil"/>
            </w:tcBorders>
            <w:shd w:val="clear" w:color="auto" w:fill="auto"/>
          </w:tcPr>
          <w:p w14:paraId="76CDC6A7" w14:textId="77777777" w:rsidR="002A44ED" w:rsidRPr="00037DA8" w:rsidRDefault="002A44ED" w:rsidP="002642B8">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15</w:t>
            </w:r>
            <w:r w:rsidR="00C14E48" w:rsidRPr="0085406C">
              <w:rPr>
                <w:rFonts w:ascii="Times New Roman" w:eastAsia="Times New Roman" w:hAnsi="Times New Roman"/>
                <w:snapToGrid w:val="0"/>
              </w:rPr>
              <w:t>,</w:t>
            </w:r>
            <w:r w:rsidRPr="004200DB">
              <w:rPr>
                <w:rFonts w:ascii="Times New Roman" w:eastAsia="Times New Roman" w:hAnsi="Times New Roman"/>
                <w:snapToGrid w:val="0"/>
              </w:rPr>
              <w:t>1 (14</w:t>
            </w:r>
            <w:r w:rsidR="00C14E48" w:rsidRPr="004200DB">
              <w:rPr>
                <w:rFonts w:ascii="Times New Roman" w:eastAsia="Times New Roman" w:hAnsi="Times New Roman"/>
                <w:snapToGrid w:val="0"/>
              </w:rPr>
              <w:t>,</w:t>
            </w:r>
            <w:r w:rsidRPr="004200DB">
              <w:rPr>
                <w:rFonts w:ascii="Times New Roman" w:eastAsia="Times New Roman" w:hAnsi="Times New Roman"/>
                <w:snapToGrid w:val="0"/>
              </w:rPr>
              <w:t>1-16</w:t>
            </w:r>
            <w:r w:rsidR="00C14E48" w:rsidRPr="00037DA8">
              <w:rPr>
                <w:rFonts w:ascii="Times New Roman" w:eastAsia="Times New Roman" w:hAnsi="Times New Roman"/>
                <w:snapToGrid w:val="0"/>
              </w:rPr>
              <w:t>,</w:t>
            </w:r>
            <w:r w:rsidRPr="00037DA8">
              <w:rPr>
                <w:rFonts w:ascii="Times New Roman" w:eastAsia="Times New Roman" w:hAnsi="Times New Roman"/>
                <w:snapToGrid w:val="0"/>
              </w:rPr>
              <w:t>3)</w:t>
            </w:r>
          </w:p>
        </w:tc>
        <w:tc>
          <w:tcPr>
            <w:tcW w:w="3119" w:type="dxa"/>
            <w:tcBorders>
              <w:top w:val="nil"/>
              <w:bottom w:val="nil"/>
            </w:tcBorders>
            <w:shd w:val="clear" w:color="auto" w:fill="auto"/>
          </w:tcPr>
          <w:p w14:paraId="4F4AE1D6" w14:textId="2EBFAF89" w:rsidR="002A44ED" w:rsidRPr="00037DA8" w:rsidRDefault="002A44ED" w:rsidP="002642B8">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12</w:t>
            </w:r>
            <w:r w:rsidR="003F2FBC">
              <w:rPr>
                <w:rFonts w:ascii="Times New Roman" w:eastAsia="Times New Roman" w:hAnsi="Times New Roman"/>
                <w:snapToGrid w:val="0"/>
              </w:rPr>
              <w:t>,</w:t>
            </w:r>
            <w:r w:rsidRPr="00037DA8">
              <w:rPr>
                <w:rFonts w:ascii="Times New Roman" w:eastAsia="Times New Roman" w:hAnsi="Times New Roman"/>
                <w:snapToGrid w:val="0"/>
              </w:rPr>
              <w:t>7 (11</w:t>
            </w:r>
            <w:r w:rsidR="00C14E48" w:rsidRPr="00037DA8">
              <w:rPr>
                <w:rFonts w:ascii="Times New Roman" w:eastAsia="Times New Roman" w:hAnsi="Times New Roman"/>
                <w:snapToGrid w:val="0"/>
              </w:rPr>
              <w:t>,</w:t>
            </w:r>
            <w:r w:rsidRPr="00037DA8">
              <w:rPr>
                <w:rFonts w:ascii="Times New Roman" w:eastAsia="Times New Roman" w:hAnsi="Times New Roman"/>
                <w:snapToGrid w:val="0"/>
              </w:rPr>
              <w:t>6-13</w:t>
            </w:r>
            <w:r w:rsidR="00C14E48" w:rsidRPr="00037DA8">
              <w:rPr>
                <w:rFonts w:ascii="Times New Roman" w:eastAsia="Times New Roman" w:hAnsi="Times New Roman"/>
                <w:snapToGrid w:val="0"/>
              </w:rPr>
              <w:t>,</w:t>
            </w:r>
            <w:r w:rsidRPr="00037DA8">
              <w:rPr>
                <w:rFonts w:ascii="Times New Roman" w:eastAsia="Times New Roman" w:hAnsi="Times New Roman"/>
                <w:snapToGrid w:val="0"/>
              </w:rPr>
              <w:t>7)</w:t>
            </w:r>
          </w:p>
        </w:tc>
      </w:tr>
      <w:tr w:rsidR="002A44ED" w:rsidRPr="00074768" w14:paraId="6822923B" w14:textId="77777777" w:rsidTr="002642B8">
        <w:tc>
          <w:tcPr>
            <w:tcW w:w="3369" w:type="dxa"/>
            <w:tcBorders>
              <w:top w:val="nil"/>
              <w:bottom w:val="nil"/>
            </w:tcBorders>
            <w:shd w:val="clear" w:color="auto" w:fill="auto"/>
          </w:tcPr>
          <w:p w14:paraId="11FE429C" w14:textId="2F193107" w:rsidR="002A44ED" w:rsidRPr="00830259" w:rsidRDefault="00C14E48" w:rsidP="002A44ED">
            <w:pPr>
              <w:tabs>
                <w:tab w:val="left" w:pos="567"/>
              </w:tabs>
              <w:spacing w:after="0" w:line="260" w:lineRule="exact"/>
              <w:rPr>
                <w:rFonts w:ascii="Times New Roman" w:eastAsia="Times New Roman" w:hAnsi="Times New Roman"/>
                <w:bCs/>
                <w:snapToGrid w:val="0"/>
              </w:rPr>
            </w:pPr>
            <w:r w:rsidRPr="00074768">
              <w:rPr>
                <w:rFonts w:ascii="Times New Roman" w:eastAsia="Times New Roman" w:hAnsi="Times New Roman"/>
                <w:bCs/>
                <w:snapToGrid w:val="0"/>
              </w:rPr>
              <w:t>Rizikos santykis (RS)</w:t>
            </w:r>
            <w:r w:rsidRPr="00830259">
              <w:rPr>
                <w:rFonts w:ascii="Times New Roman" w:eastAsia="Times New Roman" w:hAnsi="Times New Roman"/>
                <w:bCs/>
                <w:snapToGrid w:val="0"/>
                <w:vertAlign w:val="superscript"/>
              </w:rPr>
              <w:t>1</w:t>
            </w:r>
            <w:r w:rsidRPr="00830259">
              <w:rPr>
                <w:rFonts w:ascii="Times New Roman" w:eastAsia="Times New Roman" w:hAnsi="Times New Roman"/>
                <w:bCs/>
                <w:snapToGrid w:val="0"/>
              </w:rPr>
              <w:t xml:space="preserve"> (95</w:t>
            </w:r>
            <w:r w:rsidR="004B3430">
              <w:rPr>
                <w:rFonts w:ascii="Times New Roman" w:eastAsia="Times New Roman" w:hAnsi="Times New Roman"/>
                <w:bCs/>
                <w:snapToGrid w:val="0"/>
              </w:rPr>
              <w:t> </w:t>
            </w:r>
            <w:r w:rsidRPr="00830259">
              <w:rPr>
                <w:rFonts w:ascii="Times New Roman" w:eastAsia="Times New Roman" w:hAnsi="Times New Roman"/>
                <w:bCs/>
                <w:snapToGrid w:val="0"/>
              </w:rPr>
              <w:t>% PI)</w:t>
            </w:r>
          </w:p>
        </w:tc>
        <w:tc>
          <w:tcPr>
            <w:tcW w:w="5670" w:type="dxa"/>
            <w:gridSpan w:val="2"/>
            <w:tcBorders>
              <w:top w:val="nil"/>
              <w:bottom w:val="nil"/>
            </w:tcBorders>
            <w:shd w:val="clear" w:color="auto" w:fill="auto"/>
          </w:tcPr>
          <w:p w14:paraId="624E1258" w14:textId="77777777" w:rsidR="002A44ED" w:rsidRPr="00037DA8" w:rsidRDefault="002A44ED" w:rsidP="002642B8">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0</w:t>
            </w:r>
            <w:r w:rsidR="00C14E48" w:rsidRPr="0085406C">
              <w:rPr>
                <w:rFonts w:ascii="Times New Roman" w:eastAsia="Times New Roman" w:hAnsi="Times New Roman"/>
                <w:snapToGrid w:val="0"/>
              </w:rPr>
              <w:t>,</w:t>
            </w:r>
            <w:r w:rsidRPr="004200DB">
              <w:rPr>
                <w:rFonts w:ascii="Times New Roman" w:eastAsia="Times New Roman" w:hAnsi="Times New Roman"/>
                <w:snapToGrid w:val="0"/>
              </w:rPr>
              <w:t>70 (0</w:t>
            </w:r>
            <w:r w:rsidR="00C14E48" w:rsidRPr="004200DB">
              <w:rPr>
                <w:rFonts w:ascii="Times New Roman" w:eastAsia="Times New Roman" w:hAnsi="Times New Roman"/>
                <w:snapToGrid w:val="0"/>
              </w:rPr>
              <w:t>,</w:t>
            </w:r>
            <w:r w:rsidRPr="004200DB">
              <w:rPr>
                <w:rFonts w:ascii="Times New Roman" w:eastAsia="Times New Roman" w:hAnsi="Times New Roman"/>
                <w:snapToGrid w:val="0"/>
              </w:rPr>
              <w:t>59-0</w:t>
            </w:r>
            <w:r w:rsidR="00C14E48" w:rsidRPr="00037DA8">
              <w:rPr>
                <w:rFonts w:ascii="Times New Roman" w:eastAsia="Times New Roman" w:hAnsi="Times New Roman"/>
                <w:snapToGrid w:val="0"/>
              </w:rPr>
              <w:t>,</w:t>
            </w:r>
            <w:r w:rsidRPr="00037DA8">
              <w:rPr>
                <w:rFonts w:ascii="Times New Roman" w:eastAsia="Times New Roman" w:hAnsi="Times New Roman"/>
                <w:snapToGrid w:val="0"/>
              </w:rPr>
              <w:t>83)</w:t>
            </w:r>
          </w:p>
        </w:tc>
      </w:tr>
      <w:tr w:rsidR="002A44ED" w:rsidRPr="00074768" w14:paraId="24AE4263" w14:textId="77777777" w:rsidTr="002642B8">
        <w:tc>
          <w:tcPr>
            <w:tcW w:w="3369" w:type="dxa"/>
            <w:tcBorders>
              <w:top w:val="nil"/>
              <w:bottom w:val="single" w:sz="4" w:space="0" w:color="auto"/>
            </w:tcBorders>
            <w:shd w:val="clear" w:color="auto" w:fill="auto"/>
          </w:tcPr>
          <w:p w14:paraId="1150E097" w14:textId="77777777" w:rsidR="002A44ED" w:rsidRPr="00830259" w:rsidRDefault="00C14E48" w:rsidP="002A44ED">
            <w:pPr>
              <w:tabs>
                <w:tab w:val="left" w:pos="567"/>
              </w:tabs>
              <w:spacing w:after="0" w:line="260" w:lineRule="exact"/>
              <w:rPr>
                <w:rFonts w:ascii="Times New Roman" w:eastAsia="Times New Roman" w:hAnsi="Times New Roman"/>
                <w:bCs/>
                <w:snapToGrid w:val="0"/>
              </w:rPr>
            </w:pPr>
            <w:r w:rsidRPr="00074768">
              <w:rPr>
                <w:rFonts w:ascii="Times New Roman" w:eastAsia="Times New Roman" w:hAnsi="Times New Roman"/>
                <w:bCs/>
                <w:snapToGrid w:val="0"/>
              </w:rPr>
              <w:t>p reikšmė</w:t>
            </w:r>
          </w:p>
        </w:tc>
        <w:tc>
          <w:tcPr>
            <w:tcW w:w="5670" w:type="dxa"/>
            <w:gridSpan w:val="2"/>
            <w:tcBorders>
              <w:top w:val="nil"/>
              <w:bottom w:val="single" w:sz="4" w:space="0" w:color="auto"/>
            </w:tcBorders>
            <w:shd w:val="clear" w:color="auto" w:fill="auto"/>
          </w:tcPr>
          <w:p w14:paraId="66C4BDB2" w14:textId="4E039CE3" w:rsidR="002A44ED" w:rsidRPr="004200DB" w:rsidRDefault="002A44ED" w:rsidP="002642B8">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&lt;</w:t>
            </w:r>
            <w:r w:rsidR="004B3430">
              <w:rPr>
                <w:rFonts w:ascii="Times New Roman" w:eastAsia="Times New Roman" w:hAnsi="Times New Roman"/>
                <w:snapToGrid w:val="0"/>
              </w:rPr>
              <w:t> </w:t>
            </w:r>
            <w:r w:rsidRPr="0085406C">
              <w:rPr>
                <w:rFonts w:ascii="Times New Roman" w:eastAsia="Times New Roman" w:hAnsi="Times New Roman"/>
                <w:snapToGrid w:val="0"/>
              </w:rPr>
              <w:t>0</w:t>
            </w:r>
            <w:r w:rsidR="00C14E48" w:rsidRPr="0085406C">
              <w:rPr>
                <w:rFonts w:ascii="Times New Roman" w:eastAsia="Times New Roman" w:hAnsi="Times New Roman"/>
                <w:snapToGrid w:val="0"/>
              </w:rPr>
              <w:t>,</w:t>
            </w:r>
            <w:r w:rsidRPr="004200DB">
              <w:rPr>
                <w:rFonts w:ascii="Times New Roman" w:eastAsia="Times New Roman" w:hAnsi="Times New Roman"/>
                <w:snapToGrid w:val="0"/>
              </w:rPr>
              <w:t>0001</w:t>
            </w:r>
          </w:p>
        </w:tc>
      </w:tr>
    </w:tbl>
    <w:p w14:paraId="4C3598F2" w14:textId="59A20E26" w:rsidR="005031D7" w:rsidRDefault="00C14E48" w:rsidP="00267DDB">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vertAlign w:val="superscript"/>
        </w:rPr>
        <w:t>1</w:t>
      </w:r>
      <w:r w:rsidRPr="00830259">
        <w:rPr>
          <w:rFonts w:ascii="Times New Roman" w:eastAsia="Times New Roman" w:hAnsi="Times New Roman"/>
          <w:snapToGrid w:val="0"/>
        </w:rPr>
        <w:t xml:space="preserve">RS vertintas naudojant </w:t>
      </w:r>
      <w:proofErr w:type="spellStart"/>
      <w:r w:rsidRPr="00830259">
        <w:rPr>
          <w:rFonts w:ascii="Times New Roman" w:eastAsia="Times New Roman" w:hAnsi="Times New Roman"/>
          <w:i/>
          <w:snapToGrid w:val="0"/>
        </w:rPr>
        <w:t>Cox</w:t>
      </w:r>
      <w:proofErr w:type="spellEnd"/>
      <w:r w:rsidRPr="00830259">
        <w:rPr>
          <w:rFonts w:ascii="Times New Roman" w:eastAsia="Times New Roman" w:hAnsi="Times New Roman"/>
          <w:snapToGrid w:val="0"/>
        </w:rPr>
        <w:t xml:space="preserve"> modelį; rizikos santykis mažiau kaip 1 </w:t>
      </w:r>
      <w:proofErr w:type="spellStart"/>
      <w:r w:rsidRPr="00830259">
        <w:rPr>
          <w:rFonts w:ascii="Times New Roman" w:eastAsia="Times New Roman" w:hAnsi="Times New Roman"/>
          <w:snapToGrid w:val="0"/>
        </w:rPr>
        <w:t>kabazitakselio</w:t>
      </w:r>
      <w:proofErr w:type="spellEnd"/>
      <w:r w:rsidRPr="00830259">
        <w:rPr>
          <w:rFonts w:ascii="Times New Roman" w:eastAsia="Times New Roman" w:hAnsi="Times New Roman"/>
          <w:snapToGrid w:val="0"/>
        </w:rPr>
        <w:t xml:space="preserve"> naudai</w:t>
      </w:r>
    </w:p>
    <w:p w14:paraId="7868E03C" w14:textId="77777777" w:rsidR="00833F66" w:rsidRPr="00830259" w:rsidRDefault="00833F66" w:rsidP="00267DDB">
      <w:pPr>
        <w:tabs>
          <w:tab w:val="left" w:pos="567"/>
        </w:tabs>
        <w:spacing w:after="0" w:line="260" w:lineRule="exact"/>
        <w:rPr>
          <w:rFonts w:ascii="Times New Roman" w:eastAsia="Times New Roman" w:hAnsi="Times New Roman"/>
          <w:snapToGrid w:val="0"/>
        </w:rPr>
      </w:pPr>
    </w:p>
    <w:p w14:paraId="221551EB" w14:textId="7BE9465F" w:rsidR="00833F66" w:rsidRPr="00830259" w:rsidRDefault="00833F66" w:rsidP="00833F66">
      <w:pPr>
        <w:tabs>
          <w:tab w:val="left" w:pos="567"/>
        </w:tabs>
        <w:spacing w:after="0" w:line="260" w:lineRule="exact"/>
        <w:jc w:val="center"/>
        <w:rPr>
          <w:rFonts w:ascii="Times New Roman" w:eastAsia="Times New Roman" w:hAnsi="Times New Roman"/>
          <w:snapToGrid w:val="0"/>
        </w:rPr>
      </w:pPr>
      <w:r w:rsidRPr="00074768">
        <w:rPr>
          <w:rFonts w:ascii="Times New Roman" w:eastAsia="Times New Roman" w:hAnsi="Times New Roman"/>
          <w:snapToGrid w:val="0"/>
        </w:rPr>
        <w:t xml:space="preserve">1 paveikslas. </w:t>
      </w:r>
      <w:proofErr w:type="spellStart"/>
      <w:r w:rsidRPr="00074768">
        <w:rPr>
          <w:rFonts w:ascii="Times New Roman" w:eastAsia="Times New Roman" w:hAnsi="Times New Roman"/>
          <w:snapToGrid w:val="0"/>
        </w:rPr>
        <w:t>Kaplan</w:t>
      </w:r>
      <w:proofErr w:type="spellEnd"/>
      <w:r w:rsidRPr="00074768">
        <w:rPr>
          <w:rFonts w:ascii="Times New Roman" w:eastAsia="Times New Roman" w:hAnsi="Times New Roman"/>
          <w:snapToGrid w:val="0"/>
        </w:rPr>
        <w:t xml:space="preserve"> </w:t>
      </w:r>
      <w:proofErr w:type="spellStart"/>
      <w:r w:rsidRPr="00074768">
        <w:rPr>
          <w:rFonts w:ascii="Times New Roman" w:eastAsia="Times New Roman" w:hAnsi="Times New Roman"/>
          <w:snapToGrid w:val="0"/>
        </w:rPr>
        <w:t>Meier</w:t>
      </w:r>
      <w:proofErr w:type="spellEnd"/>
      <w:r w:rsidRPr="00074768">
        <w:rPr>
          <w:rFonts w:ascii="Times New Roman" w:eastAsia="Times New Roman" w:hAnsi="Times New Roman"/>
          <w:snapToGrid w:val="0"/>
        </w:rPr>
        <w:t xml:space="preserve"> bendrojo išgyvenamumo kreivės (EFC6193)</w:t>
      </w:r>
    </w:p>
    <w:p w14:paraId="26F46C3B" w14:textId="1CA5757F" w:rsidR="00833F66" w:rsidRPr="0085406C" w:rsidRDefault="00833F66" w:rsidP="00833F66">
      <w:pPr>
        <w:tabs>
          <w:tab w:val="left" w:pos="567"/>
        </w:tabs>
        <w:spacing w:after="0" w:line="260" w:lineRule="exact"/>
        <w:jc w:val="center"/>
        <w:rPr>
          <w:rFonts w:ascii="Times New Roman" w:eastAsia="Times New Roman" w:hAnsi="Times New Roman"/>
          <w:snapToGrid w:val="0"/>
        </w:rPr>
      </w:pPr>
    </w:p>
    <w:p w14:paraId="3F39529B" w14:textId="27B3B208" w:rsidR="00D27B20" w:rsidRPr="0085406C" w:rsidRDefault="00D27B20" w:rsidP="00267DDB">
      <w:pPr>
        <w:tabs>
          <w:tab w:val="left" w:pos="567"/>
        </w:tabs>
        <w:spacing w:after="0" w:line="260" w:lineRule="exact"/>
        <w:rPr>
          <w:rFonts w:ascii="Times New Roman" w:eastAsia="Times New Roman" w:hAnsi="Times New Roman"/>
          <w:snapToGrid w:val="0"/>
        </w:rPr>
      </w:pPr>
    </w:p>
    <w:p w14:paraId="0CD887DB" w14:textId="39059E46" w:rsidR="00D27B20" w:rsidRPr="004200DB" w:rsidRDefault="00833F66" w:rsidP="00443470">
      <w:pPr>
        <w:tabs>
          <w:tab w:val="left" w:pos="567"/>
        </w:tabs>
        <w:spacing w:after="0" w:line="260" w:lineRule="exact"/>
        <w:jc w:val="center"/>
        <w:rPr>
          <w:rFonts w:ascii="Times New Roman" w:eastAsia="Times New Roman" w:hAnsi="Times New Roman"/>
          <w:snapToGrid w:val="0"/>
        </w:rPr>
      </w:pPr>
      <w:r w:rsidRPr="00074768">
        <w:rPr>
          <w:rFonts w:ascii="Times New Roman" w:eastAsia="Times New Roman" w:hAnsi="Times New Roman"/>
          <w:noProof/>
          <w:lang w:eastAsia="lt-LT"/>
        </w:rPr>
        <w:lastRenderedPageBreak/>
        <w:drawing>
          <wp:anchor distT="0" distB="0" distL="114300" distR="114300" simplePos="0" relativeHeight="251658240" behindDoc="0" locked="0" layoutInCell="1" allowOverlap="1" wp14:anchorId="5643B84F" wp14:editId="0D91C883">
            <wp:simplePos x="0" y="0"/>
            <wp:positionH relativeFrom="margin">
              <wp:align>left</wp:align>
            </wp:positionH>
            <wp:positionV relativeFrom="margin">
              <wp:posOffset>4074160</wp:posOffset>
            </wp:positionV>
            <wp:extent cx="5551170" cy="3343910"/>
            <wp:effectExtent l="0" t="0" r="0" b="889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bazitakselis.jpg"/>
                    <pic:cNvPicPr/>
                  </pic:nvPicPr>
                  <pic:blipFill>
                    <a:blip r:embed="rId11">
                      <a:extLst>
                        <a:ext uri="{28A0092B-C50C-407E-A947-70E740481C1C}">
                          <a14:useLocalDpi xmlns:a14="http://schemas.microsoft.com/office/drawing/2010/main" val="0"/>
                        </a:ext>
                      </a:extLst>
                    </a:blip>
                    <a:stretch>
                      <a:fillRect/>
                    </a:stretch>
                  </pic:blipFill>
                  <pic:spPr>
                    <a:xfrm>
                      <a:off x="0" y="0"/>
                      <a:ext cx="5551170" cy="3343910"/>
                    </a:xfrm>
                    <a:prstGeom prst="rect">
                      <a:avLst/>
                    </a:prstGeom>
                  </pic:spPr>
                </pic:pic>
              </a:graphicData>
            </a:graphic>
            <wp14:sizeRelH relativeFrom="margin">
              <wp14:pctWidth>0</wp14:pctWidth>
            </wp14:sizeRelH>
            <wp14:sizeRelV relativeFrom="margin">
              <wp14:pctHeight>0</wp14:pctHeight>
            </wp14:sizeRelV>
          </wp:anchor>
        </w:drawing>
      </w:r>
    </w:p>
    <w:p w14:paraId="69E0A2EA" w14:textId="77777777" w:rsidR="00D27B20" w:rsidRPr="004200DB" w:rsidRDefault="00D27B20" w:rsidP="00443470">
      <w:pPr>
        <w:tabs>
          <w:tab w:val="left" w:pos="567"/>
        </w:tabs>
        <w:spacing w:after="0" w:line="260" w:lineRule="exact"/>
        <w:jc w:val="center"/>
        <w:rPr>
          <w:rFonts w:ascii="Times New Roman" w:eastAsia="Times New Roman" w:hAnsi="Times New Roman"/>
          <w:snapToGrid w:val="0"/>
        </w:rPr>
      </w:pPr>
    </w:p>
    <w:p w14:paraId="4E918608" w14:textId="77777777" w:rsidR="00D27B20" w:rsidRPr="00037DA8" w:rsidRDefault="00D27B20" w:rsidP="00443470">
      <w:pPr>
        <w:tabs>
          <w:tab w:val="left" w:pos="567"/>
        </w:tabs>
        <w:spacing w:after="0" w:line="260" w:lineRule="exact"/>
        <w:jc w:val="center"/>
        <w:rPr>
          <w:rFonts w:ascii="Times New Roman" w:eastAsia="Times New Roman" w:hAnsi="Times New Roman"/>
          <w:snapToGrid w:val="0"/>
        </w:rPr>
      </w:pPr>
    </w:p>
    <w:p w14:paraId="3FCFC5C3" w14:textId="77777777" w:rsidR="002A44ED" w:rsidRPr="00074768" w:rsidRDefault="0032166C" w:rsidP="00267DDB">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noProof/>
          <w:lang w:eastAsia="lt-LT"/>
        </w:rPr>
        <w:drawing>
          <wp:inline distT="0" distB="0" distL="0" distR="0" wp14:anchorId="227BA26E" wp14:editId="4276E30E">
            <wp:extent cx="6260465" cy="4316627"/>
            <wp:effectExtent l="0" t="0" r="698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9040" cy="4363910"/>
                    </a:xfrm>
                    <a:prstGeom prst="rect">
                      <a:avLst/>
                    </a:prstGeom>
                    <a:noFill/>
                  </pic:spPr>
                </pic:pic>
              </a:graphicData>
            </a:graphic>
          </wp:inline>
        </w:drawing>
      </w:r>
    </w:p>
    <w:p w14:paraId="20E2900D" w14:textId="77777777" w:rsidR="00D27B20" w:rsidRPr="0085406C" w:rsidRDefault="00D27B20" w:rsidP="00D27B20">
      <w:pPr>
        <w:tabs>
          <w:tab w:val="left" w:pos="567"/>
        </w:tabs>
        <w:spacing w:after="0" w:line="260" w:lineRule="exact"/>
        <w:rPr>
          <w:rFonts w:ascii="Times New Roman" w:eastAsia="Times New Roman" w:hAnsi="Times New Roman"/>
          <w:snapToGrid w:val="0"/>
        </w:rPr>
      </w:pPr>
    </w:p>
    <w:p w14:paraId="2EBCFDC4" w14:textId="54B94BCC" w:rsidR="00D27B20" w:rsidRPr="00830259" w:rsidRDefault="00D27B20" w:rsidP="00D27B20">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IBLP </w:t>
      </w:r>
      <w:proofErr w:type="spellStart"/>
      <w:r w:rsidRPr="004200DB">
        <w:rPr>
          <w:rFonts w:ascii="Times New Roman" w:eastAsia="Times New Roman" w:hAnsi="Times New Roman"/>
          <w:snapToGrid w:val="0"/>
        </w:rPr>
        <w:t>kabazitakselio</w:t>
      </w:r>
      <w:proofErr w:type="spellEnd"/>
      <w:r w:rsidRPr="004200DB">
        <w:rPr>
          <w:rFonts w:ascii="Times New Roman" w:eastAsia="Times New Roman" w:hAnsi="Times New Roman"/>
          <w:snapToGrid w:val="0"/>
        </w:rPr>
        <w:t xml:space="preserve"> vartojusiųjų grupėje buvo geresnis nei </w:t>
      </w:r>
      <w:proofErr w:type="spellStart"/>
      <w:r w:rsidRPr="004200DB">
        <w:rPr>
          <w:rFonts w:ascii="Times New Roman" w:eastAsia="Times New Roman" w:hAnsi="Times New Roman"/>
          <w:snapToGrid w:val="0"/>
        </w:rPr>
        <w:t>mitoksantrono</w:t>
      </w:r>
      <w:proofErr w:type="spellEnd"/>
      <w:r w:rsidRPr="004200DB">
        <w:rPr>
          <w:rFonts w:ascii="Times New Roman" w:eastAsia="Times New Roman" w:hAnsi="Times New Roman"/>
          <w:snapToGrid w:val="0"/>
        </w:rPr>
        <w:t xml:space="preserve"> vartojusiųjų grupėje, atitinkamai 2,8 (2,4-3,0) mėnesio ir 1,4 (1,4-1,7) mėnesio, RS (95</w:t>
      </w:r>
      <w:r w:rsidR="004B3430">
        <w:rPr>
          <w:rFonts w:ascii="Times New Roman" w:eastAsia="Times New Roman" w:hAnsi="Times New Roman"/>
          <w:snapToGrid w:val="0"/>
        </w:rPr>
        <w:t> </w:t>
      </w:r>
      <w:r w:rsidRPr="00830259">
        <w:rPr>
          <w:rFonts w:ascii="Times New Roman" w:eastAsia="Times New Roman" w:hAnsi="Times New Roman"/>
          <w:snapToGrid w:val="0"/>
        </w:rPr>
        <w:t>% PI) 0,74 (0,64-0,86), p</w:t>
      </w:r>
      <w:r w:rsidR="004B3430">
        <w:rPr>
          <w:rFonts w:ascii="Times New Roman" w:eastAsia="Times New Roman" w:hAnsi="Times New Roman"/>
          <w:snapToGrid w:val="0"/>
        </w:rPr>
        <w:t> </w:t>
      </w:r>
      <w:r w:rsidRPr="00830259">
        <w:rPr>
          <w:rFonts w:ascii="Times New Roman" w:eastAsia="Times New Roman" w:hAnsi="Times New Roman"/>
          <w:snapToGrid w:val="0"/>
        </w:rPr>
        <w:t>&lt;</w:t>
      </w:r>
      <w:r w:rsidR="004B3430">
        <w:rPr>
          <w:rFonts w:ascii="Times New Roman" w:eastAsia="Times New Roman" w:hAnsi="Times New Roman"/>
          <w:snapToGrid w:val="0"/>
        </w:rPr>
        <w:t> </w:t>
      </w:r>
      <w:r w:rsidRPr="00830259">
        <w:rPr>
          <w:rFonts w:ascii="Times New Roman" w:eastAsia="Times New Roman" w:hAnsi="Times New Roman"/>
          <w:snapToGrid w:val="0"/>
        </w:rPr>
        <w:t>0,0001.</w:t>
      </w:r>
    </w:p>
    <w:p w14:paraId="23602724" w14:textId="77777777" w:rsidR="00D27B20" w:rsidRPr="0085406C" w:rsidRDefault="00D27B20" w:rsidP="00D27B20">
      <w:pPr>
        <w:tabs>
          <w:tab w:val="left" w:pos="567"/>
        </w:tabs>
        <w:spacing w:after="0" w:line="260" w:lineRule="exact"/>
        <w:rPr>
          <w:rFonts w:ascii="Times New Roman" w:eastAsia="Times New Roman" w:hAnsi="Times New Roman"/>
          <w:snapToGrid w:val="0"/>
        </w:rPr>
      </w:pPr>
    </w:p>
    <w:p w14:paraId="3ACA48E0" w14:textId="277D9D58" w:rsidR="00D27B20" w:rsidRPr="00830259" w:rsidRDefault="00D27B20" w:rsidP="00D27B20">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Naviko reakcijos dažnis buvo reikšmingai didesnis </w:t>
      </w:r>
      <w:proofErr w:type="spellStart"/>
      <w:r w:rsidRPr="004200DB">
        <w:rPr>
          <w:rFonts w:ascii="Times New Roman" w:eastAsia="Times New Roman" w:hAnsi="Times New Roman"/>
          <w:snapToGrid w:val="0"/>
        </w:rPr>
        <w:t>kabazitakseliu</w:t>
      </w:r>
      <w:proofErr w:type="spellEnd"/>
      <w:r w:rsidRPr="004200DB">
        <w:rPr>
          <w:rFonts w:ascii="Times New Roman" w:eastAsia="Times New Roman" w:hAnsi="Times New Roman"/>
          <w:snapToGrid w:val="0"/>
        </w:rPr>
        <w:t xml:space="preserve"> gydytiems pacientams nei </w:t>
      </w:r>
      <w:proofErr w:type="spellStart"/>
      <w:r w:rsidRPr="004200DB">
        <w:rPr>
          <w:rFonts w:ascii="Times New Roman" w:eastAsia="Times New Roman" w:hAnsi="Times New Roman"/>
          <w:snapToGrid w:val="0"/>
        </w:rPr>
        <w:t>mitoksantrono</w:t>
      </w:r>
      <w:proofErr w:type="spellEnd"/>
      <w:r w:rsidRPr="004200DB">
        <w:rPr>
          <w:rFonts w:ascii="Times New Roman" w:eastAsia="Times New Roman" w:hAnsi="Times New Roman"/>
          <w:snapToGrid w:val="0"/>
        </w:rPr>
        <w:t xml:space="preserve"> vartojusiems pacientams: atitinkamai 14,4</w:t>
      </w:r>
      <w:r w:rsidR="004B3430">
        <w:rPr>
          <w:rFonts w:ascii="Times New Roman" w:eastAsia="Times New Roman" w:hAnsi="Times New Roman"/>
          <w:snapToGrid w:val="0"/>
        </w:rPr>
        <w:t> </w:t>
      </w:r>
      <w:r w:rsidRPr="00830259">
        <w:rPr>
          <w:rFonts w:ascii="Times New Roman" w:eastAsia="Times New Roman" w:hAnsi="Times New Roman"/>
          <w:snapToGrid w:val="0"/>
        </w:rPr>
        <w:t>% (95</w:t>
      </w:r>
      <w:r w:rsidR="004B3430">
        <w:rPr>
          <w:rFonts w:ascii="Times New Roman" w:eastAsia="Times New Roman" w:hAnsi="Times New Roman"/>
          <w:snapToGrid w:val="0"/>
        </w:rPr>
        <w:t> </w:t>
      </w:r>
      <w:r w:rsidRPr="00830259">
        <w:rPr>
          <w:rFonts w:ascii="Times New Roman" w:eastAsia="Times New Roman" w:hAnsi="Times New Roman"/>
          <w:snapToGrid w:val="0"/>
        </w:rPr>
        <w:t>% PI: 9,6-19,3) ir 4,4</w:t>
      </w:r>
      <w:r w:rsidR="004B3430">
        <w:rPr>
          <w:rFonts w:ascii="Times New Roman" w:eastAsia="Times New Roman" w:hAnsi="Times New Roman"/>
          <w:snapToGrid w:val="0"/>
        </w:rPr>
        <w:t> </w:t>
      </w:r>
      <w:r w:rsidRPr="00830259">
        <w:rPr>
          <w:rFonts w:ascii="Times New Roman" w:eastAsia="Times New Roman" w:hAnsi="Times New Roman"/>
          <w:snapToGrid w:val="0"/>
        </w:rPr>
        <w:t>% (95</w:t>
      </w:r>
      <w:r w:rsidR="004B3430">
        <w:rPr>
          <w:rFonts w:ascii="Times New Roman" w:eastAsia="Times New Roman" w:hAnsi="Times New Roman"/>
          <w:snapToGrid w:val="0"/>
        </w:rPr>
        <w:t> </w:t>
      </w:r>
      <w:r w:rsidRPr="00830259">
        <w:rPr>
          <w:rFonts w:ascii="Times New Roman" w:eastAsia="Times New Roman" w:hAnsi="Times New Roman"/>
          <w:snapToGrid w:val="0"/>
        </w:rPr>
        <w:t xml:space="preserve">% PI: </w:t>
      </w:r>
      <w:r w:rsidRPr="00830259">
        <w:rPr>
          <w:rFonts w:ascii="Times New Roman" w:eastAsia="Times New Roman" w:hAnsi="Times New Roman"/>
          <w:snapToGrid w:val="0"/>
        </w:rPr>
        <w:br/>
        <w:t>1,6</w:t>
      </w:r>
      <w:r w:rsidR="00412E6C">
        <w:rPr>
          <w:rFonts w:ascii="Times New Roman" w:eastAsia="Times New Roman" w:hAnsi="Times New Roman"/>
          <w:snapToGrid w:val="0"/>
        </w:rPr>
        <w:noBreakHyphen/>
      </w:r>
      <w:r w:rsidRPr="00830259">
        <w:rPr>
          <w:rFonts w:ascii="Times New Roman" w:eastAsia="Times New Roman" w:hAnsi="Times New Roman"/>
          <w:snapToGrid w:val="0"/>
        </w:rPr>
        <w:t>7,2), p=0,0005.</w:t>
      </w:r>
    </w:p>
    <w:p w14:paraId="7D5A8712" w14:textId="4AA21B79" w:rsidR="00D27B20" w:rsidRPr="0085406C" w:rsidRDefault="00D27B20" w:rsidP="00D27B20">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Antr</w:t>
      </w:r>
      <w:r w:rsidR="00427AC5" w:rsidRPr="0085406C">
        <w:rPr>
          <w:rFonts w:ascii="Times New Roman" w:eastAsia="Times New Roman" w:hAnsi="Times New Roman"/>
          <w:snapToGrid w:val="0"/>
        </w:rPr>
        <w:t>aeilių</w:t>
      </w:r>
      <w:r w:rsidRPr="0085406C">
        <w:rPr>
          <w:rFonts w:ascii="Times New Roman" w:eastAsia="Times New Roman" w:hAnsi="Times New Roman"/>
          <w:snapToGrid w:val="0"/>
        </w:rPr>
        <w:t xml:space="preserve"> PSA vertinamųjų baigčių analizė parodė palankesnius rezultatus </w:t>
      </w:r>
      <w:proofErr w:type="spellStart"/>
      <w:r w:rsidR="00427AC5" w:rsidRPr="004200DB">
        <w:rPr>
          <w:rFonts w:ascii="Times New Roman" w:eastAsia="Times New Roman" w:hAnsi="Times New Roman"/>
          <w:snapToGrid w:val="0"/>
        </w:rPr>
        <w:t>kabazitakseliu</w:t>
      </w:r>
      <w:proofErr w:type="spellEnd"/>
      <w:r w:rsidRPr="004200DB">
        <w:rPr>
          <w:rFonts w:ascii="Times New Roman" w:eastAsia="Times New Roman" w:hAnsi="Times New Roman"/>
          <w:snapToGrid w:val="0"/>
        </w:rPr>
        <w:t xml:space="preserve"> gydytų pacientų</w:t>
      </w:r>
      <w:r w:rsidR="00427AC5" w:rsidRPr="004200DB">
        <w:rPr>
          <w:rFonts w:ascii="Times New Roman" w:eastAsia="Times New Roman" w:hAnsi="Times New Roman"/>
          <w:snapToGrid w:val="0"/>
        </w:rPr>
        <w:t xml:space="preserve"> </w:t>
      </w:r>
      <w:r w:rsidRPr="00037DA8">
        <w:rPr>
          <w:rFonts w:ascii="Times New Roman" w:eastAsia="Times New Roman" w:hAnsi="Times New Roman"/>
          <w:snapToGrid w:val="0"/>
        </w:rPr>
        <w:t>grupėje. PSA progresavimo mediana buvo 6,4</w:t>
      </w:r>
      <w:r w:rsidR="00412E6C">
        <w:rPr>
          <w:rFonts w:ascii="Times New Roman" w:eastAsia="Times New Roman" w:hAnsi="Times New Roman"/>
          <w:snapToGrid w:val="0"/>
        </w:rPr>
        <w:t> </w:t>
      </w:r>
      <w:r w:rsidRPr="00037DA8">
        <w:rPr>
          <w:rFonts w:ascii="Times New Roman" w:eastAsia="Times New Roman" w:hAnsi="Times New Roman"/>
          <w:snapToGrid w:val="0"/>
        </w:rPr>
        <w:t>mėnesio (95</w:t>
      </w:r>
      <w:r w:rsidR="00412E6C">
        <w:rPr>
          <w:rFonts w:ascii="Times New Roman" w:eastAsia="Times New Roman" w:hAnsi="Times New Roman"/>
          <w:snapToGrid w:val="0"/>
        </w:rPr>
        <w:t> </w:t>
      </w:r>
      <w:r w:rsidRPr="00830259">
        <w:rPr>
          <w:rFonts w:ascii="Times New Roman" w:eastAsia="Times New Roman" w:hAnsi="Times New Roman"/>
          <w:snapToGrid w:val="0"/>
        </w:rPr>
        <w:t xml:space="preserve">% PI: 5,1-7,3) </w:t>
      </w:r>
      <w:proofErr w:type="spellStart"/>
      <w:r w:rsidR="00427AC5" w:rsidRPr="00830259">
        <w:rPr>
          <w:rFonts w:ascii="Times New Roman" w:eastAsia="Times New Roman" w:hAnsi="Times New Roman"/>
          <w:snapToGrid w:val="0"/>
        </w:rPr>
        <w:t>kabazitakselio</w:t>
      </w:r>
      <w:proofErr w:type="spellEnd"/>
      <w:r w:rsidRPr="00830259">
        <w:rPr>
          <w:rFonts w:ascii="Times New Roman" w:eastAsia="Times New Roman" w:hAnsi="Times New Roman"/>
          <w:snapToGrid w:val="0"/>
        </w:rPr>
        <w:t xml:space="preserve"> vartojusiems</w:t>
      </w:r>
      <w:r w:rsidR="00427AC5" w:rsidRPr="00830259">
        <w:rPr>
          <w:rFonts w:ascii="Times New Roman" w:eastAsia="Times New Roman" w:hAnsi="Times New Roman"/>
          <w:snapToGrid w:val="0"/>
        </w:rPr>
        <w:t xml:space="preserve"> </w:t>
      </w:r>
      <w:r w:rsidRPr="00830259">
        <w:rPr>
          <w:rFonts w:ascii="Times New Roman" w:eastAsia="Times New Roman" w:hAnsi="Times New Roman"/>
          <w:snapToGrid w:val="0"/>
        </w:rPr>
        <w:t>pacientams ir 3,1</w:t>
      </w:r>
      <w:r w:rsidR="00412E6C">
        <w:rPr>
          <w:rFonts w:ascii="Times New Roman" w:eastAsia="Times New Roman" w:hAnsi="Times New Roman"/>
          <w:snapToGrid w:val="0"/>
        </w:rPr>
        <w:t> </w:t>
      </w:r>
      <w:r w:rsidRPr="00830259">
        <w:rPr>
          <w:rFonts w:ascii="Times New Roman" w:eastAsia="Times New Roman" w:hAnsi="Times New Roman"/>
          <w:snapToGrid w:val="0"/>
        </w:rPr>
        <w:t>mėnesio (95</w:t>
      </w:r>
      <w:r w:rsidR="00412E6C">
        <w:rPr>
          <w:rFonts w:ascii="Times New Roman" w:eastAsia="Times New Roman" w:hAnsi="Times New Roman"/>
          <w:snapToGrid w:val="0"/>
        </w:rPr>
        <w:t> </w:t>
      </w:r>
      <w:r w:rsidRPr="00830259">
        <w:rPr>
          <w:rFonts w:ascii="Times New Roman" w:eastAsia="Times New Roman" w:hAnsi="Times New Roman"/>
          <w:snapToGrid w:val="0"/>
        </w:rPr>
        <w:t xml:space="preserve">% PI: 2,2-4,4) </w:t>
      </w:r>
      <w:proofErr w:type="spellStart"/>
      <w:r w:rsidRPr="00830259">
        <w:rPr>
          <w:rFonts w:ascii="Times New Roman" w:eastAsia="Times New Roman" w:hAnsi="Times New Roman"/>
          <w:snapToGrid w:val="0"/>
        </w:rPr>
        <w:t>mitoksantrono</w:t>
      </w:r>
      <w:proofErr w:type="spellEnd"/>
      <w:r w:rsidRPr="00830259">
        <w:rPr>
          <w:rFonts w:ascii="Times New Roman" w:eastAsia="Times New Roman" w:hAnsi="Times New Roman"/>
          <w:snapToGrid w:val="0"/>
        </w:rPr>
        <w:t xml:space="preserve"> vartojusiems pacientams, RS</w:t>
      </w:r>
      <w:r w:rsidR="00427AC5" w:rsidRPr="00830259">
        <w:rPr>
          <w:rFonts w:ascii="Times New Roman" w:eastAsia="Times New Roman" w:hAnsi="Times New Roman"/>
          <w:snapToGrid w:val="0"/>
        </w:rPr>
        <w:t xml:space="preserve"> </w:t>
      </w:r>
      <w:r w:rsidRPr="00830259">
        <w:rPr>
          <w:rFonts w:ascii="Times New Roman" w:eastAsia="Times New Roman" w:hAnsi="Times New Roman"/>
          <w:snapToGrid w:val="0"/>
        </w:rPr>
        <w:t>0,75</w:t>
      </w:r>
      <w:r w:rsidR="00412E6C">
        <w:rPr>
          <w:rFonts w:ascii="Times New Roman" w:eastAsia="Times New Roman" w:hAnsi="Times New Roman"/>
          <w:snapToGrid w:val="0"/>
        </w:rPr>
        <w:t> </w:t>
      </w:r>
      <w:r w:rsidRPr="00830259">
        <w:rPr>
          <w:rFonts w:ascii="Times New Roman" w:eastAsia="Times New Roman" w:hAnsi="Times New Roman"/>
          <w:snapToGrid w:val="0"/>
        </w:rPr>
        <w:t>mėnesio (95</w:t>
      </w:r>
      <w:r w:rsidR="00412E6C">
        <w:rPr>
          <w:rFonts w:ascii="Times New Roman" w:eastAsia="Times New Roman" w:hAnsi="Times New Roman"/>
          <w:snapToGrid w:val="0"/>
        </w:rPr>
        <w:t> </w:t>
      </w:r>
      <w:r w:rsidRPr="00830259">
        <w:rPr>
          <w:rFonts w:ascii="Times New Roman" w:eastAsia="Times New Roman" w:hAnsi="Times New Roman"/>
          <w:snapToGrid w:val="0"/>
        </w:rPr>
        <w:t>% PI 0,63-0,90), p=0,0010. PSA reakcija buvo 39,2</w:t>
      </w:r>
      <w:r w:rsidR="006D2206">
        <w:rPr>
          <w:rFonts w:ascii="Times New Roman" w:eastAsia="Times New Roman" w:hAnsi="Times New Roman"/>
          <w:snapToGrid w:val="0"/>
        </w:rPr>
        <w:t> </w:t>
      </w:r>
      <w:r w:rsidRPr="00830259">
        <w:rPr>
          <w:rFonts w:ascii="Times New Roman" w:eastAsia="Times New Roman" w:hAnsi="Times New Roman"/>
          <w:snapToGrid w:val="0"/>
        </w:rPr>
        <w:t xml:space="preserve">% </w:t>
      </w:r>
      <w:proofErr w:type="spellStart"/>
      <w:r w:rsidR="00427AC5" w:rsidRPr="00830259">
        <w:rPr>
          <w:rFonts w:ascii="Times New Roman" w:eastAsia="Times New Roman" w:hAnsi="Times New Roman"/>
          <w:snapToGrid w:val="0"/>
        </w:rPr>
        <w:t>kabazitakseliu</w:t>
      </w:r>
      <w:proofErr w:type="spellEnd"/>
      <w:r w:rsidRPr="00830259">
        <w:rPr>
          <w:rFonts w:ascii="Times New Roman" w:eastAsia="Times New Roman" w:hAnsi="Times New Roman"/>
          <w:snapToGrid w:val="0"/>
        </w:rPr>
        <w:t xml:space="preserve"> gydytiems</w:t>
      </w:r>
      <w:r w:rsidR="00427AC5" w:rsidRPr="00830259">
        <w:rPr>
          <w:rFonts w:ascii="Times New Roman" w:eastAsia="Times New Roman" w:hAnsi="Times New Roman"/>
          <w:snapToGrid w:val="0"/>
        </w:rPr>
        <w:t xml:space="preserve"> </w:t>
      </w:r>
      <w:r w:rsidRPr="00830259">
        <w:rPr>
          <w:rFonts w:ascii="Times New Roman" w:eastAsia="Times New Roman" w:hAnsi="Times New Roman"/>
          <w:snapToGrid w:val="0"/>
        </w:rPr>
        <w:t>pacientams (95</w:t>
      </w:r>
      <w:r w:rsidR="006D2206">
        <w:rPr>
          <w:rFonts w:ascii="Times New Roman" w:eastAsia="Times New Roman" w:hAnsi="Times New Roman"/>
          <w:snapToGrid w:val="0"/>
        </w:rPr>
        <w:t> </w:t>
      </w:r>
      <w:r w:rsidRPr="00830259">
        <w:rPr>
          <w:rFonts w:ascii="Times New Roman" w:eastAsia="Times New Roman" w:hAnsi="Times New Roman"/>
          <w:snapToGrid w:val="0"/>
        </w:rPr>
        <w:t>% PI: 33,9-44,5) ir 17,8</w:t>
      </w:r>
      <w:r w:rsidR="006D2206">
        <w:rPr>
          <w:rFonts w:ascii="Times New Roman" w:eastAsia="Times New Roman" w:hAnsi="Times New Roman"/>
          <w:snapToGrid w:val="0"/>
        </w:rPr>
        <w:t> </w:t>
      </w:r>
      <w:r w:rsidRPr="00830259">
        <w:rPr>
          <w:rFonts w:ascii="Times New Roman" w:eastAsia="Times New Roman" w:hAnsi="Times New Roman"/>
          <w:snapToGrid w:val="0"/>
        </w:rPr>
        <w:t xml:space="preserve">% </w:t>
      </w:r>
      <w:proofErr w:type="spellStart"/>
      <w:r w:rsidRPr="00830259">
        <w:rPr>
          <w:rFonts w:ascii="Times New Roman" w:eastAsia="Times New Roman" w:hAnsi="Times New Roman"/>
          <w:snapToGrid w:val="0"/>
        </w:rPr>
        <w:t>mitoksantrono</w:t>
      </w:r>
      <w:proofErr w:type="spellEnd"/>
      <w:r w:rsidRPr="00830259">
        <w:rPr>
          <w:rFonts w:ascii="Times New Roman" w:eastAsia="Times New Roman" w:hAnsi="Times New Roman"/>
          <w:snapToGrid w:val="0"/>
        </w:rPr>
        <w:t xml:space="preserve"> vartojusiems pacientams (95</w:t>
      </w:r>
      <w:r w:rsidR="006D2206">
        <w:rPr>
          <w:rFonts w:ascii="Times New Roman" w:eastAsia="Times New Roman" w:hAnsi="Times New Roman"/>
          <w:snapToGrid w:val="0"/>
        </w:rPr>
        <w:t> </w:t>
      </w:r>
      <w:r w:rsidRPr="00830259">
        <w:rPr>
          <w:rFonts w:ascii="Times New Roman" w:eastAsia="Times New Roman" w:hAnsi="Times New Roman"/>
          <w:snapToGrid w:val="0"/>
        </w:rPr>
        <w:t>% PI: 13,7-22,0),</w:t>
      </w:r>
      <w:r w:rsidR="00427AC5" w:rsidRPr="00830259">
        <w:rPr>
          <w:rFonts w:ascii="Times New Roman" w:eastAsia="Times New Roman" w:hAnsi="Times New Roman"/>
          <w:snapToGrid w:val="0"/>
        </w:rPr>
        <w:t xml:space="preserve"> </w:t>
      </w:r>
      <w:r w:rsidRPr="0085406C">
        <w:rPr>
          <w:rFonts w:ascii="Times New Roman" w:eastAsia="Times New Roman" w:hAnsi="Times New Roman"/>
          <w:snapToGrid w:val="0"/>
        </w:rPr>
        <w:t>p=0,0002.</w:t>
      </w:r>
    </w:p>
    <w:p w14:paraId="14FCCB9B" w14:textId="77777777" w:rsidR="00427AC5" w:rsidRPr="004200DB" w:rsidRDefault="00427AC5" w:rsidP="00D27B20">
      <w:pPr>
        <w:tabs>
          <w:tab w:val="left" w:pos="567"/>
        </w:tabs>
        <w:spacing w:after="0" w:line="260" w:lineRule="exact"/>
        <w:rPr>
          <w:rFonts w:ascii="Times New Roman" w:eastAsia="Times New Roman" w:hAnsi="Times New Roman"/>
          <w:snapToGrid w:val="0"/>
        </w:rPr>
      </w:pPr>
    </w:p>
    <w:p w14:paraId="411BBBC5" w14:textId="77777777" w:rsidR="00D27B20" w:rsidRPr="00037DA8" w:rsidRDefault="00D27B20" w:rsidP="00D27B20">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Vertinant skausmo progresavimą ir skausmo reakciją, statistiškai reikšmingo skirtumo tarp gydymo</w:t>
      </w:r>
      <w:r w:rsidR="00427AC5" w:rsidRPr="004200DB">
        <w:rPr>
          <w:rFonts w:ascii="Times New Roman" w:eastAsia="Times New Roman" w:hAnsi="Times New Roman"/>
          <w:snapToGrid w:val="0"/>
        </w:rPr>
        <w:t xml:space="preserve"> </w:t>
      </w:r>
      <w:r w:rsidRPr="00037DA8">
        <w:rPr>
          <w:rFonts w:ascii="Times New Roman" w:eastAsia="Times New Roman" w:hAnsi="Times New Roman"/>
          <w:snapToGrid w:val="0"/>
        </w:rPr>
        <w:t>grupių nebuvo.</w:t>
      </w:r>
    </w:p>
    <w:p w14:paraId="0E0FD1B7" w14:textId="77777777" w:rsidR="00A65A21" w:rsidRDefault="00A65A21" w:rsidP="00D27B20">
      <w:pPr>
        <w:tabs>
          <w:tab w:val="left" w:pos="567"/>
        </w:tabs>
        <w:spacing w:after="0" w:line="260" w:lineRule="exact"/>
        <w:rPr>
          <w:rFonts w:ascii="Times New Roman" w:eastAsia="Times New Roman" w:hAnsi="Times New Roman"/>
          <w:snapToGrid w:val="0"/>
        </w:rPr>
      </w:pPr>
    </w:p>
    <w:p w14:paraId="611955D2" w14:textId="3BCEF813" w:rsidR="00D27B20" w:rsidRPr="00037DA8" w:rsidRDefault="00D27B20" w:rsidP="00D27B2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Ne</w:t>
      </w:r>
      <w:r w:rsidR="00427AC5" w:rsidRPr="00037DA8">
        <w:rPr>
          <w:rFonts w:ascii="Times New Roman" w:eastAsia="Times New Roman" w:hAnsi="Times New Roman"/>
          <w:snapToGrid w:val="0"/>
        </w:rPr>
        <w:t xml:space="preserve"> mažesnio veiksmingumo</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i/>
          <w:iCs/>
          <w:snapToGrid w:val="0"/>
        </w:rPr>
        <w:t>non-inferiority</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daugiacentriame</w:t>
      </w:r>
      <w:proofErr w:type="spellEnd"/>
      <w:r w:rsidRPr="00037DA8">
        <w:rPr>
          <w:rFonts w:ascii="Times New Roman" w:eastAsia="Times New Roman" w:hAnsi="Times New Roman"/>
          <w:snapToGrid w:val="0"/>
        </w:rPr>
        <w:t>, daugianacionaliniame, atsitiktinių imčių, atvirame</w:t>
      </w:r>
      <w:r w:rsidR="00427AC5" w:rsidRPr="00037DA8">
        <w:rPr>
          <w:rFonts w:ascii="Times New Roman" w:eastAsia="Times New Roman" w:hAnsi="Times New Roman"/>
          <w:snapToGrid w:val="0"/>
        </w:rPr>
        <w:t xml:space="preserve"> </w:t>
      </w:r>
      <w:r w:rsidRPr="00037DA8">
        <w:rPr>
          <w:rFonts w:ascii="Times New Roman" w:eastAsia="Times New Roman" w:hAnsi="Times New Roman"/>
          <w:snapToGrid w:val="0"/>
        </w:rPr>
        <w:t>III fazės tyrime (EFC11785 tyrime) 1200 pacientų, sergančių  kastracij</w:t>
      </w:r>
      <w:r w:rsidR="00EB2634">
        <w:rPr>
          <w:rFonts w:ascii="Times New Roman" w:eastAsia="Times New Roman" w:hAnsi="Times New Roman"/>
          <w:snapToGrid w:val="0"/>
        </w:rPr>
        <w:t>ai</w:t>
      </w:r>
      <w:r w:rsidRPr="00037DA8">
        <w:rPr>
          <w:rFonts w:ascii="Times New Roman" w:eastAsia="Times New Roman" w:hAnsi="Times New Roman"/>
          <w:snapToGrid w:val="0"/>
        </w:rPr>
        <w:t xml:space="preserve"> </w:t>
      </w:r>
      <w:r w:rsidR="00EB2634">
        <w:rPr>
          <w:rFonts w:ascii="Times New Roman" w:eastAsia="Times New Roman" w:hAnsi="Times New Roman"/>
          <w:snapToGrid w:val="0"/>
        </w:rPr>
        <w:t xml:space="preserve">atspariu </w:t>
      </w:r>
      <w:proofErr w:type="spellStart"/>
      <w:r w:rsidRPr="00037DA8">
        <w:rPr>
          <w:rFonts w:ascii="Times New Roman" w:eastAsia="Times New Roman" w:hAnsi="Times New Roman"/>
          <w:snapToGrid w:val="0"/>
        </w:rPr>
        <w:t>metastazavusiu</w:t>
      </w:r>
      <w:proofErr w:type="spellEnd"/>
      <w:r w:rsidRPr="00037DA8">
        <w:rPr>
          <w:rFonts w:ascii="Times New Roman" w:eastAsia="Times New Roman" w:hAnsi="Times New Roman"/>
          <w:snapToGrid w:val="0"/>
        </w:rPr>
        <w:t xml:space="preserve"> prostatos vėžiu ir jau gydytų taikant gydymo schemą, kai vienas iš vartojamų vaistinių</w:t>
      </w:r>
      <w:r w:rsidR="00427AC5"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preparatų </w:t>
      </w:r>
      <w:r w:rsidR="00427AC5" w:rsidRPr="00037DA8">
        <w:rPr>
          <w:rFonts w:ascii="Times New Roman" w:eastAsia="Times New Roman" w:hAnsi="Times New Roman"/>
          <w:snapToGrid w:val="0"/>
        </w:rPr>
        <w:t>buvo</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docetakselis</w:t>
      </w:r>
      <w:proofErr w:type="spellEnd"/>
      <w:r w:rsidRPr="00037DA8">
        <w:rPr>
          <w:rFonts w:ascii="Times New Roman" w:eastAsia="Times New Roman" w:hAnsi="Times New Roman"/>
          <w:snapToGrid w:val="0"/>
        </w:rPr>
        <w:t xml:space="preserve">, </w:t>
      </w:r>
      <w:r w:rsidR="00427AC5" w:rsidRPr="00037DA8">
        <w:rPr>
          <w:rFonts w:ascii="Times New Roman" w:eastAsia="Times New Roman" w:hAnsi="Times New Roman"/>
          <w:snapToGrid w:val="0"/>
        </w:rPr>
        <w:t xml:space="preserve">atsitiktinių imčių būdu </w:t>
      </w:r>
      <w:r w:rsidRPr="00037DA8">
        <w:rPr>
          <w:rFonts w:ascii="Times New Roman" w:eastAsia="Times New Roman" w:hAnsi="Times New Roman"/>
          <w:snapToGrid w:val="0"/>
        </w:rPr>
        <w:t xml:space="preserve">suskirstyti į </w:t>
      </w:r>
      <w:r w:rsidR="00427AC5" w:rsidRPr="00037DA8">
        <w:rPr>
          <w:rFonts w:ascii="Times New Roman" w:eastAsia="Times New Roman" w:hAnsi="Times New Roman"/>
          <w:snapToGrid w:val="0"/>
        </w:rPr>
        <w:t>grupes, kurios</w:t>
      </w:r>
      <w:r w:rsidRPr="00037DA8">
        <w:rPr>
          <w:rFonts w:ascii="Times New Roman" w:eastAsia="Times New Roman" w:hAnsi="Times New Roman"/>
          <w:snapToGrid w:val="0"/>
        </w:rPr>
        <w:t xml:space="preserve"> vartojo </w:t>
      </w:r>
      <w:r w:rsidR="00427AC5" w:rsidRPr="00037DA8">
        <w:rPr>
          <w:rFonts w:ascii="Times New Roman" w:eastAsia="Times New Roman" w:hAnsi="Times New Roman"/>
          <w:snapToGrid w:val="0"/>
        </w:rPr>
        <w:t xml:space="preserve">atitinkamai </w:t>
      </w:r>
      <w:r w:rsidRPr="00037DA8">
        <w:rPr>
          <w:rFonts w:ascii="Times New Roman" w:eastAsia="Times New Roman" w:hAnsi="Times New Roman"/>
          <w:snapToGrid w:val="0"/>
        </w:rPr>
        <w:t>25</w:t>
      </w:r>
      <w:r w:rsidR="00427AC5" w:rsidRPr="00037DA8">
        <w:rPr>
          <w:rFonts w:ascii="Times New Roman" w:eastAsia="Times New Roman" w:hAnsi="Times New Roman"/>
          <w:snapToGrid w:val="0"/>
        </w:rPr>
        <w:t>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(n=602) arba</w:t>
      </w:r>
      <w:r w:rsidR="00427AC5" w:rsidRPr="00037DA8">
        <w:rPr>
          <w:rFonts w:ascii="Times New Roman" w:eastAsia="Times New Roman" w:hAnsi="Times New Roman"/>
          <w:snapToGrid w:val="0"/>
        </w:rPr>
        <w:t xml:space="preserve"> </w:t>
      </w:r>
      <w:r w:rsidRPr="00037DA8">
        <w:rPr>
          <w:rFonts w:ascii="Times New Roman" w:eastAsia="Times New Roman" w:hAnsi="Times New Roman"/>
          <w:snapToGrid w:val="0"/>
        </w:rPr>
        <w:t>20</w:t>
      </w:r>
      <w:r w:rsidR="00427AC5" w:rsidRPr="00037DA8">
        <w:rPr>
          <w:rFonts w:ascii="Times New Roman" w:eastAsia="Times New Roman" w:hAnsi="Times New Roman"/>
          <w:snapToGrid w:val="0"/>
        </w:rPr>
        <w:t>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(n=598)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dozę. Pagrindinė veiksmingumo vertinamoji baigtis buvo bendrasis</w:t>
      </w:r>
      <w:r w:rsidR="00427AC5" w:rsidRPr="00037DA8">
        <w:rPr>
          <w:rFonts w:ascii="Times New Roman" w:eastAsia="Times New Roman" w:hAnsi="Times New Roman"/>
          <w:snapToGrid w:val="0"/>
        </w:rPr>
        <w:t xml:space="preserve"> </w:t>
      </w:r>
      <w:r w:rsidRPr="00037DA8">
        <w:rPr>
          <w:rFonts w:ascii="Times New Roman" w:eastAsia="Times New Roman" w:hAnsi="Times New Roman"/>
          <w:snapToGrid w:val="0"/>
        </w:rPr>
        <w:t>išgyvenamumas (BI).</w:t>
      </w:r>
    </w:p>
    <w:p w14:paraId="23FE4C15" w14:textId="05FD1CBF" w:rsidR="00D27B20" w:rsidRPr="004200DB" w:rsidRDefault="00D27B20" w:rsidP="00D27B2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Tyrimo metu buvo pasiektas pagrindinis tikslas, t. y. buvo įrodyt</w:t>
      </w:r>
      <w:r w:rsidR="00427AC5" w:rsidRPr="00037DA8">
        <w:rPr>
          <w:rFonts w:ascii="Times New Roman" w:eastAsia="Times New Roman" w:hAnsi="Times New Roman"/>
          <w:snapToGrid w:val="0"/>
        </w:rPr>
        <w:t>a, kad</w:t>
      </w:r>
      <w:r w:rsidRPr="00037DA8">
        <w:rPr>
          <w:rFonts w:ascii="Times New Roman" w:eastAsia="Times New Roman" w:hAnsi="Times New Roman"/>
          <w:snapToGrid w:val="0"/>
        </w:rPr>
        <w:t xml:space="preserve"> 20</w:t>
      </w:r>
      <w:r w:rsidR="00427AC5" w:rsidRPr="00037DA8">
        <w:rPr>
          <w:rFonts w:ascii="Times New Roman" w:eastAsia="Times New Roman" w:hAnsi="Times New Roman"/>
          <w:snapToGrid w:val="0"/>
        </w:rPr>
        <w:t>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dozės</w:t>
      </w:r>
      <w:r w:rsidR="00427AC5" w:rsidRPr="00037DA8">
        <w:rPr>
          <w:rFonts w:ascii="Times New Roman" w:eastAsia="Times New Roman" w:hAnsi="Times New Roman"/>
          <w:snapToGrid w:val="0"/>
        </w:rPr>
        <w:t xml:space="preserve"> </w:t>
      </w:r>
      <w:r w:rsidRPr="00037DA8">
        <w:rPr>
          <w:rFonts w:ascii="Times New Roman" w:eastAsia="Times New Roman" w:hAnsi="Times New Roman"/>
          <w:snapToGrid w:val="0"/>
        </w:rPr>
        <w:t>poveiki</w:t>
      </w:r>
      <w:r w:rsidR="00427AC5" w:rsidRPr="00037DA8">
        <w:rPr>
          <w:rFonts w:ascii="Times New Roman" w:eastAsia="Times New Roman" w:hAnsi="Times New Roman"/>
          <w:snapToGrid w:val="0"/>
        </w:rPr>
        <w:t>s ne blogesnis, palyginti su</w:t>
      </w:r>
      <w:r w:rsidRPr="00037DA8">
        <w:rPr>
          <w:rFonts w:ascii="Times New Roman" w:eastAsia="Times New Roman" w:hAnsi="Times New Roman"/>
          <w:snapToGrid w:val="0"/>
        </w:rPr>
        <w:t xml:space="preserve"> 25</w:t>
      </w:r>
      <w:r w:rsidR="00427AC5" w:rsidRPr="00037DA8">
        <w:rPr>
          <w:rFonts w:ascii="Times New Roman" w:eastAsia="Times New Roman" w:hAnsi="Times New Roman"/>
          <w:snapToGrid w:val="0"/>
        </w:rPr>
        <w:t>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dozės poveikiu (žr. 4 lentelę). Statistiškai reikšmingai didesnei</w:t>
      </w:r>
      <w:r w:rsidR="00427AC5" w:rsidRPr="00037DA8">
        <w:rPr>
          <w:rFonts w:ascii="Times New Roman" w:eastAsia="Times New Roman" w:hAnsi="Times New Roman"/>
          <w:snapToGrid w:val="0"/>
        </w:rPr>
        <w:t xml:space="preserve"> </w:t>
      </w:r>
      <w:r w:rsidRPr="00037DA8">
        <w:rPr>
          <w:rFonts w:ascii="Times New Roman" w:eastAsia="Times New Roman" w:hAnsi="Times New Roman"/>
          <w:snapToGrid w:val="0"/>
        </w:rPr>
        <w:t>procentinei daliai pacientų (p&lt;0,001) PSA reakcija pasireiškė 25</w:t>
      </w:r>
      <w:r w:rsidR="00427AC5" w:rsidRPr="00037DA8">
        <w:rPr>
          <w:rFonts w:ascii="Times New Roman" w:eastAsia="Times New Roman" w:hAnsi="Times New Roman"/>
          <w:snapToGrid w:val="0"/>
        </w:rPr>
        <w:t>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grupėje (42,9</w:t>
      </w:r>
      <w:r w:rsidR="006D2206">
        <w:rPr>
          <w:rFonts w:ascii="Times New Roman" w:eastAsia="Times New Roman" w:hAnsi="Times New Roman"/>
          <w:snapToGrid w:val="0"/>
        </w:rPr>
        <w:t> </w:t>
      </w:r>
      <w:r w:rsidRPr="00830259">
        <w:rPr>
          <w:rFonts w:ascii="Times New Roman" w:eastAsia="Times New Roman" w:hAnsi="Times New Roman"/>
          <w:snapToGrid w:val="0"/>
        </w:rPr>
        <w:t>%), palyginti su</w:t>
      </w:r>
      <w:r w:rsidR="00427AC5" w:rsidRPr="0085406C">
        <w:rPr>
          <w:rFonts w:ascii="Times New Roman" w:eastAsia="Times New Roman" w:hAnsi="Times New Roman"/>
          <w:snapToGrid w:val="0"/>
        </w:rPr>
        <w:t xml:space="preserve"> </w:t>
      </w:r>
      <w:r w:rsidRPr="0085406C">
        <w:rPr>
          <w:rFonts w:ascii="Times New Roman" w:eastAsia="Times New Roman" w:hAnsi="Times New Roman"/>
          <w:snapToGrid w:val="0"/>
        </w:rPr>
        <w:t>20</w:t>
      </w:r>
      <w:r w:rsidR="00427AC5" w:rsidRPr="0085406C">
        <w:rPr>
          <w:rFonts w:ascii="Times New Roman" w:eastAsia="Times New Roman" w:hAnsi="Times New Roman"/>
          <w:snapToGrid w:val="0"/>
        </w:rPr>
        <w:t> </w:t>
      </w:r>
      <w:r w:rsidRPr="004200DB">
        <w:rPr>
          <w:rFonts w:ascii="Times New Roman" w:eastAsia="Times New Roman" w:hAnsi="Times New Roman"/>
          <w:snapToGrid w:val="0"/>
        </w:rPr>
        <w:t>mg/m</w:t>
      </w:r>
      <w:r w:rsidRPr="004200DB">
        <w:rPr>
          <w:rFonts w:ascii="Times New Roman" w:eastAsia="Times New Roman" w:hAnsi="Times New Roman"/>
          <w:snapToGrid w:val="0"/>
          <w:vertAlign w:val="superscript"/>
        </w:rPr>
        <w:t>2</w:t>
      </w:r>
      <w:r w:rsidRPr="004200DB">
        <w:rPr>
          <w:rFonts w:ascii="Times New Roman" w:eastAsia="Times New Roman" w:hAnsi="Times New Roman"/>
          <w:snapToGrid w:val="0"/>
        </w:rPr>
        <w:t xml:space="preserve"> grupe (29,5</w:t>
      </w:r>
      <w:r w:rsidR="006D2206">
        <w:rPr>
          <w:rFonts w:ascii="Times New Roman" w:eastAsia="Times New Roman" w:hAnsi="Times New Roman"/>
          <w:snapToGrid w:val="0"/>
        </w:rPr>
        <w:t> </w:t>
      </w:r>
      <w:r w:rsidRPr="00830259">
        <w:rPr>
          <w:rFonts w:ascii="Times New Roman" w:eastAsia="Times New Roman" w:hAnsi="Times New Roman"/>
          <w:snapToGrid w:val="0"/>
        </w:rPr>
        <w:t>%). PSA progresavimo rizika buvo statistiškai reikšmingai didesnė 20</w:t>
      </w:r>
      <w:r w:rsidR="00427AC5" w:rsidRPr="0085406C">
        <w:rPr>
          <w:rFonts w:ascii="Times New Roman" w:eastAsia="Times New Roman" w:hAnsi="Times New Roman"/>
          <w:snapToGrid w:val="0"/>
        </w:rPr>
        <w:t> </w:t>
      </w:r>
      <w:r w:rsidRPr="0085406C">
        <w:rPr>
          <w:rFonts w:ascii="Times New Roman" w:eastAsia="Times New Roman" w:hAnsi="Times New Roman"/>
          <w:snapToGrid w:val="0"/>
        </w:rPr>
        <w:t>mg/m</w:t>
      </w:r>
      <w:r w:rsidRPr="0085406C">
        <w:rPr>
          <w:rFonts w:ascii="Times New Roman" w:eastAsia="Times New Roman" w:hAnsi="Times New Roman"/>
          <w:snapToGrid w:val="0"/>
          <w:vertAlign w:val="superscript"/>
        </w:rPr>
        <w:t>2</w:t>
      </w:r>
      <w:r w:rsidR="00427AC5" w:rsidRPr="004200DB">
        <w:rPr>
          <w:rFonts w:ascii="Times New Roman" w:eastAsia="Times New Roman" w:hAnsi="Times New Roman"/>
          <w:snapToGrid w:val="0"/>
          <w:vertAlign w:val="superscript"/>
        </w:rPr>
        <w:t xml:space="preserve"> </w:t>
      </w:r>
      <w:r w:rsidRPr="004200DB">
        <w:rPr>
          <w:rFonts w:ascii="Times New Roman" w:eastAsia="Times New Roman" w:hAnsi="Times New Roman"/>
          <w:snapToGrid w:val="0"/>
        </w:rPr>
        <w:t>dozę vartojusiems pacientams, palyginti su 25</w:t>
      </w:r>
      <w:r w:rsidR="00427AC5" w:rsidRPr="004200DB">
        <w:rPr>
          <w:rFonts w:ascii="Times New Roman" w:eastAsia="Times New Roman" w:hAnsi="Times New Roman"/>
          <w:snapToGrid w:val="0"/>
        </w:rPr>
        <w:t>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dozę vartojusiais pacientais (RS 1,195; 95</w:t>
      </w:r>
      <w:r w:rsidR="00D00137">
        <w:rPr>
          <w:rFonts w:ascii="Times New Roman" w:eastAsia="Times New Roman" w:hAnsi="Times New Roman"/>
          <w:snapToGrid w:val="0"/>
        </w:rPr>
        <w:t> </w:t>
      </w:r>
      <w:r w:rsidRPr="00830259">
        <w:rPr>
          <w:rFonts w:ascii="Times New Roman" w:eastAsia="Times New Roman" w:hAnsi="Times New Roman"/>
          <w:snapToGrid w:val="0"/>
        </w:rPr>
        <w:t>% PI:</w:t>
      </w:r>
      <w:r w:rsidR="00427AC5" w:rsidRPr="00830259">
        <w:rPr>
          <w:rFonts w:ascii="Times New Roman" w:eastAsia="Times New Roman" w:hAnsi="Times New Roman"/>
          <w:snapToGrid w:val="0"/>
        </w:rPr>
        <w:t xml:space="preserve"> </w:t>
      </w:r>
      <w:r w:rsidRPr="00830259">
        <w:rPr>
          <w:rFonts w:ascii="Times New Roman" w:eastAsia="Times New Roman" w:hAnsi="Times New Roman"/>
          <w:snapToGrid w:val="0"/>
        </w:rPr>
        <w:t>1,025-1,393). Kitos ant</w:t>
      </w:r>
      <w:r w:rsidR="00427AC5" w:rsidRPr="00830259">
        <w:rPr>
          <w:rFonts w:ascii="Times New Roman" w:eastAsia="Times New Roman" w:hAnsi="Times New Roman"/>
          <w:snapToGrid w:val="0"/>
        </w:rPr>
        <w:t>raeilės</w:t>
      </w:r>
      <w:r w:rsidRPr="00BC3E54">
        <w:rPr>
          <w:rFonts w:ascii="Times New Roman" w:eastAsia="Times New Roman" w:hAnsi="Times New Roman"/>
          <w:snapToGrid w:val="0"/>
        </w:rPr>
        <w:t xml:space="preserve"> vertinamosios baigtys (IBLP, naviko ir skausmo </w:t>
      </w:r>
      <w:r w:rsidRPr="00BC3E54">
        <w:rPr>
          <w:rFonts w:ascii="Times New Roman" w:eastAsia="Times New Roman" w:hAnsi="Times New Roman"/>
          <w:snapToGrid w:val="0"/>
        </w:rPr>
        <w:lastRenderedPageBreak/>
        <w:t>reakcija, naviko ir</w:t>
      </w:r>
      <w:r w:rsidR="00427AC5" w:rsidRPr="0085406C">
        <w:rPr>
          <w:rFonts w:ascii="Times New Roman" w:eastAsia="Times New Roman" w:hAnsi="Times New Roman"/>
          <w:snapToGrid w:val="0"/>
        </w:rPr>
        <w:t xml:space="preserve"> </w:t>
      </w:r>
      <w:r w:rsidRPr="0085406C">
        <w:rPr>
          <w:rFonts w:ascii="Times New Roman" w:eastAsia="Times New Roman" w:hAnsi="Times New Roman"/>
          <w:snapToGrid w:val="0"/>
        </w:rPr>
        <w:t>skausmo progresavimas bei keturios FACT-P subkategorijos) statistiškai reikšmingai nesiskyrė.</w:t>
      </w:r>
    </w:p>
    <w:p w14:paraId="6DB97F98" w14:textId="77777777" w:rsidR="00427AC5" w:rsidRPr="004200DB" w:rsidRDefault="00427AC5" w:rsidP="00D27B20">
      <w:pPr>
        <w:tabs>
          <w:tab w:val="left" w:pos="567"/>
        </w:tabs>
        <w:spacing w:after="0" w:line="260" w:lineRule="exact"/>
        <w:rPr>
          <w:rFonts w:ascii="Times New Roman" w:eastAsia="Times New Roman" w:hAnsi="Times New Roman"/>
          <w:snapToGrid w:val="0"/>
        </w:rPr>
      </w:pPr>
    </w:p>
    <w:p w14:paraId="0060CC61" w14:textId="0ABDE46D" w:rsidR="00D27B20" w:rsidRPr="00037DA8" w:rsidRDefault="00427AC5" w:rsidP="00427AC5">
      <w:pPr>
        <w:tabs>
          <w:tab w:val="left" w:pos="567"/>
        </w:tabs>
        <w:spacing w:after="0" w:line="260" w:lineRule="exact"/>
        <w:ind w:left="567" w:hanging="567"/>
        <w:rPr>
          <w:rFonts w:ascii="Times New Roman" w:eastAsia="Times New Roman" w:hAnsi="Times New Roman"/>
          <w:snapToGrid w:val="0"/>
        </w:rPr>
      </w:pPr>
      <w:r w:rsidRPr="00037DA8">
        <w:rPr>
          <w:rFonts w:ascii="Times New Roman" w:eastAsia="Times New Roman" w:hAnsi="Times New Roman"/>
          <w:snapToGrid w:val="0"/>
        </w:rPr>
        <w:t>4</w:t>
      </w:r>
      <w:r w:rsidR="002C2B24">
        <w:rPr>
          <w:rFonts w:ascii="Times New Roman" w:eastAsia="Times New Roman" w:hAnsi="Times New Roman"/>
          <w:snapToGrid w:val="0"/>
        </w:rPr>
        <w:t> </w:t>
      </w:r>
      <w:r w:rsidR="00D27B20" w:rsidRPr="00037DA8">
        <w:rPr>
          <w:rFonts w:ascii="Times New Roman" w:eastAsia="Times New Roman" w:hAnsi="Times New Roman"/>
          <w:snapToGrid w:val="0"/>
        </w:rPr>
        <w:t>lentelė. Bendrasis išgyvenamumas EFC11785 tyrimo metu 25</w:t>
      </w:r>
      <w:r w:rsidRPr="00037DA8">
        <w:rPr>
          <w:rFonts w:ascii="Times New Roman" w:eastAsia="Times New Roman" w:hAnsi="Times New Roman"/>
          <w:snapToGrid w:val="0"/>
        </w:rPr>
        <w:t> </w:t>
      </w:r>
      <w:r w:rsidR="00D27B20" w:rsidRPr="00037DA8">
        <w:rPr>
          <w:rFonts w:ascii="Times New Roman" w:eastAsia="Times New Roman" w:hAnsi="Times New Roman"/>
          <w:snapToGrid w:val="0"/>
        </w:rPr>
        <w:t>mg/m</w:t>
      </w:r>
      <w:r w:rsidR="00D27B20" w:rsidRPr="00037DA8">
        <w:rPr>
          <w:rFonts w:ascii="Times New Roman" w:eastAsia="Times New Roman" w:hAnsi="Times New Roman"/>
          <w:snapToGrid w:val="0"/>
          <w:vertAlign w:val="superscript"/>
        </w:rPr>
        <w:t>2</w:t>
      </w:r>
      <w:r w:rsidR="00D27B20" w:rsidRPr="00037DA8">
        <w:rPr>
          <w:rFonts w:ascii="Times New Roman" w:eastAsia="Times New Roman" w:hAnsi="Times New Roman"/>
          <w:snapToGrid w:val="0"/>
        </w:rPr>
        <w:t xml:space="preserve"> </w:t>
      </w:r>
      <w:proofErr w:type="spellStart"/>
      <w:r w:rsidR="00D27B20" w:rsidRPr="00037DA8">
        <w:rPr>
          <w:rFonts w:ascii="Times New Roman" w:eastAsia="Times New Roman" w:hAnsi="Times New Roman"/>
          <w:snapToGrid w:val="0"/>
        </w:rPr>
        <w:t>kabazitakselio</w:t>
      </w:r>
      <w:proofErr w:type="spellEnd"/>
      <w:r w:rsidR="00D27B20" w:rsidRPr="00037DA8">
        <w:rPr>
          <w:rFonts w:ascii="Times New Roman" w:eastAsia="Times New Roman" w:hAnsi="Times New Roman"/>
          <w:snapToGrid w:val="0"/>
        </w:rPr>
        <w:t xml:space="preserve"> dozės grupėje,</w:t>
      </w:r>
      <w:r w:rsidRPr="00037DA8">
        <w:rPr>
          <w:rFonts w:ascii="Times New Roman" w:eastAsia="Times New Roman" w:hAnsi="Times New Roman"/>
          <w:snapToGrid w:val="0"/>
        </w:rPr>
        <w:t xml:space="preserve"> </w:t>
      </w:r>
      <w:r w:rsidR="00D27B20" w:rsidRPr="00037DA8">
        <w:rPr>
          <w:rFonts w:ascii="Times New Roman" w:eastAsia="Times New Roman" w:hAnsi="Times New Roman"/>
          <w:snapToGrid w:val="0"/>
        </w:rPr>
        <w:t>palyginti su 20</w:t>
      </w:r>
      <w:r w:rsidRPr="00037DA8">
        <w:rPr>
          <w:rFonts w:ascii="Times New Roman" w:eastAsia="Times New Roman" w:hAnsi="Times New Roman"/>
          <w:snapToGrid w:val="0"/>
        </w:rPr>
        <w:t> </w:t>
      </w:r>
      <w:r w:rsidR="00D27B20" w:rsidRPr="00037DA8">
        <w:rPr>
          <w:rFonts w:ascii="Times New Roman" w:eastAsia="Times New Roman" w:hAnsi="Times New Roman"/>
          <w:snapToGrid w:val="0"/>
        </w:rPr>
        <w:t>mg/m</w:t>
      </w:r>
      <w:r w:rsidR="00D27B20" w:rsidRPr="00037DA8">
        <w:rPr>
          <w:rFonts w:ascii="Times New Roman" w:eastAsia="Times New Roman" w:hAnsi="Times New Roman"/>
          <w:snapToGrid w:val="0"/>
          <w:vertAlign w:val="superscript"/>
        </w:rPr>
        <w:t>2</w:t>
      </w:r>
      <w:r w:rsidR="00D27B20" w:rsidRPr="00037DA8">
        <w:rPr>
          <w:rFonts w:ascii="Times New Roman" w:eastAsia="Times New Roman" w:hAnsi="Times New Roman"/>
          <w:snapToGrid w:val="0"/>
        </w:rPr>
        <w:t xml:space="preserve"> </w:t>
      </w:r>
      <w:proofErr w:type="spellStart"/>
      <w:r w:rsidR="00D27B20" w:rsidRPr="00037DA8">
        <w:rPr>
          <w:rFonts w:ascii="Times New Roman" w:eastAsia="Times New Roman" w:hAnsi="Times New Roman"/>
          <w:snapToGrid w:val="0"/>
        </w:rPr>
        <w:t>kabazitakselio</w:t>
      </w:r>
      <w:proofErr w:type="spellEnd"/>
      <w:r w:rsidR="00D27B20" w:rsidRPr="00037DA8">
        <w:rPr>
          <w:rFonts w:ascii="Times New Roman" w:eastAsia="Times New Roman" w:hAnsi="Times New Roman"/>
          <w:snapToGrid w:val="0"/>
        </w:rPr>
        <w:t xml:space="preserve"> dozės grupe (</w:t>
      </w:r>
      <w:proofErr w:type="spellStart"/>
      <w:r w:rsidR="00D27B20" w:rsidRPr="00037DA8">
        <w:rPr>
          <w:rFonts w:ascii="Times New Roman" w:eastAsia="Times New Roman" w:hAnsi="Times New Roman"/>
          <w:i/>
          <w:iCs/>
          <w:snapToGrid w:val="0"/>
        </w:rPr>
        <w:t>intent</w:t>
      </w:r>
      <w:proofErr w:type="spellEnd"/>
      <w:r w:rsidR="00D27B20" w:rsidRPr="00037DA8">
        <w:rPr>
          <w:rFonts w:ascii="Times New Roman" w:eastAsia="Times New Roman" w:hAnsi="Times New Roman"/>
          <w:i/>
          <w:iCs/>
          <w:snapToGrid w:val="0"/>
        </w:rPr>
        <w:t>-to–</w:t>
      </w:r>
      <w:proofErr w:type="spellStart"/>
      <w:r w:rsidR="00D27B20" w:rsidRPr="00037DA8">
        <w:rPr>
          <w:rFonts w:ascii="Times New Roman" w:eastAsia="Times New Roman" w:hAnsi="Times New Roman"/>
          <w:i/>
          <w:iCs/>
          <w:snapToGrid w:val="0"/>
        </w:rPr>
        <w:t>treat</w:t>
      </w:r>
      <w:proofErr w:type="spellEnd"/>
      <w:r w:rsidR="00D27B20" w:rsidRPr="00037DA8">
        <w:rPr>
          <w:rFonts w:ascii="Times New Roman" w:eastAsia="Times New Roman" w:hAnsi="Times New Roman"/>
          <w:i/>
          <w:iCs/>
          <w:snapToGrid w:val="0"/>
        </w:rPr>
        <w:t xml:space="preserve"> </w:t>
      </w:r>
      <w:r w:rsidR="00D27B20" w:rsidRPr="00037DA8">
        <w:rPr>
          <w:rFonts w:ascii="Times New Roman" w:eastAsia="Times New Roman" w:hAnsi="Times New Roman"/>
          <w:snapToGrid w:val="0"/>
        </w:rPr>
        <w:t>analizė) – pagrindinė veiksmingumo</w:t>
      </w:r>
      <w:r w:rsidRPr="00037DA8">
        <w:rPr>
          <w:rFonts w:ascii="Times New Roman" w:eastAsia="Times New Roman" w:hAnsi="Times New Roman"/>
          <w:snapToGrid w:val="0"/>
        </w:rPr>
        <w:t xml:space="preserve"> </w:t>
      </w:r>
      <w:r w:rsidR="00D27B20" w:rsidRPr="00037DA8">
        <w:rPr>
          <w:rFonts w:ascii="Times New Roman" w:eastAsia="Times New Roman" w:hAnsi="Times New Roman"/>
          <w:snapToGrid w:val="0"/>
        </w:rPr>
        <w:t>vertinamoji baigtis</w:t>
      </w:r>
    </w:p>
    <w:p w14:paraId="1C8D56EB" w14:textId="77777777" w:rsidR="00D27B20" w:rsidRPr="00037DA8" w:rsidRDefault="00D27B20" w:rsidP="00267DDB">
      <w:pPr>
        <w:tabs>
          <w:tab w:val="left" w:pos="567"/>
        </w:tabs>
        <w:spacing w:after="0" w:line="260" w:lineRule="exact"/>
        <w:rPr>
          <w:rFonts w:ascii="Times New Roman" w:eastAsia="Times New Roman" w:hAnsi="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3015"/>
        <w:gridCol w:w="3015"/>
      </w:tblGrid>
      <w:tr w:rsidR="00D14734" w:rsidRPr="00074768" w14:paraId="2AC43589" w14:textId="77777777" w:rsidTr="00A86465">
        <w:tc>
          <w:tcPr>
            <w:tcW w:w="3092" w:type="dxa"/>
            <w:tcBorders>
              <w:top w:val="single" w:sz="4" w:space="0" w:color="auto"/>
              <w:left w:val="nil"/>
              <w:bottom w:val="single" w:sz="4" w:space="0" w:color="auto"/>
              <w:right w:val="nil"/>
            </w:tcBorders>
            <w:shd w:val="clear" w:color="auto" w:fill="auto"/>
          </w:tcPr>
          <w:p w14:paraId="754C3941" w14:textId="77777777" w:rsidR="00D14734" w:rsidRPr="00037DA8" w:rsidRDefault="00D14734" w:rsidP="00D14734">
            <w:pPr>
              <w:tabs>
                <w:tab w:val="left" w:pos="567"/>
              </w:tabs>
              <w:spacing w:after="0" w:line="260" w:lineRule="exact"/>
              <w:rPr>
                <w:rFonts w:ascii="Times New Roman" w:eastAsia="Times New Roman" w:hAnsi="Times New Roman"/>
                <w:snapToGrid w:val="0"/>
              </w:rPr>
            </w:pPr>
          </w:p>
        </w:tc>
        <w:tc>
          <w:tcPr>
            <w:tcW w:w="3092" w:type="dxa"/>
            <w:tcBorders>
              <w:top w:val="single" w:sz="4" w:space="0" w:color="auto"/>
              <w:left w:val="nil"/>
              <w:bottom w:val="single" w:sz="4" w:space="0" w:color="auto"/>
              <w:right w:val="nil"/>
            </w:tcBorders>
            <w:shd w:val="clear" w:color="auto" w:fill="auto"/>
          </w:tcPr>
          <w:p w14:paraId="083D7092" w14:textId="77777777" w:rsidR="00D14734" w:rsidRPr="00037DA8" w:rsidRDefault="00D14734" w:rsidP="00D14734">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CBZ20+PRED</w:t>
            </w:r>
          </w:p>
          <w:p w14:paraId="3814518E" w14:textId="77777777" w:rsidR="00D14734" w:rsidRPr="00037DA8" w:rsidRDefault="00D14734" w:rsidP="00D1473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b/>
                <w:bCs/>
                <w:snapToGrid w:val="0"/>
              </w:rPr>
              <w:t>n=598</w:t>
            </w:r>
          </w:p>
        </w:tc>
        <w:tc>
          <w:tcPr>
            <w:tcW w:w="3092" w:type="dxa"/>
            <w:tcBorders>
              <w:top w:val="single" w:sz="4" w:space="0" w:color="auto"/>
              <w:left w:val="nil"/>
              <w:bottom w:val="single" w:sz="4" w:space="0" w:color="auto"/>
              <w:right w:val="nil"/>
            </w:tcBorders>
            <w:shd w:val="clear" w:color="auto" w:fill="auto"/>
          </w:tcPr>
          <w:p w14:paraId="7E89771E" w14:textId="77777777" w:rsidR="00D14734" w:rsidRPr="00037DA8" w:rsidRDefault="00D14734" w:rsidP="00D14734">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CBZ25+PRED</w:t>
            </w:r>
          </w:p>
          <w:p w14:paraId="7AABC57D" w14:textId="77777777" w:rsidR="00D14734" w:rsidRPr="00037DA8" w:rsidRDefault="00D14734" w:rsidP="00D1473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b/>
                <w:bCs/>
                <w:snapToGrid w:val="0"/>
              </w:rPr>
              <w:t>n=602</w:t>
            </w:r>
          </w:p>
        </w:tc>
      </w:tr>
      <w:tr w:rsidR="00D14734" w:rsidRPr="00074768" w14:paraId="2953386D" w14:textId="77777777" w:rsidTr="00A86465">
        <w:tc>
          <w:tcPr>
            <w:tcW w:w="3092" w:type="dxa"/>
            <w:tcBorders>
              <w:top w:val="single" w:sz="4" w:space="0" w:color="auto"/>
              <w:left w:val="nil"/>
              <w:bottom w:val="nil"/>
              <w:right w:val="nil"/>
            </w:tcBorders>
            <w:shd w:val="clear" w:color="auto" w:fill="auto"/>
          </w:tcPr>
          <w:p w14:paraId="44469C9D" w14:textId="77777777" w:rsidR="00D14734" w:rsidRPr="00830259" w:rsidRDefault="00D14734" w:rsidP="00D1473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b/>
                <w:bCs/>
                <w:snapToGrid w:val="0"/>
              </w:rPr>
              <w:t>Bendrasis išgyvenamumas</w:t>
            </w:r>
          </w:p>
        </w:tc>
        <w:tc>
          <w:tcPr>
            <w:tcW w:w="3092" w:type="dxa"/>
            <w:tcBorders>
              <w:top w:val="single" w:sz="4" w:space="0" w:color="auto"/>
              <w:left w:val="nil"/>
              <w:bottom w:val="nil"/>
              <w:right w:val="nil"/>
            </w:tcBorders>
            <w:shd w:val="clear" w:color="auto" w:fill="auto"/>
          </w:tcPr>
          <w:p w14:paraId="63F316B0" w14:textId="77777777" w:rsidR="00D14734" w:rsidRPr="0085406C" w:rsidRDefault="00D14734" w:rsidP="00D14734">
            <w:pPr>
              <w:tabs>
                <w:tab w:val="left" w:pos="567"/>
              </w:tabs>
              <w:spacing w:after="0" w:line="260" w:lineRule="exact"/>
              <w:rPr>
                <w:rFonts w:ascii="Times New Roman" w:eastAsia="Times New Roman" w:hAnsi="Times New Roman"/>
                <w:snapToGrid w:val="0"/>
              </w:rPr>
            </w:pPr>
          </w:p>
        </w:tc>
        <w:tc>
          <w:tcPr>
            <w:tcW w:w="3092" w:type="dxa"/>
            <w:tcBorders>
              <w:top w:val="single" w:sz="4" w:space="0" w:color="auto"/>
              <w:left w:val="nil"/>
              <w:bottom w:val="nil"/>
              <w:right w:val="nil"/>
            </w:tcBorders>
            <w:shd w:val="clear" w:color="auto" w:fill="auto"/>
          </w:tcPr>
          <w:p w14:paraId="7FBA4E1A" w14:textId="77777777" w:rsidR="00D14734" w:rsidRPr="004200DB" w:rsidRDefault="00D14734" w:rsidP="00D14734">
            <w:pPr>
              <w:tabs>
                <w:tab w:val="left" w:pos="567"/>
              </w:tabs>
              <w:spacing w:after="0" w:line="260" w:lineRule="exact"/>
              <w:rPr>
                <w:rFonts w:ascii="Times New Roman" w:eastAsia="Times New Roman" w:hAnsi="Times New Roman"/>
                <w:snapToGrid w:val="0"/>
              </w:rPr>
            </w:pPr>
          </w:p>
        </w:tc>
      </w:tr>
      <w:tr w:rsidR="00D14734" w:rsidRPr="00074768" w14:paraId="15095E2C" w14:textId="77777777" w:rsidTr="00A86465">
        <w:tc>
          <w:tcPr>
            <w:tcW w:w="3092" w:type="dxa"/>
            <w:tcBorders>
              <w:top w:val="nil"/>
              <w:left w:val="nil"/>
              <w:bottom w:val="nil"/>
              <w:right w:val="nil"/>
            </w:tcBorders>
            <w:shd w:val="clear" w:color="auto" w:fill="auto"/>
          </w:tcPr>
          <w:p w14:paraId="78A88689" w14:textId="77777777" w:rsidR="00D14734" w:rsidRPr="00074768" w:rsidRDefault="00D14734" w:rsidP="00D1473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Mirusių pacientų skaičius, n (%)</w:t>
            </w:r>
          </w:p>
        </w:tc>
        <w:tc>
          <w:tcPr>
            <w:tcW w:w="3092" w:type="dxa"/>
            <w:tcBorders>
              <w:top w:val="nil"/>
              <w:left w:val="nil"/>
              <w:bottom w:val="nil"/>
              <w:right w:val="nil"/>
            </w:tcBorders>
            <w:shd w:val="clear" w:color="auto" w:fill="auto"/>
          </w:tcPr>
          <w:p w14:paraId="743E26E9" w14:textId="5A448B13" w:rsidR="00D14734" w:rsidRPr="0085406C" w:rsidRDefault="00D14734" w:rsidP="00D14734">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497 (83,1</w:t>
            </w:r>
            <w:r w:rsidR="00D00137">
              <w:rPr>
                <w:rFonts w:ascii="Times New Roman" w:eastAsia="Times New Roman" w:hAnsi="Times New Roman"/>
                <w:snapToGrid w:val="0"/>
              </w:rPr>
              <w:t> </w:t>
            </w:r>
            <w:r w:rsidRPr="0085406C">
              <w:rPr>
                <w:rFonts w:ascii="Times New Roman" w:eastAsia="Times New Roman" w:hAnsi="Times New Roman"/>
                <w:snapToGrid w:val="0"/>
              </w:rPr>
              <w:t>%)</w:t>
            </w:r>
          </w:p>
        </w:tc>
        <w:tc>
          <w:tcPr>
            <w:tcW w:w="3092" w:type="dxa"/>
            <w:tcBorders>
              <w:top w:val="nil"/>
              <w:left w:val="nil"/>
              <w:bottom w:val="nil"/>
              <w:right w:val="nil"/>
            </w:tcBorders>
            <w:shd w:val="clear" w:color="auto" w:fill="auto"/>
          </w:tcPr>
          <w:p w14:paraId="0F679D47" w14:textId="129840E1" w:rsidR="00D14734" w:rsidRPr="00830259" w:rsidRDefault="00D14734" w:rsidP="00D14734">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501 (83,2</w:t>
            </w:r>
            <w:r w:rsidR="00D00137">
              <w:rPr>
                <w:rFonts w:ascii="Times New Roman" w:eastAsia="Times New Roman" w:hAnsi="Times New Roman"/>
                <w:snapToGrid w:val="0"/>
              </w:rPr>
              <w:t> </w:t>
            </w:r>
            <w:r w:rsidRPr="00830259">
              <w:rPr>
                <w:rFonts w:ascii="Times New Roman" w:eastAsia="Times New Roman" w:hAnsi="Times New Roman"/>
                <w:snapToGrid w:val="0"/>
              </w:rPr>
              <w:t>%)</w:t>
            </w:r>
          </w:p>
        </w:tc>
      </w:tr>
      <w:tr w:rsidR="00D14734" w:rsidRPr="00074768" w14:paraId="7C401BB2" w14:textId="77777777" w:rsidTr="00A86465">
        <w:tc>
          <w:tcPr>
            <w:tcW w:w="3092" w:type="dxa"/>
            <w:tcBorders>
              <w:top w:val="nil"/>
              <w:left w:val="nil"/>
              <w:bottom w:val="nil"/>
              <w:right w:val="nil"/>
            </w:tcBorders>
            <w:shd w:val="clear" w:color="auto" w:fill="auto"/>
          </w:tcPr>
          <w:p w14:paraId="236E8C5D" w14:textId="75FDBD92" w:rsidR="00D14734" w:rsidRPr="00074768" w:rsidRDefault="00D14734" w:rsidP="00D1473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Išgyvenamumo mediana (95</w:t>
            </w:r>
            <w:r w:rsidR="00D00137">
              <w:rPr>
                <w:rFonts w:ascii="Times New Roman" w:eastAsia="Times New Roman" w:hAnsi="Times New Roman"/>
                <w:snapToGrid w:val="0"/>
              </w:rPr>
              <w:t> </w:t>
            </w:r>
            <w:r w:rsidRPr="00074768">
              <w:rPr>
                <w:rFonts w:ascii="Times New Roman" w:eastAsia="Times New Roman" w:hAnsi="Times New Roman"/>
                <w:snapToGrid w:val="0"/>
              </w:rPr>
              <w:t>% PI) (mėnesiai)</w:t>
            </w:r>
          </w:p>
        </w:tc>
        <w:tc>
          <w:tcPr>
            <w:tcW w:w="3092" w:type="dxa"/>
            <w:tcBorders>
              <w:top w:val="nil"/>
              <w:left w:val="nil"/>
              <w:bottom w:val="nil"/>
              <w:right w:val="nil"/>
            </w:tcBorders>
            <w:shd w:val="clear" w:color="auto" w:fill="auto"/>
          </w:tcPr>
          <w:p w14:paraId="630B7F1C" w14:textId="225E6EF8" w:rsidR="00D14734" w:rsidRPr="0085406C" w:rsidRDefault="00D14734" w:rsidP="00D14734">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13,4 (12,19</w:t>
            </w:r>
            <w:r w:rsidR="00D00137">
              <w:rPr>
                <w:rFonts w:ascii="Times New Roman" w:eastAsia="Times New Roman" w:hAnsi="Times New Roman"/>
                <w:snapToGrid w:val="0"/>
              </w:rPr>
              <w:noBreakHyphen/>
            </w:r>
            <w:r w:rsidRPr="0085406C">
              <w:rPr>
                <w:rFonts w:ascii="Times New Roman" w:eastAsia="Times New Roman" w:hAnsi="Times New Roman"/>
                <w:snapToGrid w:val="0"/>
              </w:rPr>
              <w:t>14,88)</w:t>
            </w:r>
          </w:p>
        </w:tc>
        <w:tc>
          <w:tcPr>
            <w:tcW w:w="3092" w:type="dxa"/>
            <w:tcBorders>
              <w:top w:val="nil"/>
              <w:left w:val="nil"/>
              <w:bottom w:val="nil"/>
              <w:right w:val="nil"/>
            </w:tcBorders>
            <w:shd w:val="clear" w:color="auto" w:fill="auto"/>
          </w:tcPr>
          <w:p w14:paraId="4B183F45" w14:textId="1BD3ED59" w:rsidR="00D14734" w:rsidRPr="004200DB" w:rsidRDefault="00D14734" w:rsidP="00D14734">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14,5 (13,47</w:t>
            </w:r>
            <w:r w:rsidR="00D00137">
              <w:rPr>
                <w:rFonts w:ascii="Times New Roman" w:eastAsia="Times New Roman" w:hAnsi="Times New Roman"/>
                <w:snapToGrid w:val="0"/>
              </w:rPr>
              <w:noBreakHyphen/>
            </w:r>
            <w:r w:rsidRPr="004200DB">
              <w:rPr>
                <w:rFonts w:ascii="Times New Roman" w:eastAsia="Times New Roman" w:hAnsi="Times New Roman"/>
                <w:snapToGrid w:val="0"/>
              </w:rPr>
              <w:t>15,28)</w:t>
            </w:r>
          </w:p>
        </w:tc>
      </w:tr>
      <w:tr w:rsidR="00D14734" w:rsidRPr="00074768" w14:paraId="178B3944" w14:textId="77777777" w:rsidTr="00A86465">
        <w:tc>
          <w:tcPr>
            <w:tcW w:w="3092" w:type="dxa"/>
            <w:tcBorders>
              <w:top w:val="nil"/>
              <w:left w:val="nil"/>
              <w:bottom w:val="nil"/>
              <w:right w:val="nil"/>
            </w:tcBorders>
            <w:shd w:val="clear" w:color="auto" w:fill="auto"/>
          </w:tcPr>
          <w:p w14:paraId="42736F81" w14:textId="77777777" w:rsidR="00D14734" w:rsidRPr="00830259" w:rsidRDefault="00D14734" w:rsidP="00D1473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 xml:space="preserve">Rizikos </w:t>
            </w:r>
            <w:proofErr w:type="spellStart"/>
            <w:r w:rsidRPr="00074768">
              <w:rPr>
                <w:rFonts w:ascii="Times New Roman" w:eastAsia="Times New Roman" w:hAnsi="Times New Roman"/>
                <w:snapToGrid w:val="0"/>
              </w:rPr>
              <w:t>santykis</w:t>
            </w:r>
            <w:r w:rsidRPr="00830259">
              <w:rPr>
                <w:rFonts w:ascii="Times New Roman" w:eastAsia="Times New Roman" w:hAnsi="Times New Roman"/>
                <w:snapToGrid w:val="0"/>
                <w:vertAlign w:val="superscript"/>
              </w:rPr>
              <w:t>a</w:t>
            </w:r>
            <w:proofErr w:type="spellEnd"/>
          </w:p>
        </w:tc>
        <w:tc>
          <w:tcPr>
            <w:tcW w:w="3092" w:type="dxa"/>
            <w:tcBorders>
              <w:top w:val="nil"/>
              <w:left w:val="nil"/>
              <w:bottom w:val="nil"/>
              <w:right w:val="nil"/>
            </w:tcBorders>
            <w:shd w:val="clear" w:color="auto" w:fill="auto"/>
          </w:tcPr>
          <w:p w14:paraId="61897ACF" w14:textId="77777777" w:rsidR="00D14734" w:rsidRPr="0085406C" w:rsidRDefault="00D14734" w:rsidP="00D14734">
            <w:pPr>
              <w:tabs>
                <w:tab w:val="left" w:pos="567"/>
              </w:tabs>
              <w:spacing w:after="0" w:line="260" w:lineRule="exact"/>
              <w:rPr>
                <w:rFonts w:ascii="Times New Roman" w:eastAsia="Times New Roman" w:hAnsi="Times New Roman"/>
                <w:snapToGrid w:val="0"/>
              </w:rPr>
            </w:pPr>
          </w:p>
        </w:tc>
        <w:tc>
          <w:tcPr>
            <w:tcW w:w="3092" w:type="dxa"/>
            <w:tcBorders>
              <w:top w:val="nil"/>
              <w:left w:val="nil"/>
              <w:bottom w:val="nil"/>
              <w:right w:val="nil"/>
            </w:tcBorders>
            <w:shd w:val="clear" w:color="auto" w:fill="auto"/>
          </w:tcPr>
          <w:p w14:paraId="723933F5" w14:textId="77777777" w:rsidR="00D14734" w:rsidRPr="004200DB" w:rsidRDefault="00D14734" w:rsidP="00D14734">
            <w:pPr>
              <w:tabs>
                <w:tab w:val="left" w:pos="567"/>
              </w:tabs>
              <w:spacing w:after="0" w:line="260" w:lineRule="exact"/>
              <w:rPr>
                <w:rFonts w:ascii="Times New Roman" w:eastAsia="Times New Roman" w:hAnsi="Times New Roman"/>
                <w:snapToGrid w:val="0"/>
              </w:rPr>
            </w:pPr>
          </w:p>
        </w:tc>
      </w:tr>
      <w:tr w:rsidR="00D14734" w:rsidRPr="00074768" w14:paraId="05FE34D2" w14:textId="77777777" w:rsidTr="00A86465">
        <w:tc>
          <w:tcPr>
            <w:tcW w:w="3092" w:type="dxa"/>
            <w:tcBorders>
              <w:top w:val="nil"/>
              <w:left w:val="nil"/>
              <w:bottom w:val="nil"/>
              <w:right w:val="nil"/>
            </w:tcBorders>
            <w:shd w:val="clear" w:color="auto" w:fill="auto"/>
          </w:tcPr>
          <w:p w14:paraId="53209189" w14:textId="77777777" w:rsidR="00D14734" w:rsidRPr="00074768" w:rsidRDefault="00D14734" w:rsidP="00D14734">
            <w:pPr>
              <w:tabs>
                <w:tab w:val="left" w:pos="567"/>
              </w:tabs>
              <w:spacing w:after="0" w:line="260" w:lineRule="exact"/>
              <w:ind w:left="567"/>
              <w:rPr>
                <w:rFonts w:ascii="Times New Roman" w:eastAsia="Times New Roman" w:hAnsi="Times New Roman"/>
                <w:snapToGrid w:val="0"/>
              </w:rPr>
            </w:pPr>
            <w:r w:rsidRPr="00074768">
              <w:rPr>
                <w:rFonts w:ascii="Times New Roman" w:eastAsia="Times New Roman" w:hAnsi="Times New Roman"/>
                <w:snapToGrid w:val="0"/>
              </w:rPr>
              <w:t>palyginti su CBZ25+PRED</w:t>
            </w:r>
          </w:p>
        </w:tc>
        <w:tc>
          <w:tcPr>
            <w:tcW w:w="3092" w:type="dxa"/>
            <w:tcBorders>
              <w:top w:val="nil"/>
              <w:left w:val="nil"/>
              <w:bottom w:val="nil"/>
              <w:right w:val="nil"/>
            </w:tcBorders>
            <w:shd w:val="clear" w:color="auto" w:fill="auto"/>
          </w:tcPr>
          <w:p w14:paraId="237C1893" w14:textId="77777777" w:rsidR="00D14734" w:rsidRPr="0085406C" w:rsidRDefault="00D14734" w:rsidP="00D14734">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1,024</w:t>
            </w:r>
          </w:p>
        </w:tc>
        <w:tc>
          <w:tcPr>
            <w:tcW w:w="3092" w:type="dxa"/>
            <w:tcBorders>
              <w:top w:val="nil"/>
              <w:left w:val="nil"/>
              <w:bottom w:val="nil"/>
              <w:right w:val="nil"/>
            </w:tcBorders>
            <w:shd w:val="clear" w:color="auto" w:fill="auto"/>
          </w:tcPr>
          <w:p w14:paraId="6AC79724" w14:textId="77777777" w:rsidR="00D14734" w:rsidRPr="004200DB" w:rsidRDefault="00D14734" w:rsidP="00D14734">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w:t>
            </w:r>
          </w:p>
        </w:tc>
      </w:tr>
      <w:tr w:rsidR="00D14734" w:rsidRPr="00074768" w14:paraId="4E3BAA6D" w14:textId="77777777" w:rsidTr="00A86465">
        <w:tc>
          <w:tcPr>
            <w:tcW w:w="3092" w:type="dxa"/>
            <w:tcBorders>
              <w:top w:val="nil"/>
              <w:left w:val="nil"/>
              <w:bottom w:val="nil"/>
              <w:right w:val="nil"/>
            </w:tcBorders>
            <w:shd w:val="clear" w:color="auto" w:fill="auto"/>
          </w:tcPr>
          <w:p w14:paraId="043D0FC5" w14:textId="2C452D39" w:rsidR="00D14734" w:rsidRPr="00074768" w:rsidRDefault="00D14734" w:rsidP="00D14734">
            <w:pPr>
              <w:tabs>
                <w:tab w:val="left" w:pos="567"/>
              </w:tabs>
              <w:spacing w:after="0" w:line="260" w:lineRule="exact"/>
              <w:ind w:left="567"/>
              <w:rPr>
                <w:rFonts w:ascii="Times New Roman" w:eastAsia="Times New Roman" w:hAnsi="Times New Roman"/>
                <w:snapToGrid w:val="0"/>
              </w:rPr>
            </w:pPr>
            <w:r w:rsidRPr="00074768">
              <w:rPr>
                <w:rFonts w:ascii="Times New Roman" w:eastAsia="Times New Roman" w:hAnsi="Times New Roman"/>
                <w:snapToGrid w:val="0"/>
              </w:rPr>
              <w:t>vienpusė 98,89</w:t>
            </w:r>
            <w:r w:rsidR="00D00137">
              <w:rPr>
                <w:rFonts w:ascii="Times New Roman" w:eastAsia="Times New Roman" w:hAnsi="Times New Roman"/>
                <w:snapToGrid w:val="0"/>
              </w:rPr>
              <w:t> </w:t>
            </w:r>
            <w:r w:rsidRPr="00074768">
              <w:rPr>
                <w:rFonts w:ascii="Times New Roman" w:eastAsia="Times New Roman" w:hAnsi="Times New Roman"/>
                <w:snapToGrid w:val="0"/>
              </w:rPr>
              <w:t>% VPI</w:t>
            </w:r>
          </w:p>
        </w:tc>
        <w:tc>
          <w:tcPr>
            <w:tcW w:w="3092" w:type="dxa"/>
            <w:tcBorders>
              <w:top w:val="nil"/>
              <w:left w:val="nil"/>
              <w:bottom w:val="nil"/>
              <w:right w:val="nil"/>
            </w:tcBorders>
            <w:shd w:val="clear" w:color="auto" w:fill="auto"/>
          </w:tcPr>
          <w:p w14:paraId="3592A3E0" w14:textId="77777777" w:rsidR="00D14734" w:rsidRPr="0085406C" w:rsidRDefault="00D14734" w:rsidP="00D14734">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1,184</w:t>
            </w:r>
          </w:p>
        </w:tc>
        <w:tc>
          <w:tcPr>
            <w:tcW w:w="3092" w:type="dxa"/>
            <w:tcBorders>
              <w:top w:val="nil"/>
              <w:left w:val="nil"/>
              <w:bottom w:val="nil"/>
              <w:right w:val="nil"/>
            </w:tcBorders>
            <w:shd w:val="clear" w:color="auto" w:fill="auto"/>
          </w:tcPr>
          <w:p w14:paraId="55A5A1C3" w14:textId="77777777" w:rsidR="00D14734" w:rsidRPr="004200DB" w:rsidRDefault="00D14734" w:rsidP="00D14734">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w:t>
            </w:r>
          </w:p>
        </w:tc>
      </w:tr>
      <w:tr w:rsidR="00D14734" w:rsidRPr="00074768" w14:paraId="50CFF47C" w14:textId="77777777" w:rsidTr="00A86465">
        <w:tc>
          <w:tcPr>
            <w:tcW w:w="3092" w:type="dxa"/>
            <w:tcBorders>
              <w:top w:val="nil"/>
              <w:left w:val="nil"/>
              <w:bottom w:val="single" w:sz="4" w:space="0" w:color="auto"/>
              <w:right w:val="nil"/>
            </w:tcBorders>
            <w:shd w:val="clear" w:color="auto" w:fill="auto"/>
          </w:tcPr>
          <w:p w14:paraId="620609B6" w14:textId="74E4BEE4" w:rsidR="00D14734" w:rsidRPr="00074768" w:rsidRDefault="00D14734" w:rsidP="00D14734">
            <w:pPr>
              <w:tabs>
                <w:tab w:val="left" w:pos="567"/>
              </w:tabs>
              <w:spacing w:after="0" w:line="260" w:lineRule="exact"/>
              <w:ind w:left="567"/>
              <w:rPr>
                <w:rFonts w:ascii="Times New Roman" w:eastAsia="Times New Roman" w:hAnsi="Times New Roman"/>
                <w:snapToGrid w:val="0"/>
              </w:rPr>
            </w:pPr>
            <w:r w:rsidRPr="00074768">
              <w:rPr>
                <w:rFonts w:ascii="Times New Roman" w:eastAsia="Times New Roman" w:hAnsi="Times New Roman"/>
                <w:snapToGrid w:val="0"/>
              </w:rPr>
              <w:t>vienpusė 95</w:t>
            </w:r>
            <w:r w:rsidR="00D00137">
              <w:rPr>
                <w:rFonts w:ascii="Times New Roman" w:eastAsia="Times New Roman" w:hAnsi="Times New Roman"/>
                <w:snapToGrid w:val="0"/>
              </w:rPr>
              <w:t> </w:t>
            </w:r>
            <w:r w:rsidRPr="00074768">
              <w:rPr>
                <w:rFonts w:ascii="Times New Roman" w:eastAsia="Times New Roman" w:hAnsi="Times New Roman"/>
                <w:snapToGrid w:val="0"/>
              </w:rPr>
              <w:t>% API</w:t>
            </w:r>
          </w:p>
        </w:tc>
        <w:tc>
          <w:tcPr>
            <w:tcW w:w="3092" w:type="dxa"/>
            <w:tcBorders>
              <w:top w:val="nil"/>
              <w:left w:val="nil"/>
              <w:bottom w:val="single" w:sz="4" w:space="0" w:color="auto"/>
              <w:right w:val="nil"/>
            </w:tcBorders>
            <w:shd w:val="clear" w:color="auto" w:fill="auto"/>
          </w:tcPr>
          <w:p w14:paraId="1CAF7D76" w14:textId="77777777" w:rsidR="00D14734" w:rsidRPr="0085406C" w:rsidRDefault="00D14734" w:rsidP="00D14734">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0,922</w:t>
            </w:r>
          </w:p>
        </w:tc>
        <w:tc>
          <w:tcPr>
            <w:tcW w:w="3092" w:type="dxa"/>
            <w:tcBorders>
              <w:top w:val="nil"/>
              <w:left w:val="nil"/>
              <w:bottom w:val="single" w:sz="4" w:space="0" w:color="auto"/>
              <w:right w:val="nil"/>
            </w:tcBorders>
            <w:shd w:val="clear" w:color="auto" w:fill="auto"/>
          </w:tcPr>
          <w:p w14:paraId="136CD264" w14:textId="77777777" w:rsidR="00D14734" w:rsidRPr="004200DB" w:rsidRDefault="00D14734" w:rsidP="00D14734">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w:t>
            </w:r>
          </w:p>
        </w:tc>
      </w:tr>
      <w:tr w:rsidR="00D14734" w:rsidRPr="00074768" w14:paraId="0805CE3B" w14:textId="77777777" w:rsidTr="00A86465">
        <w:tc>
          <w:tcPr>
            <w:tcW w:w="9276" w:type="dxa"/>
            <w:gridSpan w:val="3"/>
            <w:tcBorders>
              <w:top w:val="single" w:sz="4" w:space="0" w:color="auto"/>
              <w:left w:val="nil"/>
              <w:bottom w:val="nil"/>
              <w:right w:val="nil"/>
            </w:tcBorders>
            <w:shd w:val="clear" w:color="auto" w:fill="auto"/>
          </w:tcPr>
          <w:p w14:paraId="54E30EB0" w14:textId="77777777" w:rsidR="00D14734" w:rsidRPr="00037DA8" w:rsidRDefault="00D14734" w:rsidP="00D14734">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CBZ20 = </w:t>
            </w: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xml:space="preserve"> 20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CBZ25 = </w:t>
            </w: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xml:space="preserve"> 25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PRED = prednizonas/prednizolonas, PI = </w:t>
            </w:r>
            <w:proofErr w:type="spellStart"/>
            <w:r w:rsidRPr="00037DA8">
              <w:rPr>
                <w:rFonts w:ascii="Times New Roman" w:eastAsia="Times New Roman" w:hAnsi="Times New Roman"/>
                <w:snapToGrid w:val="0"/>
              </w:rPr>
              <w:t>pasikliautinieji</w:t>
            </w:r>
            <w:proofErr w:type="spellEnd"/>
            <w:r w:rsidRPr="00037DA8">
              <w:rPr>
                <w:rFonts w:ascii="Times New Roman" w:eastAsia="Times New Roman" w:hAnsi="Times New Roman"/>
                <w:snapToGrid w:val="0"/>
              </w:rPr>
              <w:t xml:space="preserve"> intervalai, API = apatinė </w:t>
            </w:r>
            <w:proofErr w:type="spellStart"/>
            <w:r w:rsidRPr="00037DA8">
              <w:rPr>
                <w:rFonts w:ascii="Times New Roman" w:eastAsia="Times New Roman" w:hAnsi="Times New Roman"/>
                <w:snapToGrid w:val="0"/>
              </w:rPr>
              <w:t>pasikliautinųjų</w:t>
            </w:r>
            <w:proofErr w:type="spellEnd"/>
            <w:r w:rsidRPr="00037DA8">
              <w:rPr>
                <w:rFonts w:ascii="Times New Roman" w:eastAsia="Times New Roman" w:hAnsi="Times New Roman"/>
                <w:snapToGrid w:val="0"/>
              </w:rPr>
              <w:t xml:space="preserve"> intervalų riba, VPI = viršutinė </w:t>
            </w:r>
            <w:proofErr w:type="spellStart"/>
            <w:r w:rsidRPr="00037DA8">
              <w:rPr>
                <w:rFonts w:ascii="Times New Roman" w:eastAsia="Times New Roman" w:hAnsi="Times New Roman"/>
                <w:snapToGrid w:val="0"/>
              </w:rPr>
              <w:t>pasikliautinųjų</w:t>
            </w:r>
            <w:proofErr w:type="spellEnd"/>
            <w:r w:rsidRPr="00037DA8">
              <w:rPr>
                <w:rFonts w:ascii="Times New Roman" w:eastAsia="Times New Roman" w:hAnsi="Times New Roman"/>
                <w:snapToGrid w:val="0"/>
              </w:rPr>
              <w:t xml:space="preserve"> intervalų riba</w:t>
            </w:r>
          </w:p>
          <w:p w14:paraId="25B76762" w14:textId="067C3335" w:rsidR="00D14734" w:rsidRPr="00074768" w:rsidRDefault="00D14734" w:rsidP="00D14734">
            <w:pPr>
              <w:tabs>
                <w:tab w:val="left" w:pos="567"/>
              </w:tabs>
              <w:spacing w:after="0" w:line="260" w:lineRule="exact"/>
              <w:ind w:left="142" w:hanging="142"/>
              <w:rPr>
                <w:rFonts w:ascii="Times New Roman" w:eastAsia="Times New Roman" w:hAnsi="Times New Roman"/>
                <w:snapToGrid w:val="0"/>
              </w:rPr>
            </w:pPr>
            <w:r w:rsidRPr="00037DA8">
              <w:rPr>
                <w:rFonts w:ascii="Times New Roman" w:eastAsia="Times New Roman" w:hAnsi="Times New Roman"/>
                <w:i/>
                <w:iCs/>
                <w:snapToGrid w:val="0"/>
                <w:vertAlign w:val="superscript"/>
              </w:rPr>
              <w:t>a</w:t>
            </w:r>
            <w:r w:rsidRPr="00037DA8">
              <w:rPr>
                <w:rFonts w:ascii="Times New Roman" w:eastAsia="Times New Roman" w:hAnsi="Times New Roman"/>
                <w:i/>
                <w:iCs/>
                <w:snapToGrid w:val="0"/>
              </w:rPr>
              <w:t xml:space="preserve"> </w:t>
            </w:r>
            <w:r w:rsidRPr="00037DA8">
              <w:rPr>
                <w:rFonts w:ascii="Times New Roman" w:eastAsia="Times New Roman" w:hAnsi="Times New Roman"/>
                <w:snapToGrid w:val="0"/>
              </w:rPr>
              <w:t xml:space="preserve">Rizikos santykis apskaičiuotas naudojant </w:t>
            </w:r>
            <w:proofErr w:type="spellStart"/>
            <w:r w:rsidRPr="00037DA8">
              <w:rPr>
                <w:rFonts w:ascii="Times New Roman" w:eastAsia="Times New Roman" w:hAnsi="Times New Roman"/>
                <w:i/>
                <w:snapToGrid w:val="0"/>
              </w:rPr>
              <w:t>Cox</w:t>
            </w:r>
            <w:proofErr w:type="spellEnd"/>
            <w:r w:rsidRPr="00037DA8">
              <w:rPr>
                <w:rFonts w:ascii="Times New Roman" w:eastAsia="Times New Roman" w:hAnsi="Times New Roman"/>
                <w:snapToGrid w:val="0"/>
              </w:rPr>
              <w:t xml:space="preserve"> proporcinės rizikos regresijos modelį. Rizikos santykis &lt;</w:t>
            </w:r>
            <w:r w:rsidR="00D00137">
              <w:rPr>
                <w:rFonts w:ascii="Times New Roman" w:eastAsia="Times New Roman" w:hAnsi="Times New Roman"/>
                <w:snapToGrid w:val="0"/>
              </w:rPr>
              <w:t> </w:t>
            </w:r>
            <w:r w:rsidRPr="00037DA8">
              <w:rPr>
                <w:rFonts w:ascii="Times New Roman" w:eastAsia="Times New Roman" w:hAnsi="Times New Roman"/>
                <w:snapToGrid w:val="0"/>
              </w:rPr>
              <w:t>1 rodo mažesnę riziką vartojant 20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dozę, palyginti su 25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doze.</w:t>
            </w:r>
          </w:p>
        </w:tc>
      </w:tr>
    </w:tbl>
    <w:p w14:paraId="61C566AD" w14:textId="77777777" w:rsidR="00D27B20" w:rsidRPr="00074768" w:rsidRDefault="00D27B20" w:rsidP="00267DDB">
      <w:pPr>
        <w:tabs>
          <w:tab w:val="left" w:pos="567"/>
        </w:tabs>
        <w:spacing w:after="0" w:line="260" w:lineRule="exact"/>
        <w:rPr>
          <w:rFonts w:ascii="Times New Roman" w:eastAsia="Times New Roman" w:hAnsi="Times New Roman"/>
          <w:snapToGrid w:val="0"/>
        </w:rPr>
      </w:pPr>
    </w:p>
    <w:p w14:paraId="6D00F25B" w14:textId="77777777" w:rsidR="00D27B20" w:rsidRPr="004200DB" w:rsidRDefault="00D14734" w:rsidP="00D14734">
      <w:pPr>
        <w:tabs>
          <w:tab w:val="left" w:pos="567"/>
        </w:tabs>
        <w:spacing w:after="0" w:line="260" w:lineRule="exact"/>
        <w:rPr>
          <w:rFonts w:ascii="Times New Roman" w:eastAsia="Times New Roman" w:hAnsi="Times New Roman"/>
          <w:snapToGrid w:val="0"/>
        </w:rPr>
      </w:pPr>
      <w:r w:rsidRPr="00830259">
        <w:rPr>
          <w:rFonts w:ascii="Times New Roman" w:eastAsia="Times New Roman" w:hAnsi="Times New Roman"/>
          <w:snapToGrid w:val="0"/>
        </w:rPr>
        <w:t>EFC11785 tyrimo metu nustatytos 25 mg/m</w:t>
      </w:r>
      <w:r w:rsidRPr="0085406C">
        <w:rPr>
          <w:rFonts w:ascii="Times New Roman" w:eastAsia="Times New Roman" w:hAnsi="Times New Roman"/>
          <w:snapToGrid w:val="0"/>
          <w:vertAlign w:val="superscript"/>
        </w:rPr>
        <w:t>2</w:t>
      </w:r>
      <w:r w:rsidRPr="0085406C">
        <w:rPr>
          <w:rFonts w:ascii="Times New Roman" w:eastAsia="Times New Roman" w:hAnsi="Times New Roman"/>
          <w:snapToGrid w:val="0"/>
        </w:rPr>
        <w:t xml:space="preserve"> </w:t>
      </w:r>
      <w:proofErr w:type="spellStart"/>
      <w:r w:rsidRPr="0085406C">
        <w:rPr>
          <w:rFonts w:ascii="Times New Roman" w:eastAsia="Times New Roman" w:hAnsi="Times New Roman"/>
          <w:snapToGrid w:val="0"/>
        </w:rPr>
        <w:t>kabazitakselio</w:t>
      </w:r>
      <w:proofErr w:type="spellEnd"/>
      <w:r w:rsidRPr="0085406C">
        <w:rPr>
          <w:rFonts w:ascii="Times New Roman" w:eastAsia="Times New Roman" w:hAnsi="Times New Roman"/>
          <w:snapToGrid w:val="0"/>
        </w:rPr>
        <w:t xml:space="preserve"> dozės saugumo savybės kokybiniu ir kiekybiniu požiūriu atitiko savybes, nustatytas EFC6193 tyrimo metu. EFC11785 tyrimo metu nustatytos palankesnės 20 mg/m</w:t>
      </w:r>
      <w:r w:rsidRPr="004200DB">
        <w:rPr>
          <w:rFonts w:ascii="Times New Roman" w:eastAsia="Times New Roman" w:hAnsi="Times New Roman"/>
          <w:snapToGrid w:val="0"/>
          <w:vertAlign w:val="superscript"/>
        </w:rPr>
        <w:t>2</w:t>
      </w:r>
      <w:r w:rsidRPr="004200DB">
        <w:rPr>
          <w:rFonts w:ascii="Times New Roman" w:eastAsia="Times New Roman" w:hAnsi="Times New Roman"/>
          <w:snapToGrid w:val="0"/>
        </w:rPr>
        <w:t xml:space="preserve"> </w:t>
      </w:r>
      <w:proofErr w:type="spellStart"/>
      <w:r w:rsidRPr="004200DB">
        <w:rPr>
          <w:rFonts w:ascii="Times New Roman" w:eastAsia="Times New Roman" w:hAnsi="Times New Roman"/>
          <w:snapToGrid w:val="0"/>
        </w:rPr>
        <w:t>kabazitakselio</w:t>
      </w:r>
      <w:proofErr w:type="spellEnd"/>
      <w:r w:rsidRPr="004200DB">
        <w:rPr>
          <w:rFonts w:ascii="Times New Roman" w:eastAsia="Times New Roman" w:hAnsi="Times New Roman"/>
          <w:snapToGrid w:val="0"/>
        </w:rPr>
        <w:t xml:space="preserve"> dozės saugumo savybės.</w:t>
      </w:r>
    </w:p>
    <w:p w14:paraId="585E8265" w14:textId="77777777" w:rsidR="00D27B20" w:rsidRPr="00037DA8" w:rsidRDefault="00D27B20" w:rsidP="00267DDB">
      <w:pPr>
        <w:tabs>
          <w:tab w:val="left" w:pos="567"/>
        </w:tabs>
        <w:spacing w:after="0" w:line="260" w:lineRule="exact"/>
        <w:rPr>
          <w:rFonts w:ascii="Times New Roman" w:eastAsia="Times New Roman" w:hAnsi="Times New Roman"/>
          <w:snapToGrid w:val="0"/>
        </w:rPr>
      </w:pPr>
    </w:p>
    <w:p w14:paraId="3CBD47EA" w14:textId="31F0F247" w:rsidR="00D27B20" w:rsidRPr="00037DA8" w:rsidRDefault="00D14734" w:rsidP="00D14734">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5</w:t>
      </w:r>
      <w:r w:rsidR="002C2B24">
        <w:rPr>
          <w:rFonts w:ascii="Times New Roman" w:eastAsia="Times New Roman" w:hAnsi="Times New Roman"/>
          <w:snapToGrid w:val="0"/>
        </w:rPr>
        <w:t> </w:t>
      </w:r>
      <w:r w:rsidRPr="00037DA8">
        <w:rPr>
          <w:rFonts w:ascii="Times New Roman" w:eastAsia="Times New Roman" w:hAnsi="Times New Roman"/>
          <w:snapToGrid w:val="0"/>
        </w:rPr>
        <w:t>lentelė. EFC11785 tyrimo 25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dozės ir 20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dozės</w:t>
      </w:r>
      <w:r w:rsidR="004B7C5B" w:rsidRPr="00037DA8">
        <w:rPr>
          <w:rFonts w:ascii="Times New Roman" w:eastAsia="Times New Roman" w:hAnsi="Times New Roman"/>
          <w:snapToGrid w:val="0"/>
        </w:rPr>
        <w:t xml:space="preserve"> </w:t>
      </w:r>
      <w:r w:rsidRPr="00037DA8">
        <w:rPr>
          <w:rFonts w:ascii="Times New Roman" w:eastAsia="Times New Roman" w:hAnsi="Times New Roman"/>
          <w:snapToGrid w:val="0"/>
        </w:rPr>
        <w:t>grupių saugumo duomenų apibendrinimas</w:t>
      </w:r>
    </w:p>
    <w:p w14:paraId="447CB313" w14:textId="77777777" w:rsidR="00D27B20" w:rsidRPr="00037DA8" w:rsidRDefault="00D27B20" w:rsidP="00267DDB">
      <w:pPr>
        <w:tabs>
          <w:tab w:val="left" w:pos="567"/>
        </w:tabs>
        <w:spacing w:after="0" w:line="260" w:lineRule="exact"/>
        <w:rPr>
          <w:rFonts w:ascii="Times New Roman" w:eastAsia="Times New Roman" w:hAnsi="Times New Roman"/>
          <w:snapToGrid w:val="0"/>
        </w:rPr>
      </w:pPr>
    </w:p>
    <w:tbl>
      <w:tblPr>
        <w:tblW w:w="9401" w:type="dxa"/>
        <w:tblLook w:val="04A0" w:firstRow="1" w:lastRow="0" w:firstColumn="1" w:lastColumn="0" w:noHBand="0" w:noVBand="1"/>
      </w:tblPr>
      <w:tblGrid>
        <w:gridCol w:w="2802"/>
        <w:gridCol w:w="3260"/>
        <w:gridCol w:w="3339"/>
      </w:tblGrid>
      <w:tr w:rsidR="00D14734" w:rsidRPr="00074768" w14:paraId="4B7E54B9" w14:textId="77777777" w:rsidTr="00A86465">
        <w:tc>
          <w:tcPr>
            <w:tcW w:w="2802" w:type="dxa"/>
            <w:tcBorders>
              <w:top w:val="single" w:sz="4" w:space="0" w:color="auto"/>
              <w:bottom w:val="single" w:sz="4" w:space="0" w:color="auto"/>
            </w:tcBorders>
            <w:shd w:val="clear" w:color="auto" w:fill="auto"/>
          </w:tcPr>
          <w:p w14:paraId="7EEEBC49" w14:textId="77777777" w:rsidR="00D14734" w:rsidRPr="00037DA8" w:rsidRDefault="00D14734" w:rsidP="00D14734">
            <w:pPr>
              <w:tabs>
                <w:tab w:val="left" w:pos="567"/>
              </w:tabs>
              <w:spacing w:after="0" w:line="260" w:lineRule="exact"/>
              <w:rPr>
                <w:rFonts w:ascii="Times New Roman" w:eastAsia="Times New Roman" w:hAnsi="Times New Roman"/>
                <w:snapToGrid w:val="0"/>
              </w:rPr>
            </w:pPr>
          </w:p>
        </w:tc>
        <w:tc>
          <w:tcPr>
            <w:tcW w:w="3260" w:type="dxa"/>
            <w:tcBorders>
              <w:top w:val="single" w:sz="4" w:space="0" w:color="auto"/>
              <w:bottom w:val="single" w:sz="4" w:space="0" w:color="auto"/>
            </w:tcBorders>
            <w:shd w:val="clear" w:color="auto" w:fill="auto"/>
          </w:tcPr>
          <w:p w14:paraId="27BA3B4D" w14:textId="77777777" w:rsidR="00D14734" w:rsidRPr="00037DA8" w:rsidRDefault="00D14734" w:rsidP="00D14734">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CBZ20+PRED</w:t>
            </w:r>
          </w:p>
          <w:p w14:paraId="2E81B956" w14:textId="77777777" w:rsidR="00D14734" w:rsidRPr="00037DA8" w:rsidRDefault="00D14734" w:rsidP="00D14734">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n=580</w:t>
            </w:r>
          </w:p>
        </w:tc>
        <w:tc>
          <w:tcPr>
            <w:tcW w:w="3339" w:type="dxa"/>
            <w:tcBorders>
              <w:top w:val="single" w:sz="4" w:space="0" w:color="auto"/>
              <w:bottom w:val="single" w:sz="4" w:space="0" w:color="auto"/>
            </w:tcBorders>
            <w:shd w:val="clear" w:color="auto" w:fill="auto"/>
          </w:tcPr>
          <w:p w14:paraId="41AFF335" w14:textId="77777777" w:rsidR="00D14734" w:rsidRPr="00037DA8" w:rsidRDefault="00D14734" w:rsidP="00D14734">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CBZ25+PRED</w:t>
            </w:r>
          </w:p>
          <w:p w14:paraId="1611FF5D" w14:textId="77777777" w:rsidR="00D14734" w:rsidRPr="00037DA8" w:rsidRDefault="00D14734" w:rsidP="00D14734">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n=595</w:t>
            </w:r>
          </w:p>
        </w:tc>
      </w:tr>
      <w:tr w:rsidR="00D14734" w:rsidRPr="00074768" w14:paraId="567EA5FA" w14:textId="77777777" w:rsidTr="00A86465">
        <w:tc>
          <w:tcPr>
            <w:tcW w:w="2802" w:type="dxa"/>
            <w:tcBorders>
              <w:top w:val="single" w:sz="4" w:space="0" w:color="auto"/>
            </w:tcBorders>
            <w:shd w:val="clear" w:color="auto" w:fill="auto"/>
          </w:tcPr>
          <w:p w14:paraId="4885110D" w14:textId="77777777" w:rsidR="00D14734" w:rsidRPr="00074768" w:rsidRDefault="00D14734" w:rsidP="00D1473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Ciklų skaičiaus mediana/</w:t>
            </w:r>
          </w:p>
          <w:p w14:paraId="33EC0361" w14:textId="77777777" w:rsidR="00D14734" w:rsidRPr="0085406C" w:rsidRDefault="00D14734" w:rsidP="00D14734">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gydymo trukmės mediana</w:t>
            </w:r>
          </w:p>
        </w:tc>
        <w:tc>
          <w:tcPr>
            <w:tcW w:w="3260" w:type="dxa"/>
            <w:tcBorders>
              <w:top w:val="single" w:sz="4" w:space="0" w:color="auto"/>
            </w:tcBorders>
            <w:shd w:val="clear" w:color="auto" w:fill="auto"/>
          </w:tcPr>
          <w:p w14:paraId="004A6A0C" w14:textId="77777777" w:rsidR="00D14734" w:rsidRPr="004200DB" w:rsidRDefault="00D14734" w:rsidP="00D14734">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6/ 18 savaičių</w:t>
            </w:r>
          </w:p>
        </w:tc>
        <w:tc>
          <w:tcPr>
            <w:tcW w:w="3339" w:type="dxa"/>
            <w:tcBorders>
              <w:top w:val="single" w:sz="4" w:space="0" w:color="auto"/>
            </w:tcBorders>
            <w:shd w:val="clear" w:color="auto" w:fill="auto"/>
          </w:tcPr>
          <w:p w14:paraId="41D2FE9D" w14:textId="77777777" w:rsidR="00D14734" w:rsidRPr="004200DB" w:rsidRDefault="00D14734" w:rsidP="00D14734">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7/ 21 savaitė</w:t>
            </w:r>
          </w:p>
        </w:tc>
      </w:tr>
      <w:tr w:rsidR="00D14734" w:rsidRPr="00074768" w14:paraId="7BC5A2F5" w14:textId="77777777" w:rsidTr="00A86465">
        <w:tc>
          <w:tcPr>
            <w:tcW w:w="2802" w:type="dxa"/>
            <w:shd w:val="clear" w:color="auto" w:fill="auto"/>
          </w:tcPr>
          <w:p w14:paraId="53B240FC" w14:textId="77777777" w:rsidR="00794BE1" w:rsidRPr="0085406C" w:rsidRDefault="00D14734" w:rsidP="00794BE1">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Skaičius pacientų, kuriems</w:t>
            </w:r>
            <w:r w:rsidR="00794BE1" w:rsidRPr="00830259">
              <w:rPr>
                <w:rFonts w:ascii="Times New Roman" w:eastAsia="Times New Roman" w:hAnsi="Times New Roman"/>
                <w:snapToGrid w:val="0"/>
              </w:rPr>
              <w:t xml:space="preserve"> </w:t>
            </w:r>
            <w:r w:rsidRPr="0085406C">
              <w:rPr>
                <w:rFonts w:ascii="Times New Roman" w:eastAsia="Times New Roman" w:hAnsi="Times New Roman"/>
                <w:snapToGrid w:val="0"/>
              </w:rPr>
              <w:t>buvo sumažinta dozė</w:t>
            </w:r>
            <w:r w:rsidR="00794BE1" w:rsidRPr="0085406C">
              <w:rPr>
                <w:rFonts w:ascii="Times New Roman" w:eastAsia="Times New Roman" w:hAnsi="Times New Roman"/>
                <w:snapToGrid w:val="0"/>
              </w:rPr>
              <w:t xml:space="preserve"> </w:t>
            </w:r>
          </w:p>
          <w:p w14:paraId="7873E33A" w14:textId="77777777" w:rsidR="00D14734" w:rsidRPr="004200DB" w:rsidRDefault="00D14734" w:rsidP="00794BE1">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n (%)</w:t>
            </w:r>
          </w:p>
        </w:tc>
        <w:tc>
          <w:tcPr>
            <w:tcW w:w="3260" w:type="dxa"/>
            <w:shd w:val="clear" w:color="auto" w:fill="auto"/>
          </w:tcPr>
          <w:p w14:paraId="10E1268D" w14:textId="52185833" w:rsidR="00794BE1" w:rsidRPr="00830259" w:rsidRDefault="00794BE1" w:rsidP="00794BE1">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Nuo</w:t>
            </w:r>
            <w:r w:rsidRPr="00037DA8">
              <w:rPr>
                <w:rFonts w:ascii="Times New Roman" w:hAnsi="Times New Roman"/>
              </w:rPr>
              <w:t xml:space="preserve"> </w:t>
            </w:r>
            <w:r w:rsidRPr="00074768">
              <w:rPr>
                <w:rFonts w:ascii="Times New Roman" w:eastAsia="Times New Roman" w:hAnsi="Times New Roman"/>
                <w:snapToGrid w:val="0"/>
              </w:rPr>
              <w:t>20 iki 15 mg/m</w:t>
            </w:r>
            <w:r w:rsidRPr="00830259">
              <w:rPr>
                <w:rFonts w:ascii="Times New Roman" w:eastAsia="Times New Roman" w:hAnsi="Times New Roman"/>
                <w:snapToGrid w:val="0"/>
                <w:vertAlign w:val="superscript"/>
              </w:rPr>
              <w:t>2</w:t>
            </w:r>
            <w:r w:rsidRPr="00830259">
              <w:rPr>
                <w:rFonts w:ascii="Times New Roman" w:eastAsia="Times New Roman" w:hAnsi="Times New Roman"/>
                <w:snapToGrid w:val="0"/>
              </w:rPr>
              <w:t>: 58 (10,0</w:t>
            </w:r>
            <w:r w:rsidR="00D00137">
              <w:rPr>
                <w:rFonts w:ascii="Times New Roman" w:eastAsia="Times New Roman" w:hAnsi="Times New Roman"/>
                <w:snapToGrid w:val="0"/>
              </w:rPr>
              <w:t> </w:t>
            </w:r>
            <w:r w:rsidRPr="00830259">
              <w:rPr>
                <w:rFonts w:ascii="Times New Roman" w:eastAsia="Times New Roman" w:hAnsi="Times New Roman"/>
                <w:snapToGrid w:val="0"/>
              </w:rPr>
              <w:t>%)</w:t>
            </w:r>
          </w:p>
          <w:p w14:paraId="2890BA14" w14:textId="65C52DD3" w:rsidR="00D14734" w:rsidRPr="00830259" w:rsidRDefault="00794BE1" w:rsidP="00794BE1">
            <w:pPr>
              <w:tabs>
                <w:tab w:val="left" w:pos="567"/>
              </w:tabs>
              <w:spacing w:after="0" w:line="260" w:lineRule="exact"/>
              <w:rPr>
                <w:rFonts w:ascii="Times New Roman" w:eastAsia="Times New Roman" w:hAnsi="Times New Roman"/>
                <w:snapToGrid w:val="0"/>
              </w:rPr>
            </w:pPr>
            <w:r w:rsidRPr="00830259">
              <w:rPr>
                <w:rFonts w:ascii="Times New Roman" w:eastAsia="Times New Roman" w:hAnsi="Times New Roman"/>
                <w:snapToGrid w:val="0"/>
              </w:rPr>
              <w:t>Nuo 15 iki 12</w:t>
            </w:r>
            <w:r w:rsidR="00D00137">
              <w:rPr>
                <w:rFonts w:ascii="Times New Roman" w:eastAsia="Times New Roman" w:hAnsi="Times New Roman"/>
                <w:snapToGrid w:val="0"/>
              </w:rPr>
              <w:t> </w:t>
            </w:r>
            <w:r w:rsidRPr="00074768">
              <w:rPr>
                <w:rFonts w:ascii="Times New Roman" w:eastAsia="Times New Roman" w:hAnsi="Times New Roman"/>
                <w:snapToGrid w:val="0"/>
              </w:rPr>
              <w:t>mg/m</w:t>
            </w:r>
            <w:r w:rsidRPr="00830259">
              <w:rPr>
                <w:rFonts w:ascii="Times New Roman" w:eastAsia="Times New Roman" w:hAnsi="Times New Roman"/>
                <w:snapToGrid w:val="0"/>
                <w:vertAlign w:val="superscript"/>
              </w:rPr>
              <w:t>2</w:t>
            </w:r>
            <w:r w:rsidRPr="00830259">
              <w:rPr>
                <w:rFonts w:ascii="Times New Roman" w:eastAsia="Times New Roman" w:hAnsi="Times New Roman"/>
                <w:snapToGrid w:val="0"/>
              </w:rPr>
              <w:t>: 9 (1,6</w:t>
            </w:r>
            <w:r w:rsidR="00D00137">
              <w:rPr>
                <w:rFonts w:ascii="Times New Roman" w:eastAsia="Times New Roman" w:hAnsi="Times New Roman"/>
                <w:snapToGrid w:val="0"/>
              </w:rPr>
              <w:t> </w:t>
            </w:r>
            <w:r w:rsidRPr="00830259">
              <w:rPr>
                <w:rFonts w:ascii="Times New Roman" w:eastAsia="Times New Roman" w:hAnsi="Times New Roman"/>
                <w:snapToGrid w:val="0"/>
              </w:rPr>
              <w:t>%)</w:t>
            </w:r>
          </w:p>
        </w:tc>
        <w:tc>
          <w:tcPr>
            <w:tcW w:w="3339" w:type="dxa"/>
            <w:shd w:val="clear" w:color="auto" w:fill="auto"/>
          </w:tcPr>
          <w:p w14:paraId="533F5659" w14:textId="587BF2FC" w:rsidR="00794BE1" w:rsidRPr="00830259" w:rsidRDefault="00794BE1" w:rsidP="00794BE1">
            <w:pPr>
              <w:tabs>
                <w:tab w:val="left" w:pos="567"/>
              </w:tabs>
              <w:spacing w:after="0" w:line="260" w:lineRule="exact"/>
              <w:rPr>
                <w:rFonts w:ascii="Times New Roman" w:eastAsia="Times New Roman" w:hAnsi="Times New Roman"/>
                <w:snapToGrid w:val="0"/>
              </w:rPr>
            </w:pPr>
            <w:r w:rsidRPr="00830259">
              <w:rPr>
                <w:rFonts w:ascii="Times New Roman" w:eastAsia="Times New Roman" w:hAnsi="Times New Roman"/>
                <w:snapToGrid w:val="0"/>
              </w:rPr>
              <w:t>Nuo</w:t>
            </w:r>
            <w:r w:rsidRPr="00037DA8">
              <w:rPr>
                <w:rFonts w:ascii="Times New Roman" w:hAnsi="Times New Roman"/>
              </w:rPr>
              <w:t xml:space="preserve"> </w:t>
            </w:r>
            <w:r w:rsidRPr="00074768">
              <w:rPr>
                <w:rFonts w:ascii="Times New Roman" w:eastAsia="Times New Roman" w:hAnsi="Times New Roman"/>
                <w:snapToGrid w:val="0"/>
              </w:rPr>
              <w:t>25 iki 20</w:t>
            </w:r>
            <w:r w:rsidR="002B4F78">
              <w:rPr>
                <w:rFonts w:ascii="Times New Roman" w:eastAsia="Times New Roman" w:hAnsi="Times New Roman"/>
                <w:snapToGrid w:val="0"/>
              </w:rPr>
              <w:t> </w:t>
            </w:r>
            <w:r w:rsidRPr="00074768">
              <w:rPr>
                <w:rFonts w:ascii="Times New Roman" w:eastAsia="Times New Roman" w:hAnsi="Times New Roman"/>
                <w:snapToGrid w:val="0"/>
              </w:rPr>
              <w:t>mg/m</w:t>
            </w:r>
            <w:r w:rsidRPr="00830259">
              <w:rPr>
                <w:rFonts w:ascii="Times New Roman" w:eastAsia="Times New Roman" w:hAnsi="Times New Roman"/>
                <w:snapToGrid w:val="0"/>
                <w:vertAlign w:val="superscript"/>
              </w:rPr>
              <w:t>2</w:t>
            </w:r>
            <w:r w:rsidRPr="00830259">
              <w:rPr>
                <w:rFonts w:ascii="Times New Roman" w:eastAsia="Times New Roman" w:hAnsi="Times New Roman"/>
                <w:snapToGrid w:val="0"/>
              </w:rPr>
              <w:t>: 128 (21,5</w:t>
            </w:r>
            <w:r w:rsidR="002B4F78">
              <w:rPr>
                <w:rFonts w:ascii="Times New Roman" w:eastAsia="Times New Roman" w:hAnsi="Times New Roman"/>
                <w:snapToGrid w:val="0"/>
              </w:rPr>
              <w:t> </w:t>
            </w:r>
            <w:r w:rsidRPr="00830259">
              <w:rPr>
                <w:rFonts w:ascii="Times New Roman" w:eastAsia="Times New Roman" w:hAnsi="Times New Roman"/>
                <w:snapToGrid w:val="0"/>
              </w:rPr>
              <w:t>%)</w:t>
            </w:r>
          </w:p>
          <w:p w14:paraId="3FE0804E" w14:textId="262586A3" w:rsidR="00794BE1" w:rsidRPr="00830259" w:rsidRDefault="00794BE1" w:rsidP="00794BE1">
            <w:pPr>
              <w:tabs>
                <w:tab w:val="left" w:pos="567"/>
              </w:tabs>
              <w:spacing w:after="0" w:line="260" w:lineRule="exact"/>
              <w:rPr>
                <w:rFonts w:ascii="Times New Roman" w:eastAsia="Times New Roman" w:hAnsi="Times New Roman"/>
                <w:snapToGrid w:val="0"/>
              </w:rPr>
            </w:pPr>
            <w:r w:rsidRPr="00830259">
              <w:rPr>
                <w:rFonts w:ascii="Times New Roman" w:eastAsia="Times New Roman" w:hAnsi="Times New Roman"/>
                <w:snapToGrid w:val="0"/>
              </w:rPr>
              <w:t>Nuo 20 iki 15</w:t>
            </w:r>
            <w:r w:rsidR="002B4F78">
              <w:rPr>
                <w:rFonts w:ascii="Times New Roman" w:eastAsia="Times New Roman" w:hAnsi="Times New Roman"/>
                <w:snapToGrid w:val="0"/>
              </w:rPr>
              <w:t> </w:t>
            </w:r>
            <w:r w:rsidRPr="00074768">
              <w:rPr>
                <w:rFonts w:ascii="Times New Roman" w:eastAsia="Times New Roman" w:hAnsi="Times New Roman"/>
                <w:snapToGrid w:val="0"/>
              </w:rPr>
              <w:t>mg/m</w:t>
            </w:r>
            <w:r w:rsidRPr="00830259">
              <w:rPr>
                <w:rFonts w:ascii="Times New Roman" w:eastAsia="Times New Roman" w:hAnsi="Times New Roman"/>
                <w:snapToGrid w:val="0"/>
                <w:vertAlign w:val="superscript"/>
              </w:rPr>
              <w:t>2</w:t>
            </w:r>
            <w:r w:rsidRPr="00830259">
              <w:rPr>
                <w:rFonts w:ascii="Times New Roman" w:eastAsia="Times New Roman" w:hAnsi="Times New Roman"/>
                <w:snapToGrid w:val="0"/>
              </w:rPr>
              <w:t>: 19 (3,2</w:t>
            </w:r>
            <w:r w:rsidR="002B4F78">
              <w:rPr>
                <w:rFonts w:ascii="Times New Roman" w:eastAsia="Times New Roman" w:hAnsi="Times New Roman"/>
                <w:snapToGrid w:val="0"/>
              </w:rPr>
              <w:t> </w:t>
            </w:r>
            <w:r w:rsidRPr="00830259">
              <w:rPr>
                <w:rFonts w:ascii="Times New Roman" w:eastAsia="Times New Roman" w:hAnsi="Times New Roman"/>
                <w:snapToGrid w:val="0"/>
              </w:rPr>
              <w:t>%)</w:t>
            </w:r>
          </w:p>
          <w:p w14:paraId="22A7005D" w14:textId="30A46D04" w:rsidR="00D14734" w:rsidRPr="004200DB" w:rsidRDefault="00794BE1" w:rsidP="00794BE1">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Nuo 15 ik 12 mg/m</w:t>
            </w:r>
            <w:r w:rsidRPr="0085406C">
              <w:rPr>
                <w:rFonts w:ascii="Times New Roman" w:eastAsia="Times New Roman" w:hAnsi="Times New Roman"/>
                <w:snapToGrid w:val="0"/>
                <w:vertAlign w:val="superscript"/>
              </w:rPr>
              <w:t>2</w:t>
            </w:r>
            <w:r w:rsidRPr="0085406C">
              <w:rPr>
                <w:rFonts w:ascii="Times New Roman" w:eastAsia="Times New Roman" w:hAnsi="Times New Roman"/>
                <w:snapToGrid w:val="0"/>
              </w:rPr>
              <w:t>: 1 (0,2</w:t>
            </w:r>
            <w:r w:rsidR="002B4F78">
              <w:rPr>
                <w:rFonts w:ascii="Times New Roman" w:eastAsia="Times New Roman" w:hAnsi="Times New Roman"/>
                <w:snapToGrid w:val="0"/>
              </w:rPr>
              <w:t> </w:t>
            </w:r>
            <w:r w:rsidRPr="0085406C">
              <w:rPr>
                <w:rFonts w:ascii="Times New Roman" w:eastAsia="Times New Roman" w:hAnsi="Times New Roman"/>
                <w:snapToGrid w:val="0"/>
              </w:rPr>
              <w:t>%)</w:t>
            </w:r>
          </w:p>
        </w:tc>
      </w:tr>
      <w:tr w:rsidR="00D14734" w:rsidRPr="00074768" w14:paraId="454803B4" w14:textId="77777777" w:rsidTr="00A86465">
        <w:tc>
          <w:tcPr>
            <w:tcW w:w="2802" w:type="dxa"/>
            <w:shd w:val="clear" w:color="auto" w:fill="auto"/>
          </w:tcPr>
          <w:p w14:paraId="68099387" w14:textId="77777777" w:rsidR="00D14734" w:rsidRPr="0085406C" w:rsidRDefault="00794BE1" w:rsidP="00D1473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b/>
                <w:bCs/>
                <w:snapToGrid w:val="0"/>
              </w:rPr>
              <w:t xml:space="preserve">Visų laipsnių nepageidaujamos </w:t>
            </w:r>
            <w:proofErr w:type="spellStart"/>
            <w:r w:rsidRPr="00074768">
              <w:rPr>
                <w:rFonts w:ascii="Times New Roman" w:eastAsia="Times New Roman" w:hAnsi="Times New Roman"/>
                <w:b/>
                <w:bCs/>
                <w:snapToGrid w:val="0"/>
              </w:rPr>
              <w:t>reakcijos</w:t>
            </w:r>
            <w:r w:rsidRPr="0085406C">
              <w:rPr>
                <w:rFonts w:ascii="Times New Roman" w:eastAsia="Times New Roman" w:hAnsi="Times New Roman"/>
                <w:b/>
                <w:bCs/>
                <w:snapToGrid w:val="0"/>
                <w:vertAlign w:val="superscript"/>
              </w:rPr>
              <w:t>a</w:t>
            </w:r>
            <w:proofErr w:type="spellEnd"/>
            <w:r w:rsidRPr="0085406C">
              <w:rPr>
                <w:rFonts w:ascii="Times New Roman" w:eastAsia="Times New Roman" w:hAnsi="Times New Roman"/>
                <w:b/>
                <w:bCs/>
                <w:snapToGrid w:val="0"/>
              </w:rPr>
              <w:t xml:space="preserve"> (%)</w:t>
            </w:r>
          </w:p>
        </w:tc>
        <w:tc>
          <w:tcPr>
            <w:tcW w:w="3260" w:type="dxa"/>
            <w:shd w:val="clear" w:color="auto" w:fill="auto"/>
          </w:tcPr>
          <w:p w14:paraId="526D8C11" w14:textId="77777777" w:rsidR="00D14734" w:rsidRPr="004200DB" w:rsidRDefault="00D14734" w:rsidP="00D14734">
            <w:pPr>
              <w:tabs>
                <w:tab w:val="left" w:pos="567"/>
              </w:tabs>
              <w:spacing w:after="0" w:line="260" w:lineRule="exact"/>
              <w:rPr>
                <w:rFonts w:ascii="Times New Roman" w:eastAsia="Times New Roman" w:hAnsi="Times New Roman"/>
                <w:snapToGrid w:val="0"/>
              </w:rPr>
            </w:pPr>
          </w:p>
        </w:tc>
        <w:tc>
          <w:tcPr>
            <w:tcW w:w="3339" w:type="dxa"/>
            <w:shd w:val="clear" w:color="auto" w:fill="auto"/>
          </w:tcPr>
          <w:p w14:paraId="4FA342D7" w14:textId="77777777" w:rsidR="00D14734" w:rsidRPr="004200DB" w:rsidRDefault="00D14734" w:rsidP="00D14734">
            <w:pPr>
              <w:tabs>
                <w:tab w:val="left" w:pos="567"/>
              </w:tabs>
              <w:spacing w:after="0" w:line="260" w:lineRule="exact"/>
              <w:rPr>
                <w:rFonts w:ascii="Times New Roman" w:eastAsia="Times New Roman" w:hAnsi="Times New Roman"/>
                <w:snapToGrid w:val="0"/>
              </w:rPr>
            </w:pPr>
          </w:p>
        </w:tc>
      </w:tr>
      <w:tr w:rsidR="00D14734" w:rsidRPr="00074768" w14:paraId="7B1AC28C" w14:textId="77777777" w:rsidTr="00A86465">
        <w:tc>
          <w:tcPr>
            <w:tcW w:w="2802" w:type="dxa"/>
            <w:shd w:val="clear" w:color="auto" w:fill="auto"/>
          </w:tcPr>
          <w:p w14:paraId="76C2E2CF" w14:textId="77777777" w:rsidR="00D14734" w:rsidRPr="00830259" w:rsidRDefault="00794BE1" w:rsidP="00D1473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Viduriavimas</w:t>
            </w:r>
          </w:p>
        </w:tc>
        <w:tc>
          <w:tcPr>
            <w:tcW w:w="3260" w:type="dxa"/>
            <w:shd w:val="clear" w:color="auto" w:fill="auto"/>
          </w:tcPr>
          <w:p w14:paraId="2D8417E9"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30</w:t>
            </w:r>
            <w:r w:rsidR="00794BE1" w:rsidRPr="0085406C">
              <w:rPr>
                <w:rFonts w:ascii="Times New Roman" w:eastAsia="Times New Roman" w:hAnsi="Times New Roman"/>
                <w:snapToGrid w:val="0"/>
              </w:rPr>
              <w:t>,</w:t>
            </w:r>
            <w:r w:rsidRPr="0085406C">
              <w:rPr>
                <w:rFonts w:ascii="Times New Roman" w:eastAsia="Times New Roman" w:hAnsi="Times New Roman"/>
                <w:snapToGrid w:val="0"/>
              </w:rPr>
              <w:t>7</w:t>
            </w:r>
          </w:p>
        </w:tc>
        <w:tc>
          <w:tcPr>
            <w:tcW w:w="3339" w:type="dxa"/>
            <w:shd w:val="clear" w:color="auto" w:fill="auto"/>
          </w:tcPr>
          <w:p w14:paraId="3F961119" w14:textId="77777777" w:rsidR="00D14734" w:rsidRPr="00037DA8" w:rsidRDefault="00D14734" w:rsidP="00794BE1">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39</w:t>
            </w:r>
            <w:r w:rsidR="00794BE1" w:rsidRPr="004200DB">
              <w:rPr>
                <w:rFonts w:ascii="Times New Roman" w:eastAsia="Times New Roman" w:hAnsi="Times New Roman"/>
                <w:snapToGrid w:val="0"/>
              </w:rPr>
              <w:t>,</w:t>
            </w:r>
            <w:r w:rsidRPr="00037DA8">
              <w:rPr>
                <w:rFonts w:ascii="Times New Roman" w:eastAsia="Times New Roman" w:hAnsi="Times New Roman"/>
                <w:snapToGrid w:val="0"/>
              </w:rPr>
              <w:t>8</w:t>
            </w:r>
          </w:p>
        </w:tc>
      </w:tr>
      <w:tr w:rsidR="00D14734" w:rsidRPr="00074768" w14:paraId="7E5266A7" w14:textId="77777777" w:rsidTr="00A86465">
        <w:tc>
          <w:tcPr>
            <w:tcW w:w="2802" w:type="dxa"/>
            <w:shd w:val="clear" w:color="auto" w:fill="auto"/>
          </w:tcPr>
          <w:p w14:paraId="4CA6663A" w14:textId="77777777" w:rsidR="00D14734" w:rsidRPr="00830259" w:rsidRDefault="00794BE1" w:rsidP="00D1473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Pykinimas</w:t>
            </w:r>
          </w:p>
        </w:tc>
        <w:tc>
          <w:tcPr>
            <w:tcW w:w="3260" w:type="dxa"/>
            <w:shd w:val="clear" w:color="auto" w:fill="auto"/>
          </w:tcPr>
          <w:p w14:paraId="26AC922B"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24</w:t>
            </w:r>
            <w:r w:rsidR="00794BE1" w:rsidRPr="0085406C">
              <w:rPr>
                <w:rFonts w:ascii="Times New Roman" w:eastAsia="Times New Roman" w:hAnsi="Times New Roman"/>
                <w:snapToGrid w:val="0"/>
              </w:rPr>
              <w:t>,</w:t>
            </w:r>
            <w:r w:rsidRPr="0085406C">
              <w:rPr>
                <w:rFonts w:ascii="Times New Roman" w:eastAsia="Times New Roman" w:hAnsi="Times New Roman"/>
                <w:snapToGrid w:val="0"/>
              </w:rPr>
              <w:t>5</w:t>
            </w:r>
          </w:p>
        </w:tc>
        <w:tc>
          <w:tcPr>
            <w:tcW w:w="3339" w:type="dxa"/>
            <w:shd w:val="clear" w:color="auto" w:fill="auto"/>
          </w:tcPr>
          <w:p w14:paraId="45703FF5" w14:textId="77777777" w:rsidR="00D14734" w:rsidRPr="00037DA8" w:rsidRDefault="00D14734" w:rsidP="00794BE1">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32</w:t>
            </w:r>
            <w:r w:rsidR="00794BE1" w:rsidRPr="004200DB">
              <w:rPr>
                <w:rFonts w:ascii="Times New Roman" w:eastAsia="Times New Roman" w:hAnsi="Times New Roman"/>
                <w:snapToGrid w:val="0"/>
              </w:rPr>
              <w:t>,</w:t>
            </w:r>
            <w:r w:rsidRPr="00037DA8">
              <w:rPr>
                <w:rFonts w:ascii="Times New Roman" w:eastAsia="Times New Roman" w:hAnsi="Times New Roman"/>
                <w:snapToGrid w:val="0"/>
              </w:rPr>
              <w:t>1</w:t>
            </w:r>
          </w:p>
        </w:tc>
      </w:tr>
      <w:tr w:rsidR="00D14734" w:rsidRPr="00074768" w14:paraId="63398CE1" w14:textId="77777777" w:rsidTr="00A86465">
        <w:tc>
          <w:tcPr>
            <w:tcW w:w="2802" w:type="dxa"/>
            <w:shd w:val="clear" w:color="auto" w:fill="auto"/>
          </w:tcPr>
          <w:p w14:paraId="3A390DE7" w14:textId="77777777" w:rsidR="00D14734" w:rsidRPr="00830259" w:rsidRDefault="00794BE1" w:rsidP="00D1473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Nuovargis</w:t>
            </w:r>
          </w:p>
        </w:tc>
        <w:tc>
          <w:tcPr>
            <w:tcW w:w="3260" w:type="dxa"/>
            <w:shd w:val="clear" w:color="auto" w:fill="auto"/>
          </w:tcPr>
          <w:p w14:paraId="39D72CDD"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24</w:t>
            </w:r>
            <w:r w:rsidR="00794BE1" w:rsidRPr="0085406C">
              <w:rPr>
                <w:rFonts w:ascii="Times New Roman" w:eastAsia="Times New Roman" w:hAnsi="Times New Roman"/>
                <w:snapToGrid w:val="0"/>
              </w:rPr>
              <w:t>,</w:t>
            </w:r>
            <w:r w:rsidRPr="0085406C">
              <w:rPr>
                <w:rFonts w:ascii="Times New Roman" w:eastAsia="Times New Roman" w:hAnsi="Times New Roman"/>
                <w:snapToGrid w:val="0"/>
              </w:rPr>
              <w:t>7</w:t>
            </w:r>
          </w:p>
        </w:tc>
        <w:tc>
          <w:tcPr>
            <w:tcW w:w="3339" w:type="dxa"/>
            <w:shd w:val="clear" w:color="auto" w:fill="auto"/>
          </w:tcPr>
          <w:p w14:paraId="0EE0DAE0" w14:textId="77777777" w:rsidR="00D14734" w:rsidRPr="00037DA8" w:rsidRDefault="00D14734" w:rsidP="00794BE1">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27</w:t>
            </w:r>
            <w:r w:rsidR="00794BE1" w:rsidRPr="004200DB">
              <w:rPr>
                <w:rFonts w:ascii="Times New Roman" w:eastAsia="Times New Roman" w:hAnsi="Times New Roman"/>
                <w:snapToGrid w:val="0"/>
              </w:rPr>
              <w:t>,</w:t>
            </w:r>
            <w:r w:rsidRPr="00037DA8">
              <w:rPr>
                <w:rFonts w:ascii="Times New Roman" w:eastAsia="Times New Roman" w:hAnsi="Times New Roman"/>
                <w:snapToGrid w:val="0"/>
              </w:rPr>
              <w:t>1</w:t>
            </w:r>
          </w:p>
        </w:tc>
      </w:tr>
      <w:tr w:rsidR="00D14734" w:rsidRPr="00074768" w14:paraId="16076329" w14:textId="77777777" w:rsidTr="00A86465">
        <w:tc>
          <w:tcPr>
            <w:tcW w:w="2802" w:type="dxa"/>
            <w:shd w:val="clear" w:color="auto" w:fill="auto"/>
          </w:tcPr>
          <w:p w14:paraId="31DE74D9" w14:textId="77777777" w:rsidR="00D14734" w:rsidRPr="00830259" w:rsidRDefault="00D14734" w:rsidP="00794BE1">
            <w:pPr>
              <w:tabs>
                <w:tab w:val="left" w:pos="567"/>
              </w:tabs>
              <w:spacing w:after="0" w:line="260" w:lineRule="exact"/>
              <w:rPr>
                <w:rFonts w:ascii="Times New Roman" w:eastAsia="Times New Roman" w:hAnsi="Times New Roman"/>
                <w:snapToGrid w:val="0"/>
              </w:rPr>
            </w:pPr>
            <w:proofErr w:type="spellStart"/>
            <w:r w:rsidRPr="00074768">
              <w:rPr>
                <w:rFonts w:ascii="Times New Roman" w:eastAsia="Times New Roman" w:hAnsi="Times New Roman"/>
                <w:snapToGrid w:val="0"/>
              </w:rPr>
              <w:t>Hematuri</w:t>
            </w:r>
            <w:r w:rsidR="00794BE1" w:rsidRPr="00830259">
              <w:rPr>
                <w:rFonts w:ascii="Times New Roman" w:eastAsia="Times New Roman" w:hAnsi="Times New Roman"/>
                <w:snapToGrid w:val="0"/>
              </w:rPr>
              <w:t>j</w:t>
            </w:r>
            <w:r w:rsidRPr="00830259">
              <w:rPr>
                <w:rFonts w:ascii="Times New Roman" w:eastAsia="Times New Roman" w:hAnsi="Times New Roman"/>
                <w:snapToGrid w:val="0"/>
              </w:rPr>
              <w:t>a</w:t>
            </w:r>
            <w:proofErr w:type="spellEnd"/>
          </w:p>
        </w:tc>
        <w:tc>
          <w:tcPr>
            <w:tcW w:w="3260" w:type="dxa"/>
            <w:shd w:val="clear" w:color="auto" w:fill="auto"/>
          </w:tcPr>
          <w:p w14:paraId="3E356BE5"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14</w:t>
            </w:r>
            <w:r w:rsidR="00794BE1" w:rsidRPr="0085406C">
              <w:rPr>
                <w:rFonts w:ascii="Times New Roman" w:eastAsia="Times New Roman" w:hAnsi="Times New Roman"/>
                <w:snapToGrid w:val="0"/>
              </w:rPr>
              <w:t>,</w:t>
            </w:r>
            <w:r w:rsidRPr="0085406C">
              <w:rPr>
                <w:rFonts w:ascii="Times New Roman" w:eastAsia="Times New Roman" w:hAnsi="Times New Roman"/>
                <w:snapToGrid w:val="0"/>
              </w:rPr>
              <w:t>1</w:t>
            </w:r>
          </w:p>
        </w:tc>
        <w:tc>
          <w:tcPr>
            <w:tcW w:w="3339" w:type="dxa"/>
            <w:shd w:val="clear" w:color="auto" w:fill="auto"/>
          </w:tcPr>
          <w:p w14:paraId="2278F979" w14:textId="77777777" w:rsidR="00D14734" w:rsidRPr="00037DA8" w:rsidRDefault="00D14734" w:rsidP="00794BE1">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20</w:t>
            </w:r>
            <w:r w:rsidR="00794BE1" w:rsidRPr="004200DB">
              <w:rPr>
                <w:rFonts w:ascii="Times New Roman" w:eastAsia="Times New Roman" w:hAnsi="Times New Roman"/>
                <w:snapToGrid w:val="0"/>
              </w:rPr>
              <w:t>,</w:t>
            </w:r>
            <w:r w:rsidRPr="00037DA8">
              <w:rPr>
                <w:rFonts w:ascii="Times New Roman" w:eastAsia="Times New Roman" w:hAnsi="Times New Roman"/>
                <w:snapToGrid w:val="0"/>
              </w:rPr>
              <w:t>8</w:t>
            </w:r>
          </w:p>
        </w:tc>
      </w:tr>
      <w:tr w:rsidR="00D14734" w:rsidRPr="00074768" w14:paraId="03F05C17" w14:textId="77777777" w:rsidTr="00A86465">
        <w:tc>
          <w:tcPr>
            <w:tcW w:w="2802" w:type="dxa"/>
            <w:shd w:val="clear" w:color="auto" w:fill="auto"/>
          </w:tcPr>
          <w:p w14:paraId="3473EB52" w14:textId="77777777" w:rsidR="00D14734" w:rsidRPr="00830259" w:rsidRDefault="00794BE1" w:rsidP="00D14734">
            <w:pPr>
              <w:tabs>
                <w:tab w:val="left" w:pos="567"/>
              </w:tabs>
              <w:spacing w:after="0" w:line="260" w:lineRule="exact"/>
              <w:rPr>
                <w:rFonts w:ascii="Times New Roman" w:eastAsia="Times New Roman" w:hAnsi="Times New Roman"/>
                <w:snapToGrid w:val="0"/>
              </w:rPr>
            </w:pPr>
            <w:proofErr w:type="spellStart"/>
            <w:r w:rsidRPr="00074768">
              <w:rPr>
                <w:rFonts w:ascii="Times New Roman" w:eastAsia="Times New Roman" w:hAnsi="Times New Roman"/>
                <w:snapToGrid w:val="0"/>
              </w:rPr>
              <w:t>Astenija</w:t>
            </w:r>
            <w:proofErr w:type="spellEnd"/>
          </w:p>
        </w:tc>
        <w:tc>
          <w:tcPr>
            <w:tcW w:w="3260" w:type="dxa"/>
            <w:shd w:val="clear" w:color="auto" w:fill="auto"/>
          </w:tcPr>
          <w:p w14:paraId="5E1770F2"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15</w:t>
            </w:r>
            <w:r w:rsidR="00794BE1" w:rsidRPr="0085406C">
              <w:rPr>
                <w:rFonts w:ascii="Times New Roman" w:eastAsia="Times New Roman" w:hAnsi="Times New Roman"/>
                <w:snapToGrid w:val="0"/>
              </w:rPr>
              <w:t>,</w:t>
            </w:r>
            <w:r w:rsidRPr="0085406C">
              <w:rPr>
                <w:rFonts w:ascii="Times New Roman" w:eastAsia="Times New Roman" w:hAnsi="Times New Roman"/>
                <w:snapToGrid w:val="0"/>
              </w:rPr>
              <w:t>3</w:t>
            </w:r>
          </w:p>
        </w:tc>
        <w:tc>
          <w:tcPr>
            <w:tcW w:w="3339" w:type="dxa"/>
            <w:shd w:val="clear" w:color="auto" w:fill="auto"/>
          </w:tcPr>
          <w:p w14:paraId="4454CAAE" w14:textId="77777777" w:rsidR="00D14734" w:rsidRPr="00037DA8" w:rsidRDefault="00D14734" w:rsidP="00794BE1">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19</w:t>
            </w:r>
            <w:r w:rsidR="00794BE1" w:rsidRPr="004200DB">
              <w:rPr>
                <w:rFonts w:ascii="Times New Roman" w:eastAsia="Times New Roman" w:hAnsi="Times New Roman"/>
                <w:snapToGrid w:val="0"/>
              </w:rPr>
              <w:t>,</w:t>
            </w:r>
            <w:r w:rsidRPr="00037DA8">
              <w:rPr>
                <w:rFonts w:ascii="Times New Roman" w:eastAsia="Times New Roman" w:hAnsi="Times New Roman"/>
                <w:snapToGrid w:val="0"/>
              </w:rPr>
              <w:t>7</w:t>
            </w:r>
          </w:p>
        </w:tc>
      </w:tr>
      <w:tr w:rsidR="00D14734" w:rsidRPr="00074768" w14:paraId="28C57585" w14:textId="77777777" w:rsidTr="00A86465">
        <w:tc>
          <w:tcPr>
            <w:tcW w:w="2802" w:type="dxa"/>
            <w:shd w:val="clear" w:color="auto" w:fill="auto"/>
          </w:tcPr>
          <w:p w14:paraId="3709A0E5" w14:textId="77777777" w:rsidR="00D14734" w:rsidRPr="00830259" w:rsidRDefault="00794BE1" w:rsidP="00D1473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Sumažėjęs apetitas</w:t>
            </w:r>
          </w:p>
        </w:tc>
        <w:tc>
          <w:tcPr>
            <w:tcW w:w="3260" w:type="dxa"/>
            <w:shd w:val="clear" w:color="auto" w:fill="auto"/>
          </w:tcPr>
          <w:p w14:paraId="076E300F"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13</w:t>
            </w:r>
            <w:r w:rsidR="00794BE1" w:rsidRPr="0085406C">
              <w:rPr>
                <w:rFonts w:ascii="Times New Roman" w:eastAsia="Times New Roman" w:hAnsi="Times New Roman"/>
                <w:snapToGrid w:val="0"/>
              </w:rPr>
              <w:t>,</w:t>
            </w:r>
            <w:r w:rsidRPr="0085406C">
              <w:rPr>
                <w:rFonts w:ascii="Times New Roman" w:eastAsia="Times New Roman" w:hAnsi="Times New Roman"/>
                <w:snapToGrid w:val="0"/>
              </w:rPr>
              <w:t>1</w:t>
            </w:r>
          </w:p>
        </w:tc>
        <w:tc>
          <w:tcPr>
            <w:tcW w:w="3339" w:type="dxa"/>
            <w:shd w:val="clear" w:color="auto" w:fill="auto"/>
          </w:tcPr>
          <w:p w14:paraId="29367223" w14:textId="77777777" w:rsidR="00D14734" w:rsidRPr="00037DA8" w:rsidRDefault="00D14734" w:rsidP="00794BE1">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18</w:t>
            </w:r>
            <w:r w:rsidR="00794BE1" w:rsidRPr="004200DB">
              <w:rPr>
                <w:rFonts w:ascii="Times New Roman" w:eastAsia="Times New Roman" w:hAnsi="Times New Roman"/>
                <w:snapToGrid w:val="0"/>
              </w:rPr>
              <w:t>,</w:t>
            </w:r>
            <w:r w:rsidRPr="00037DA8">
              <w:rPr>
                <w:rFonts w:ascii="Times New Roman" w:eastAsia="Times New Roman" w:hAnsi="Times New Roman"/>
                <w:snapToGrid w:val="0"/>
              </w:rPr>
              <w:t>5</w:t>
            </w:r>
          </w:p>
        </w:tc>
      </w:tr>
      <w:tr w:rsidR="00D14734" w:rsidRPr="00074768" w14:paraId="4888A46C" w14:textId="77777777" w:rsidTr="00A86465">
        <w:tc>
          <w:tcPr>
            <w:tcW w:w="2802" w:type="dxa"/>
            <w:shd w:val="clear" w:color="auto" w:fill="auto"/>
          </w:tcPr>
          <w:p w14:paraId="3A3A29C3" w14:textId="77777777" w:rsidR="00D14734" w:rsidRPr="00830259" w:rsidRDefault="00794BE1" w:rsidP="00D1473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Vėmimas</w:t>
            </w:r>
          </w:p>
        </w:tc>
        <w:tc>
          <w:tcPr>
            <w:tcW w:w="3260" w:type="dxa"/>
            <w:shd w:val="clear" w:color="auto" w:fill="auto"/>
          </w:tcPr>
          <w:p w14:paraId="6460EB64"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14</w:t>
            </w:r>
            <w:r w:rsidR="00794BE1" w:rsidRPr="0085406C">
              <w:rPr>
                <w:rFonts w:ascii="Times New Roman" w:eastAsia="Times New Roman" w:hAnsi="Times New Roman"/>
                <w:snapToGrid w:val="0"/>
              </w:rPr>
              <w:t>,</w:t>
            </w:r>
            <w:r w:rsidRPr="0085406C">
              <w:rPr>
                <w:rFonts w:ascii="Times New Roman" w:eastAsia="Times New Roman" w:hAnsi="Times New Roman"/>
                <w:snapToGrid w:val="0"/>
              </w:rPr>
              <w:t>5</w:t>
            </w:r>
          </w:p>
        </w:tc>
        <w:tc>
          <w:tcPr>
            <w:tcW w:w="3339" w:type="dxa"/>
            <w:shd w:val="clear" w:color="auto" w:fill="auto"/>
          </w:tcPr>
          <w:p w14:paraId="75333517" w14:textId="77777777" w:rsidR="00D14734" w:rsidRPr="00037DA8" w:rsidRDefault="00D14734" w:rsidP="00794BE1">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18</w:t>
            </w:r>
            <w:r w:rsidR="00794BE1" w:rsidRPr="004200DB">
              <w:rPr>
                <w:rFonts w:ascii="Times New Roman" w:eastAsia="Times New Roman" w:hAnsi="Times New Roman"/>
                <w:snapToGrid w:val="0"/>
              </w:rPr>
              <w:t>,</w:t>
            </w:r>
            <w:r w:rsidRPr="00037DA8">
              <w:rPr>
                <w:rFonts w:ascii="Times New Roman" w:eastAsia="Times New Roman" w:hAnsi="Times New Roman"/>
                <w:snapToGrid w:val="0"/>
              </w:rPr>
              <w:t>2</w:t>
            </w:r>
          </w:p>
        </w:tc>
      </w:tr>
      <w:tr w:rsidR="00D14734" w:rsidRPr="00074768" w14:paraId="41EFCF2F" w14:textId="77777777" w:rsidTr="00A86465">
        <w:tc>
          <w:tcPr>
            <w:tcW w:w="2802" w:type="dxa"/>
            <w:shd w:val="clear" w:color="auto" w:fill="auto"/>
          </w:tcPr>
          <w:p w14:paraId="3D18A0D2" w14:textId="77777777" w:rsidR="00D14734" w:rsidRPr="00830259" w:rsidRDefault="00794BE1" w:rsidP="00D1473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Vidurių užkietėjimas</w:t>
            </w:r>
          </w:p>
        </w:tc>
        <w:tc>
          <w:tcPr>
            <w:tcW w:w="3260" w:type="dxa"/>
            <w:shd w:val="clear" w:color="auto" w:fill="auto"/>
          </w:tcPr>
          <w:p w14:paraId="74DE6D1B"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17</w:t>
            </w:r>
            <w:r w:rsidR="00794BE1" w:rsidRPr="0085406C">
              <w:rPr>
                <w:rFonts w:ascii="Times New Roman" w:eastAsia="Times New Roman" w:hAnsi="Times New Roman"/>
                <w:snapToGrid w:val="0"/>
              </w:rPr>
              <w:t>,</w:t>
            </w:r>
            <w:r w:rsidRPr="0085406C">
              <w:rPr>
                <w:rFonts w:ascii="Times New Roman" w:eastAsia="Times New Roman" w:hAnsi="Times New Roman"/>
                <w:snapToGrid w:val="0"/>
              </w:rPr>
              <w:t>6</w:t>
            </w:r>
          </w:p>
        </w:tc>
        <w:tc>
          <w:tcPr>
            <w:tcW w:w="3339" w:type="dxa"/>
            <w:shd w:val="clear" w:color="auto" w:fill="auto"/>
          </w:tcPr>
          <w:p w14:paraId="140C9654" w14:textId="77777777" w:rsidR="00D14734" w:rsidRPr="00037DA8" w:rsidRDefault="00D14734" w:rsidP="00794BE1">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18</w:t>
            </w:r>
            <w:r w:rsidR="00794BE1" w:rsidRPr="004200DB">
              <w:rPr>
                <w:rFonts w:ascii="Times New Roman" w:eastAsia="Times New Roman" w:hAnsi="Times New Roman"/>
                <w:snapToGrid w:val="0"/>
              </w:rPr>
              <w:t>,</w:t>
            </w:r>
            <w:r w:rsidRPr="00037DA8">
              <w:rPr>
                <w:rFonts w:ascii="Times New Roman" w:eastAsia="Times New Roman" w:hAnsi="Times New Roman"/>
                <w:snapToGrid w:val="0"/>
              </w:rPr>
              <w:t>0</w:t>
            </w:r>
          </w:p>
        </w:tc>
      </w:tr>
      <w:tr w:rsidR="00D14734" w:rsidRPr="00074768" w14:paraId="399E8A7D" w14:textId="77777777" w:rsidTr="00A86465">
        <w:tc>
          <w:tcPr>
            <w:tcW w:w="2802" w:type="dxa"/>
            <w:shd w:val="clear" w:color="auto" w:fill="auto"/>
          </w:tcPr>
          <w:p w14:paraId="27EC2088" w14:textId="77777777" w:rsidR="00D14734" w:rsidRPr="00830259" w:rsidRDefault="00794BE1" w:rsidP="00D1473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Nugaros skausmas</w:t>
            </w:r>
          </w:p>
        </w:tc>
        <w:tc>
          <w:tcPr>
            <w:tcW w:w="3260" w:type="dxa"/>
            <w:shd w:val="clear" w:color="auto" w:fill="auto"/>
          </w:tcPr>
          <w:p w14:paraId="28A8CECF"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11</w:t>
            </w:r>
            <w:r w:rsidR="00794BE1" w:rsidRPr="0085406C">
              <w:rPr>
                <w:rFonts w:ascii="Times New Roman" w:eastAsia="Times New Roman" w:hAnsi="Times New Roman"/>
                <w:snapToGrid w:val="0"/>
              </w:rPr>
              <w:t>,</w:t>
            </w:r>
            <w:r w:rsidRPr="0085406C">
              <w:rPr>
                <w:rFonts w:ascii="Times New Roman" w:eastAsia="Times New Roman" w:hAnsi="Times New Roman"/>
                <w:snapToGrid w:val="0"/>
              </w:rPr>
              <w:t>0</w:t>
            </w:r>
          </w:p>
        </w:tc>
        <w:tc>
          <w:tcPr>
            <w:tcW w:w="3339" w:type="dxa"/>
            <w:shd w:val="clear" w:color="auto" w:fill="auto"/>
          </w:tcPr>
          <w:p w14:paraId="6F12A706" w14:textId="77777777" w:rsidR="00D14734" w:rsidRPr="00037DA8" w:rsidRDefault="00D14734" w:rsidP="00794BE1">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13</w:t>
            </w:r>
            <w:r w:rsidR="00794BE1" w:rsidRPr="004200DB">
              <w:rPr>
                <w:rFonts w:ascii="Times New Roman" w:eastAsia="Times New Roman" w:hAnsi="Times New Roman"/>
                <w:snapToGrid w:val="0"/>
              </w:rPr>
              <w:t>,</w:t>
            </w:r>
            <w:r w:rsidRPr="00037DA8">
              <w:rPr>
                <w:rFonts w:ascii="Times New Roman" w:eastAsia="Times New Roman" w:hAnsi="Times New Roman"/>
                <w:snapToGrid w:val="0"/>
              </w:rPr>
              <w:t>9</w:t>
            </w:r>
          </w:p>
        </w:tc>
      </w:tr>
      <w:tr w:rsidR="00D14734" w:rsidRPr="00074768" w14:paraId="5C6950B5" w14:textId="77777777" w:rsidTr="00A86465">
        <w:tc>
          <w:tcPr>
            <w:tcW w:w="2802" w:type="dxa"/>
            <w:shd w:val="clear" w:color="auto" w:fill="auto"/>
          </w:tcPr>
          <w:p w14:paraId="1233BA40" w14:textId="77777777" w:rsidR="00794BE1" w:rsidRPr="00074768" w:rsidRDefault="00794BE1" w:rsidP="00794BE1">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Kliniškai pasireiškianti</w:t>
            </w:r>
          </w:p>
          <w:p w14:paraId="657CDEBF" w14:textId="77777777" w:rsidR="00D14734" w:rsidRPr="0085406C" w:rsidRDefault="00794BE1" w:rsidP="00794BE1">
            <w:pPr>
              <w:tabs>
                <w:tab w:val="left" w:pos="567"/>
              </w:tabs>
              <w:spacing w:after="0" w:line="260" w:lineRule="exact"/>
              <w:rPr>
                <w:rFonts w:ascii="Times New Roman" w:eastAsia="Times New Roman" w:hAnsi="Times New Roman"/>
                <w:snapToGrid w:val="0"/>
              </w:rPr>
            </w:pPr>
            <w:proofErr w:type="spellStart"/>
            <w:r w:rsidRPr="0085406C">
              <w:rPr>
                <w:rFonts w:ascii="Times New Roman" w:eastAsia="Times New Roman" w:hAnsi="Times New Roman"/>
                <w:snapToGrid w:val="0"/>
              </w:rPr>
              <w:t>neutropenija</w:t>
            </w:r>
            <w:proofErr w:type="spellEnd"/>
          </w:p>
        </w:tc>
        <w:tc>
          <w:tcPr>
            <w:tcW w:w="3260" w:type="dxa"/>
            <w:shd w:val="clear" w:color="auto" w:fill="auto"/>
          </w:tcPr>
          <w:p w14:paraId="027A39C1"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3</w:t>
            </w:r>
            <w:r w:rsidR="00794BE1" w:rsidRPr="004200DB">
              <w:rPr>
                <w:rFonts w:ascii="Times New Roman" w:eastAsia="Times New Roman" w:hAnsi="Times New Roman"/>
                <w:snapToGrid w:val="0"/>
              </w:rPr>
              <w:t>,</w:t>
            </w:r>
            <w:r w:rsidRPr="004200DB">
              <w:rPr>
                <w:rFonts w:ascii="Times New Roman" w:eastAsia="Times New Roman" w:hAnsi="Times New Roman"/>
                <w:snapToGrid w:val="0"/>
              </w:rPr>
              <w:t>1</w:t>
            </w:r>
          </w:p>
        </w:tc>
        <w:tc>
          <w:tcPr>
            <w:tcW w:w="3339" w:type="dxa"/>
            <w:shd w:val="clear" w:color="auto" w:fill="auto"/>
          </w:tcPr>
          <w:p w14:paraId="260657F6" w14:textId="77777777" w:rsidR="00D14734" w:rsidRPr="00037DA8" w:rsidRDefault="00D14734" w:rsidP="00794BE1">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10</w:t>
            </w:r>
            <w:r w:rsidR="00794BE1" w:rsidRPr="00037DA8">
              <w:rPr>
                <w:rFonts w:ascii="Times New Roman" w:eastAsia="Times New Roman" w:hAnsi="Times New Roman"/>
                <w:snapToGrid w:val="0"/>
              </w:rPr>
              <w:t>,</w:t>
            </w:r>
            <w:r w:rsidRPr="00037DA8">
              <w:rPr>
                <w:rFonts w:ascii="Times New Roman" w:eastAsia="Times New Roman" w:hAnsi="Times New Roman"/>
                <w:snapToGrid w:val="0"/>
              </w:rPr>
              <w:t>9</w:t>
            </w:r>
          </w:p>
        </w:tc>
      </w:tr>
      <w:tr w:rsidR="00D14734" w:rsidRPr="00074768" w14:paraId="3B7719D6" w14:textId="77777777" w:rsidTr="00A86465">
        <w:tc>
          <w:tcPr>
            <w:tcW w:w="2802" w:type="dxa"/>
            <w:shd w:val="clear" w:color="auto" w:fill="auto"/>
          </w:tcPr>
          <w:p w14:paraId="4F4A2684" w14:textId="77777777" w:rsidR="00D14734" w:rsidRPr="00830259" w:rsidRDefault="00794BE1" w:rsidP="00D1473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lastRenderedPageBreak/>
              <w:t>Šlapimo takų infekcija</w:t>
            </w:r>
          </w:p>
        </w:tc>
        <w:tc>
          <w:tcPr>
            <w:tcW w:w="3260" w:type="dxa"/>
            <w:shd w:val="clear" w:color="auto" w:fill="auto"/>
          </w:tcPr>
          <w:p w14:paraId="6AB46BF8"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6</w:t>
            </w:r>
            <w:r w:rsidR="00794BE1" w:rsidRPr="0085406C">
              <w:rPr>
                <w:rFonts w:ascii="Times New Roman" w:eastAsia="Times New Roman" w:hAnsi="Times New Roman"/>
                <w:snapToGrid w:val="0"/>
              </w:rPr>
              <w:t>,</w:t>
            </w:r>
            <w:r w:rsidRPr="0085406C">
              <w:rPr>
                <w:rFonts w:ascii="Times New Roman" w:eastAsia="Times New Roman" w:hAnsi="Times New Roman"/>
                <w:snapToGrid w:val="0"/>
              </w:rPr>
              <w:t>9</w:t>
            </w:r>
          </w:p>
        </w:tc>
        <w:tc>
          <w:tcPr>
            <w:tcW w:w="3339" w:type="dxa"/>
            <w:shd w:val="clear" w:color="auto" w:fill="auto"/>
          </w:tcPr>
          <w:p w14:paraId="269EF704" w14:textId="77777777" w:rsidR="00D14734" w:rsidRPr="00037DA8" w:rsidRDefault="00D14734" w:rsidP="00794BE1">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10</w:t>
            </w:r>
            <w:r w:rsidR="00794BE1" w:rsidRPr="004200DB">
              <w:rPr>
                <w:rFonts w:ascii="Times New Roman" w:eastAsia="Times New Roman" w:hAnsi="Times New Roman"/>
                <w:snapToGrid w:val="0"/>
              </w:rPr>
              <w:t>,</w:t>
            </w:r>
            <w:r w:rsidRPr="00037DA8">
              <w:rPr>
                <w:rFonts w:ascii="Times New Roman" w:eastAsia="Times New Roman" w:hAnsi="Times New Roman"/>
                <w:snapToGrid w:val="0"/>
              </w:rPr>
              <w:t>8</w:t>
            </w:r>
          </w:p>
        </w:tc>
      </w:tr>
      <w:tr w:rsidR="00D14734" w:rsidRPr="00074768" w14:paraId="3DA06ADA" w14:textId="77777777" w:rsidTr="00A86465">
        <w:tc>
          <w:tcPr>
            <w:tcW w:w="2802" w:type="dxa"/>
            <w:shd w:val="clear" w:color="auto" w:fill="auto"/>
          </w:tcPr>
          <w:p w14:paraId="63270839" w14:textId="77777777" w:rsidR="00794BE1" w:rsidRPr="00830259" w:rsidRDefault="00794BE1" w:rsidP="00794BE1">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Periferinė se</w:t>
            </w:r>
            <w:r w:rsidRPr="00830259">
              <w:rPr>
                <w:rFonts w:ascii="Times New Roman" w:eastAsia="Times New Roman" w:hAnsi="Times New Roman"/>
                <w:snapToGrid w:val="0"/>
              </w:rPr>
              <w:t>nsorinė</w:t>
            </w:r>
          </w:p>
          <w:p w14:paraId="6B73589B" w14:textId="77777777" w:rsidR="00D14734" w:rsidRPr="0085406C" w:rsidRDefault="00794BE1" w:rsidP="00794BE1">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neuropatija</w:t>
            </w:r>
          </w:p>
        </w:tc>
        <w:tc>
          <w:tcPr>
            <w:tcW w:w="3260" w:type="dxa"/>
            <w:shd w:val="clear" w:color="auto" w:fill="auto"/>
          </w:tcPr>
          <w:p w14:paraId="431B33B6"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6</w:t>
            </w:r>
            <w:r w:rsidR="00794BE1" w:rsidRPr="004200DB">
              <w:rPr>
                <w:rFonts w:ascii="Times New Roman" w:eastAsia="Times New Roman" w:hAnsi="Times New Roman"/>
                <w:snapToGrid w:val="0"/>
              </w:rPr>
              <w:t>,</w:t>
            </w:r>
            <w:r w:rsidRPr="004200DB">
              <w:rPr>
                <w:rFonts w:ascii="Times New Roman" w:eastAsia="Times New Roman" w:hAnsi="Times New Roman"/>
                <w:snapToGrid w:val="0"/>
              </w:rPr>
              <w:t>6</w:t>
            </w:r>
          </w:p>
        </w:tc>
        <w:tc>
          <w:tcPr>
            <w:tcW w:w="3339" w:type="dxa"/>
            <w:shd w:val="clear" w:color="auto" w:fill="auto"/>
          </w:tcPr>
          <w:p w14:paraId="059B9B45" w14:textId="77777777" w:rsidR="00D14734" w:rsidRPr="00037DA8" w:rsidRDefault="00D14734" w:rsidP="00794BE1">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10</w:t>
            </w:r>
            <w:r w:rsidR="00794BE1" w:rsidRPr="00037DA8">
              <w:rPr>
                <w:rFonts w:ascii="Times New Roman" w:eastAsia="Times New Roman" w:hAnsi="Times New Roman"/>
                <w:snapToGrid w:val="0"/>
              </w:rPr>
              <w:t>,</w:t>
            </w:r>
            <w:r w:rsidRPr="00037DA8">
              <w:rPr>
                <w:rFonts w:ascii="Times New Roman" w:eastAsia="Times New Roman" w:hAnsi="Times New Roman"/>
                <w:snapToGrid w:val="0"/>
              </w:rPr>
              <w:t>6</w:t>
            </w:r>
          </w:p>
        </w:tc>
      </w:tr>
      <w:tr w:rsidR="00D14734" w:rsidRPr="00074768" w14:paraId="6E46AC6A" w14:textId="77777777" w:rsidTr="00A86465">
        <w:tc>
          <w:tcPr>
            <w:tcW w:w="2802" w:type="dxa"/>
            <w:shd w:val="clear" w:color="auto" w:fill="auto"/>
          </w:tcPr>
          <w:p w14:paraId="4E2FFD4B" w14:textId="77777777" w:rsidR="00D14734" w:rsidRPr="00830259" w:rsidRDefault="00794BE1" w:rsidP="00D14734">
            <w:pPr>
              <w:tabs>
                <w:tab w:val="left" w:pos="567"/>
              </w:tabs>
              <w:spacing w:after="0" w:line="260" w:lineRule="exact"/>
              <w:rPr>
                <w:rFonts w:ascii="Times New Roman" w:eastAsia="Times New Roman" w:hAnsi="Times New Roman"/>
                <w:snapToGrid w:val="0"/>
              </w:rPr>
            </w:pPr>
            <w:proofErr w:type="spellStart"/>
            <w:r w:rsidRPr="00074768">
              <w:rPr>
                <w:rFonts w:ascii="Times New Roman" w:eastAsia="Times New Roman" w:hAnsi="Times New Roman"/>
                <w:snapToGrid w:val="0"/>
              </w:rPr>
              <w:t>Disgeuzija</w:t>
            </w:r>
            <w:proofErr w:type="spellEnd"/>
          </w:p>
        </w:tc>
        <w:tc>
          <w:tcPr>
            <w:tcW w:w="3260" w:type="dxa"/>
            <w:shd w:val="clear" w:color="auto" w:fill="auto"/>
          </w:tcPr>
          <w:p w14:paraId="221506C2"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7</w:t>
            </w:r>
            <w:r w:rsidR="00794BE1" w:rsidRPr="0085406C">
              <w:rPr>
                <w:rFonts w:ascii="Times New Roman" w:eastAsia="Times New Roman" w:hAnsi="Times New Roman"/>
                <w:snapToGrid w:val="0"/>
              </w:rPr>
              <w:t>,</w:t>
            </w:r>
            <w:r w:rsidRPr="0085406C">
              <w:rPr>
                <w:rFonts w:ascii="Times New Roman" w:eastAsia="Times New Roman" w:hAnsi="Times New Roman"/>
                <w:snapToGrid w:val="0"/>
              </w:rPr>
              <w:t>1</w:t>
            </w:r>
          </w:p>
        </w:tc>
        <w:tc>
          <w:tcPr>
            <w:tcW w:w="3339" w:type="dxa"/>
            <w:shd w:val="clear" w:color="auto" w:fill="auto"/>
          </w:tcPr>
          <w:p w14:paraId="1BB0F228" w14:textId="77777777" w:rsidR="00D14734" w:rsidRPr="00037DA8" w:rsidRDefault="00D14734" w:rsidP="00794BE1">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10</w:t>
            </w:r>
            <w:r w:rsidR="00794BE1" w:rsidRPr="004200DB">
              <w:rPr>
                <w:rFonts w:ascii="Times New Roman" w:eastAsia="Times New Roman" w:hAnsi="Times New Roman"/>
                <w:snapToGrid w:val="0"/>
              </w:rPr>
              <w:t>,</w:t>
            </w:r>
            <w:r w:rsidRPr="00037DA8">
              <w:rPr>
                <w:rFonts w:ascii="Times New Roman" w:eastAsia="Times New Roman" w:hAnsi="Times New Roman"/>
                <w:snapToGrid w:val="0"/>
              </w:rPr>
              <w:t>6</w:t>
            </w:r>
          </w:p>
        </w:tc>
      </w:tr>
      <w:tr w:rsidR="00D14734" w:rsidRPr="00074768" w14:paraId="5BDD2208" w14:textId="77777777" w:rsidTr="00A86465">
        <w:tc>
          <w:tcPr>
            <w:tcW w:w="2802" w:type="dxa"/>
            <w:shd w:val="clear" w:color="auto" w:fill="auto"/>
          </w:tcPr>
          <w:p w14:paraId="28514E14" w14:textId="77777777" w:rsidR="00D14734" w:rsidRPr="00074768" w:rsidRDefault="00D14734" w:rsidP="00D14734">
            <w:pPr>
              <w:tabs>
                <w:tab w:val="left" w:pos="567"/>
              </w:tabs>
              <w:spacing w:after="0" w:line="260" w:lineRule="exact"/>
              <w:rPr>
                <w:rFonts w:ascii="Times New Roman" w:eastAsia="Times New Roman" w:hAnsi="Times New Roman"/>
                <w:snapToGrid w:val="0"/>
              </w:rPr>
            </w:pPr>
          </w:p>
        </w:tc>
        <w:tc>
          <w:tcPr>
            <w:tcW w:w="3260" w:type="dxa"/>
            <w:shd w:val="clear" w:color="auto" w:fill="auto"/>
          </w:tcPr>
          <w:p w14:paraId="522D1A93" w14:textId="77777777" w:rsidR="00D14734" w:rsidRPr="0085406C" w:rsidRDefault="00D14734" w:rsidP="00794BE1">
            <w:pPr>
              <w:tabs>
                <w:tab w:val="left" w:pos="567"/>
              </w:tabs>
              <w:spacing w:after="0" w:line="260" w:lineRule="exact"/>
              <w:jc w:val="center"/>
              <w:rPr>
                <w:rFonts w:ascii="Times New Roman" w:eastAsia="Times New Roman" w:hAnsi="Times New Roman"/>
                <w:snapToGrid w:val="0"/>
              </w:rPr>
            </w:pPr>
          </w:p>
        </w:tc>
        <w:tc>
          <w:tcPr>
            <w:tcW w:w="3339" w:type="dxa"/>
            <w:shd w:val="clear" w:color="auto" w:fill="auto"/>
          </w:tcPr>
          <w:p w14:paraId="276153EB"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p>
        </w:tc>
      </w:tr>
      <w:tr w:rsidR="00D14734" w:rsidRPr="00074768" w14:paraId="2953E790" w14:textId="77777777" w:rsidTr="00A86465">
        <w:tc>
          <w:tcPr>
            <w:tcW w:w="2802" w:type="dxa"/>
            <w:shd w:val="clear" w:color="auto" w:fill="auto"/>
          </w:tcPr>
          <w:p w14:paraId="4D6F6792" w14:textId="215CCDB3" w:rsidR="00D14734" w:rsidRPr="0085406C" w:rsidRDefault="00794BE1" w:rsidP="00794BE1">
            <w:pPr>
              <w:tabs>
                <w:tab w:val="left" w:pos="567"/>
              </w:tabs>
              <w:spacing w:after="0" w:line="260" w:lineRule="exact"/>
              <w:rPr>
                <w:rFonts w:ascii="Times New Roman" w:eastAsia="Times New Roman" w:hAnsi="Times New Roman"/>
                <w:b/>
                <w:snapToGrid w:val="0"/>
              </w:rPr>
            </w:pPr>
            <w:r w:rsidRPr="00074768">
              <w:rPr>
                <w:rFonts w:ascii="Times New Roman" w:eastAsia="Times New Roman" w:hAnsi="Times New Roman"/>
                <w:b/>
                <w:bCs/>
                <w:snapToGrid w:val="0"/>
              </w:rPr>
              <w:t>≥</w:t>
            </w:r>
            <w:r w:rsidR="002B4F78">
              <w:rPr>
                <w:rFonts w:ascii="Times New Roman" w:eastAsia="Times New Roman" w:hAnsi="Times New Roman"/>
                <w:b/>
                <w:bCs/>
                <w:snapToGrid w:val="0"/>
              </w:rPr>
              <w:t> </w:t>
            </w:r>
            <w:r w:rsidRPr="00074768">
              <w:rPr>
                <w:rFonts w:ascii="Times New Roman" w:eastAsia="Times New Roman" w:hAnsi="Times New Roman"/>
                <w:b/>
                <w:bCs/>
                <w:snapToGrid w:val="0"/>
              </w:rPr>
              <w:t>3</w:t>
            </w:r>
            <w:r w:rsidR="002B4F78">
              <w:rPr>
                <w:rFonts w:ascii="Times New Roman" w:eastAsia="Times New Roman" w:hAnsi="Times New Roman"/>
                <w:b/>
                <w:bCs/>
                <w:snapToGrid w:val="0"/>
              </w:rPr>
              <w:t> </w:t>
            </w:r>
            <w:r w:rsidRPr="00074768">
              <w:rPr>
                <w:rFonts w:ascii="Times New Roman" w:eastAsia="Times New Roman" w:hAnsi="Times New Roman"/>
                <w:b/>
                <w:bCs/>
                <w:snapToGrid w:val="0"/>
              </w:rPr>
              <w:t xml:space="preserve">laipsnio nepageidaujamos </w:t>
            </w:r>
            <w:proofErr w:type="spellStart"/>
            <w:r w:rsidRPr="00074768">
              <w:rPr>
                <w:rFonts w:ascii="Times New Roman" w:eastAsia="Times New Roman" w:hAnsi="Times New Roman"/>
                <w:b/>
                <w:bCs/>
                <w:snapToGrid w:val="0"/>
              </w:rPr>
              <w:t>reakcijos</w:t>
            </w:r>
            <w:r w:rsidR="00D14734" w:rsidRPr="0085406C">
              <w:rPr>
                <w:rFonts w:ascii="Times New Roman" w:eastAsia="Times New Roman" w:hAnsi="Times New Roman"/>
                <w:snapToGrid w:val="0"/>
                <w:vertAlign w:val="superscript"/>
              </w:rPr>
              <w:t>b</w:t>
            </w:r>
            <w:proofErr w:type="spellEnd"/>
            <w:r w:rsidR="00D14734" w:rsidRPr="0085406C">
              <w:rPr>
                <w:rFonts w:ascii="Times New Roman" w:eastAsia="Times New Roman" w:hAnsi="Times New Roman"/>
                <w:b/>
                <w:snapToGrid w:val="0"/>
              </w:rPr>
              <w:t xml:space="preserve"> (%)</w:t>
            </w:r>
          </w:p>
        </w:tc>
        <w:tc>
          <w:tcPr>
            <w:tcW w:w="3260" w:type="dxa"/>
            <w:shd w:val="clear" w:color="auto" w:fill="auto"/>
          </w:tcPr>
          <w:p w14:paraId="45E51DA3"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p>
        </w:tc>
        <w:tc>
          <w:tcPr>
            <w:tcW w:w="3339" w:type="dxa"/>
            <w:shd w:val="clear" w:color="auto" w:fill="auto"/>
          </w:tcPr>
          <w:p w14:paraId="01AEC8A4"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p>
        </w:tc>
      </w:tr>
      <w:tr w:rsidR="00D14734" w:rsidRPr="00074768" w14:paraId="79B49891" w14:textId="77777777" w:rsidTr="00A86465">
        <w:tc>
          <w:tcPr>
            <w:tcW w:w="2802" w:type="dxa"/>
            <w:shd w:val="clear" w:color="auto" w:fill="auto"/>
          </w:tcPr>
          <w:p w14:paraId="12E74AB2" w14:textId="77777777" w:rsidR="00794BE1" w:rsidRPr="00074768" w:rsidRDefault="00794BE1" w:rsidP="00794BE1">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Kliniškai pasireiškianti</w:t>
            </w:r>
          </w:p>
          <w:p w14:paraId="4E294ECD" w14:textId="77777777" w:rsidR="00D14734" w:rsidRPr="0085406C" w:rsidRDefault="00794BE1" w:rsidP="00794BE1">
            <w:pPr>
              <w:tabs>
                <w:tab w:val="left" w:pos="567"/>
              </w:tabs>
              <w:spacing w:after="0" w:line="260" w:lineRule="exact"/>
              <w:rPr>
                <w:rFonts w:ascii="Times New Roman" w:eastAsia="Times New Roman" w:hAnsi="Times New Roman"/>
                <w:snapToGrid w:val="0"/>
              </w:rPr>
            </w:pPr>
            <w:proofErr w:type="spellStart"/>
            <w:r w:rsidRPr="0085406C">
              <w:rPr>
                <w:rFonts w:ascii="Times New Roman" w:eastAsia="Times New Roman" w:hAnsi="Times New Roman"/>
                <w:snapToGrid w:val="0"/>
              </w:rPr>
              <w:t>neutropenija</w:t>
            </w:r>
            <w:proofErr w:type="spellEnd"/>
          </w:p>
        </w:tc>
        <w:tc>
          <w:tcPr>
            <w:tcW w:w="3260" w:type="dxa"/>
            <w:shd w:val="clear" w:color="auto" w:fill="auto"/>
          </w:tcPr>
          <w:p w14:paraId="21C0FAE5"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2</w:t>
            </w:r>
            <w:r w:rsidR="00794BE1" w:rsidRPr="004200DB">
              <w:rPr>
                <w:rFonts w:ascii="Times New Roman" w:eastAsia="Times New Roman" w:hAnsi="Times New Roman"/>
                <w:snapToGrid w:val="0"/>
              </w:rPr>
              <w:t>,</w:t>
            </w:r>
            <w:r w:rsidRPr="004200DB">
              <w:rPr>
                <w:rFonts w:ascii="Times New Roman" w:eastAsia="Times New Roman" w:hAnsi="Times New Roman"/>
                <w:snapToGrid w:val="0"/>
              </w:rPr>
              <w:t>4</w:t>
            </w:r>
          </w:p>
        </w:tc>
        <w:tc>
          <w:tcPr>
            <w:tcW w:w="3339" w:type="dxa"/>
            <w:shd w:val="clear" w:color="auto" w:fill="auto"/>
          </w:tcPr>
          <w:p w14:paraId="0365F6AA" w14:textId="77777777" w:rsidR="00D14734" w:rsidRPr="00037DA8" w:rsidRDefault="00D14734" w:rsidP="00794BE1">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9</w:t>
            </w:r>
            <w:r w:rsidR="00794BE1" w:rsidRPr="00037DA8">
              <w:rPr>
                <w:rFonts w:ascii="Times New Roman" w:eastAsia="Times New Roman" w:hAnsi="Times New Roman"/>
                <w:snapToGrid w:val="0"/>
              </w:rPr>
              <w:t>,</w:t>
            </w:r>
            <w:r w:rsidRPr="00037DA8">
              <w:rPr>
                <w:rFonts w:ascii="Times New Roman" w:eastAsia="Times New Roman" w:hAnsi="Times New Roman"/>
                <w:snapToGrid w:val="0"/>
              </w:rPr>
              <w:t>6</w:t>
            </w:r>
          </w:p>
        </w:tc>
      </w:tr>
      <w:tr w:rsidR="00D14734" w:rsidRPr="00074768" w14:paraId="6214DE5D" w14:textId="77777777" w:rsidTr="00A86465">
        <w:tc>
          <w:tcPr>
            <w:tcW w:w="2802" w:type="dxa"/>
            <w:shd w:val="clear" w:color="auto" w:fill="auto"/>
          </w:tcPr>
          <w:p w14:paraId="204DF773" w14:textId="77777777" w:rsidR="00D14734" w:rsidRPr="00830259" w:rsidRDefault="00794BE1" w:rsidP="00794BE1">
            <w:pPr>
              <w:tabs>
                <w:tab w:val="left" w:pos="567"/>
              </w:tabs>
              <w:spacing w:after="0" w:line="260" w:lineRule="exact"/>
              <w:rPr>
                <w:rFonts w:ascii="Times New Roman" w:eastAsia="Times New Roman" w:hAnsi="Times New Roman"/>
                <w:snapToGrid w:val="0"/>
              </w:rPr>
            </w:pPr>
            <w:proofErr w:type="spellStart"/>
            <w:r w:rsidRPr="00074768">
              <w:rPr>
                <w:rFonts w:ascii="Times New Roman" w:eastAsia="Times New Roman" w:hAnsi="Times New Roman"/>
                <w:snapToGrid w:val="0"/>
              </w:rPr>
              <w:t>Neutropeninis</w:t>
            </w:r>
            <w:proofErr w:type="spellEnd"/>
            <w:r w:rsidRPr="00074768">
              <w:rPr>
                <w:rFonts w:ascii="Times New Roman" w:eastAsia="Times New Roman" w:hAnsi="Times New Roman"/>
                <w:snapToGrid w:val="0"/>
              </w:rPr>
              <w:t xml:space="preserve"> karščiavimas</w:t>
            </w:r>
          </w:p>
        </w:tc>
        <w:tc>
          <w:tcPr>
            <w:tcW w:w="3260" w:type="dxa"/>
            <w:shd w:val="clear" w:color="auto" w:fill="auto"/>
          </w:tcPr>
          <w:p w14:paraId="6A1ACB85"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2</w:t>
            </w:r>
            <w:r w:rsidR="00794BE1" w:rsidRPr="0085406C">
              <w:rPr>
                <w:rFonts w:ascii="Times New Roman" w:eastAsia="Times New Roman" w:hAnsi="Times New Roman"/>
                <w:snapToGrid w:val="0"/>
              </w:rPr>
              <w:t>,</w:t>
            </w:r>
            <w:r w:rsidRPr="0085406C">
              <w:rPr>
                <w:rFonts w:ascii="Times New Roman" w:eastAsia="Times New Roman" w:hAnsi="Times New Roman"/>
                <w:snapToGrid w:val="0"/>
              </w:rPr>
              <w:t>1</w:t>
            </w:r>
          </w:p>
        </w:tc>
        <w:tc>
          <w:tcPr>
            <w:tcW w:w="3339" w:type="dxa"/>
            <w:shd w:val="clear" w:color="auto" w:fill="auto"/>
          </w:tcPr>
          <w:p w14:paraId="20FE97DE" w14:textId="77777777" w:rsidR="00D14734" w:rsidRPr="00037DA8" w:rsidRDefault="00D14734" w:rsidP="00794BE1">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9</w:t>
            </w:r>
            <w:r w:rsidR="00794BE1" w:rsidRPr="004200DB">
              <w:rPr>
                <w:rFonts w:ascii="Times New Roman" w:eastAsia="Times New Roman" w:hAnsi="Times New Roman"/>
                <w:snapToGrid w:val="0"/>
              </w:rPr>
              <w:t>,</w:t>
            </w:r>
            <w:r w:rsidRPr="00037DA8">
              <w:rPr>
                <w:rFonts w:ascii="Times New Roman" w:eastAsia="Times New Roman" w:hAnsi="Times New Roman"/>
                <w:snapToGrid w:val="0"/>
              </w:rPr>
              <w:t>2</w:t>
            </w:r>
          </w:p>
        </w:tc>
      </w:tr>
      <w:tr w:rsidR="00D14734" w:rsidRPr="00074768" w14:paraId="6A84BD52" w14:textId="77777777" w:rsidTr="00A86465">
        <w:tc>
          <w:tcPr>
            <w:tcW w:w="2802" w:type="dxa"/>
            <w:shd w:val="clear" w:color="auto" w:fill="auto"/>
          </w:tcPr>
          <w:p w14:paraId="55A370E6" w14:textId="77777777" w:rsidR="00D14734" w:rsidRPr="00074768" w:rsidRDefault="00D14734" w:rsidP="00D14734">
            <w:pPr>
              <w:tabs>
                <w:tab w:val="left" w:pos="567"/>
              </w:tabs>
              <w:spacing w:after="0" w:line="260" w:lineRule="exact"/>
              <w:rPr>
                <w:rFonts w:ascii="Times New Roman" w:eastAsia="Times New Roman" w:hAnsi="Times New Roman"/>
                <w:snapToGrid w:val="0"/>
              </w:rPr>
            </w:pPr>
          </w:p>
        </w:tc>
        <w:tc>
          <w:tcPr>
            <w:tcW w:w="3260" w:type="dxa"/>
            <w:shd w:val="clear" w:color="auto" w:fill="auto"/>
          </w:tcPr>
          <w:p w14:paraId="7A2EFC98" w14:textId="77777777" w:rsidR="00D14734" w:rsidRPr="0085406C" w:rsidRDefault="00D14734" w:rsidP="00794BE1">
            <w:pPr>
              <w:tabs>
                <w:tab w:val="left" w:pos="567"/>
              </w:tabs>
              <w:spacing w:after="0" w:line="260" w:lineRule="exact"/>
              <w:jc w:val="center"/>
              <w:rPr>
                <w:rFonts w:ascii="Times New Roman" w:eastAsia="Times New Roman" w:hAnsi="Times New Roman"/>
                <w:snapToGrid w:val="0"/>
              </w:rPr>
            </w:pPr>
          </w:p>
        </w:tc>
        <w:tc>
          <w:tcPr>
            <w:tcW w:w="3339" w:type="dxa"/>
            <w:shd w:val="clear" w:color="auto" w:fill="auto"/>
          </w:tcPr>
          <w:p w14:paraId="779D59A3"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p>
        </w:tc>
      </w:tr>
      <w:tr w:rsidR="00D14734" w:rsidRPr="00074768" w14:paraId="4C633BA1" w14:textId="77777777" w:rsidTr="00A86465">
        <w:tc>
          <w:tcPr>
            <w:tcW w:w="2802" w:type="dxa"/>
            <w:shd w:val="clear" w:color="auto" w:fill="auto"/>
          </w:tcPr>
          <w:p w14:paraId="015FDD6B" w14:textId="72D7E652" w:rsidR="00D14734" w:rsidRPr="0085406C" w:rsidRDefault="00794BE1" w:rsidP="008E0C92">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b/>
                <w:bCs/>
                <w:snapToGrid w:val="0"/>
              </w:rPr>
              <w:t xml:space="preserve">Hematologiniai </w:t>
            </w:r>
            <w:r w:rsidR="008E0C92">
              <w:rPr>
                <w:rFonts w:ascii="Times New Roman" w:eastAsia="Times New Roman" w:hAnsi="Times New Roman"/>
                <w:b/>
                <w:bCs/>
                <w:snapToGrid w:val="0"/>
              </w:rPr>
              <w:t xml:space="preserve">pokyčiai </w:t>
            </w:r>
            <w:r w:rsidR="00D14734" w:rsidRPr="0085406C">
              <w:rPr>
                <w:rFonts w:ascii="Times New Roman" w:eastAsia="Times New Roman" w:hAnsi="Times New Roman"/>
                <w:snapToGrid w:val="0"/>
                <w:vertAlign w:val="superscript"/>
              </w:rPr>
              <w:t xml:space="preserve">c </w:t>
            </w:r>
            <w:r w:rsidR="00D14734" w:rsidRPr="0085406C">
              <w:rPr>
                <w:rFonts w:ascii="Times New Roman" w:eastAsia="Times New Roman" w:hAnsi="Times New Roman"/>
                <w:snapToGrid w:val="0"/>
              </w:rPr>
              <w:t>(%)</w:t>
            </w:r>
          </w:p>
        </w:tc>
        <w:tc>
          <w:tcPr>
            <w:tcW w:w="3260" w:type="dxa"/>
            <w:shd w:val="clear" w:color="auto" w:fill="auto"/>
          </w:tcPr>
          <w:p w14:paraId="55BDF131"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p>
        </w:tc>
        <w:tc>
          <w:tcPr>
            <w:tcW w:w="3339" w:type="dxa"/>
            <w:shd w:val="clear" w:color="auto" w:fill="auto"/>
          </w:tcPr>
          <w:p w14:paraId="72DABBCA" w14:textId="77777777" w:rsidR="00D14734" w:rsidRPr="004200DB" w:rsidRDefault="00D14734" w:rsidP="00794BE1">
            <w:pPr>
              <w:tabs>
                <w:tab w:val="left" w:pos="567"/>
              </w:tabs>
              <w:spacing w:after="0" w:line="260" w:lineRule="exact"/>
              <w:jc w:val="center"/>
              <w:rPr>
                <w:rFonts w:ascii="Times New Roman" w:eastAsia="Times New Roman" w:hAnsi="Times New Roman"/>
                <w:snapToGrid w:val="0"/>
              </w:rPr>
            </w:pPr>
          </w:p>
        </w:tc>
      </w:tr>
      <w:tr w:rsidR="00D14734" w:rsidRPr="00074768" w14:paraId="4795FC0C" w14:textId="77777777" w:rsidTr="00A86465">
        <w:tc>
          <w:tcPr>
            <w:tcW w:w="2802" w:type="dxa"/>
            <w:shd w:val="clear" w:color="auto" w:fill="auto"/>
          </w:tcPr>
          <w:p w14:paraId="15F36416" w14:textId="020841D6" w:rsidR="00D14734" w:rsidRPr="00830259" w:rsidRDefault="008F71CF" w:rsidP="00D1473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w:t>
            </w:r>
            <w:r w:rsidR="002B4F78">
              <w:rPr>
                <w:rFonts w:ascii="Times New Roman" w:eastAsia="Times New Roman" w:hAnsi="Times New Roman"/>
                <w:snapToGrid w:val="0"/>
              </w:rPr>
              <w:t> </w:t>
            </w:r>
            <w:r w:rsidRPr="00074768">
              <w:rPr>
                <w:rFonts w:ascii="Times New Roman" w:eastAsia="Times New Roman" w:hAnsi="Times New Roman"/>
                <w:snapToGrid w:val="0"/>
              </w:rPr>
              <w:t>3</w:t>
            </w:r>
            <w:r w:rsidR="002B4F78">
              <w:rPr>
                <w:rFonts w:ascii="Times New Roman" w:eastAsia="Times New Roman" w:hAnsi="Times New Roman"/>
                <w:snapToGrid w:val="0"/>
              </w:rPr>
              <w:t> </w:t>
            </w:r>
            <w:r w:rsidRPr="00074768">
              <w:rPr>
                <w:rFonts w:ascii="Times New Roman" w:eastAsia="Times New Roman" w:hAnsi="Times New Roman"/>
                <w:snapToGrid w:val="0"/>
              </w:rPr>
              <w:t xml:space="preserve">laipsnio </w:t>
            </w:r>
            <w:proofErr w:type="spellStart"/>
            <w:r w:rsidRPr="00074768">
              <w:rPr>
                <w:rFonts w:ascii="Times New Roman" w:eastAsia="Times New Roman" w:hAnsi="Times New Roman"/>
                <w:snapToGrid w:val="0"/>
              </w:rPr>
              <w:t>neutropenija</w:t>
            </w:r>
            <w:proofErr w:type="spellEnd"/>
          </w:p>
        </w:tc>
        <w:tc>
          <w:tcPr>
            <w:tcW w:w="3260" w:type="dxa"/>
            <w:shd w:val="clear" w:color="auto" w:fill="auto"/>
          </w:tcPr>
          <w:p w14:paraId="3553563E" w14:textId="77777777" w:rsidR="00D14734" w:rsidRPr="004200DB" w:rsidRDefault="00D14734" w:rsidP="008F71CF">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41</w:t>
            </w:r>
            <w:r w:rsidR="008F71CF" w:rsidRPr="0085406C">
              <w:rPr>
                <w:rFonts w:ascii="Times New Roman" w:eastAsia="Times New Roman" w:hAnsi="Times New Roman"/>
                <w:snapToGrid w:val="0"/>
              </w:rPr>
              <w:t>,</w:t>
            </w:r>
            <w:r w:rsidRPr="0085406C">
              <w:rPr>
                <w:rFonts w:ascii="Times New Roman" w:eastAsia="Times New Roman" w:hAnsi="Times New Roman"/>
                <w:snapToGrid w:val="0"/>
              </w:rPr>
              <w:t>8</w:t>
            </w:r>
          </w:p>
        </w:tc>
        <w:tc>
          <w:tcPr>
            <w:tcW w:w="3339" w:type="dxa"/>
            <w:shd w:val="clear" w:color="auto" w:fill="auto"/>
          </w:tcPr>
          <w:p w14:paraId="59204F7B" w14:textId="77777777" w:rsidR="00D14734" w:rsidRPr="00037DA8" w:rsidRDefault="00D14734" w:rsidP="008F71CF">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73</w:t>
            </w:r>
            <w:r w:rsidR="008F71CF" w:rsidRPr="004200DB">
              <w:rPr>
                <w:rFonts w:ascii="Times New Roman" w:eastAsia="Times New Roman" w:hAnsi="Times New Roman"/>
                <w:snapToGrid w:val="0"/>
              </w:rPr>
              <w:t>,</w:t>
            </w:r>
            <w:r w:rsidRPr="00037DA8">
              <w:rPr>
                <w:rFonts w:ascii="Times New Roman" w:eastAsia="Times New Roman" w:hAnsi="Times New Roman"/>
                <w:snapToGrid w:val="0"/>
              </w:rPr>
              <w:t>3</w:t>
            </w:r>
          </w:p>
        </w:tc>
      </w:tr>
      <w:tr w:rsidR="00D14734" w:rsidRPr="00074768" w14:paraId="5C1F74AE" w14:textId="77777777" w:rsidTr="00A86465">
        <w:tc>
          <w:tcPr>
            <w:tcW w:w="2802" w:type="dxa"/>
            <w:shd w:val="clear" w:color="auto" w:fill="auto"/>
          </w:tcPr>
          <w:p w14:paraId="5FF33472" w14:textId="4F1D3DBE" w:rsidR="00D14734" w:rsidRPr="00830259" w:rsidRDefault="008F71CF" w:rsidP="00D14734">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w:t>
            </w:r>
            <w:r w:rsidR="002B4F78">
              <w:rPr>
                <w:rFonts w:ascii="Times New Roman" w:eastAsia="Times New Roman" w:hAnsi="Times New Roman"/>
                <w:snapToGrid w:val="0"/>
              </w:rPr>
              <w:t> </w:t>
            </w:r>
            <w:r w:rsidRPr="00074768">
              <w:rPr>
                <w:rFonts w:ascii="Times New Roman" w:eastAsia="Times New Roman" w:hAnsi="Times New Roman"/>
                <w:snapToGrid w:val="0"/>
              </w:rPr>
              <w:t>3</w:t>
            </w:r>
            <w:r w:rsidR="002B4F78">
              <w:rPr>
                <w:rFonts w:ascii="Times New Roman" w:eastAsia="Times New Roman" w:hAnsi="Times New Roman"/>
                <w:snapToGrid w:val="0"/>
              </w:rPr>
              <w:t> </w:t>
            </w:r>
            <w:r w:rsidRPr="00074768">
              <w:rPr>
                <w:rFonts w:ascii="Times New Roman" w:eastAsia="Times New Roman" w:hAnsi="Times New Roman"/>
                <w:snapToGrid w:val="0"/>
              </w:rPr>
              <w:t>laipsnio anemija</w:t>
            </w:r>
          </w:p>
        </w:tc>
        <w:tc>
          <w:tcPr>
            <w:tcW w:w="3260" w:type="dxa"/>
            <w:shd w:val="clear" w:color="auto" w:fill="auto"/>
          </w:tcPr>
          <w:p w14:paraId="102FDC53" w14:textId="77777777" w:rsidR="00D14734" w:rsidRPr="004200DB" w:rsidRDefault="00D14734" w:rsidP="008F71CF">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9</w:t>
            </w:r>
            <w:r w:rsidR="008F71CF" w:rsidRPr="0085406C">
              <w:rPr>
                <w:rFonts w:ascii="Times New Roman" w:eastAsia="Times New Roman" w:hAnsi="Times New Roman"/>
                <w:snapToGrid w:val="0"/>
              </w:rPr>
              <w:t>,</w:t>
            </w:r>
            <w:r w:rsidRPr="0085406C">
              <w:rPr>
                <w:rFonts w:ascii="Times New Roman" w:eastAsia="Times New Roman" w:hAnsi="Times New Roman"/>
                <w:snapToGrid w:val="0"/>
              </w:rPr>
              <w:t>9</w:t>
            </w:r>
          </w:p>
        </w:tc>
        <w:tc>
          <w:tcPr>
            <w:tcW w:w="3339" w:type="dxa"/>
            <w:shd w:val="clear" w:color="auto" w:fill="auto"/>
          </w:tcPr>
          <w:p w14:paraId="172406A4" w14:textId="77777777" w:rsidR="00D14734" w:rsidRPr="00037DA8" w:rsidRDefault="00D14734" w:rsidP="008F71CF">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13</w:t>
            </w:r>
            <w:r w:rsidR="008F71CF" w:rsidRPr="004200DB">
              <w:rPr>
                <w:rFonts w:ascii="Times New Roman" w:eastAsia="Times New Roman" w:hAnsi="Times New Roman"/>
                <w:snapToGrid w:val="0"/>
              </w:rPr>
              <w:t>,</w:t>
            </w:r>
            <w:r w:rsidRPr="00037DA8">
              <w:rPr>
                <w:rFonts w:ascii="Times New Roman" w:eastAsia="Times New Roman" w:hAnsi="Times New Roman"/>
                <w:snapToGrid w:val="0"/>
              </w:rPr>
              <w:t>7</w:t>
            </w:r>
          </w:p>
        </w:tc>
      </w:tr>
      <w:tr w:rsidR="00D14734" w:rsidRPr="00074768" w14:paraId="73F64C6E" w14:textId="77777777" w:rsidTr="00A86465">
        <w:tc>
          <w:tcPr>
            <w:tcW w:w="2802" w:type="dxa"/>
            <w:tcBorders>
              <w:bottom w:val="single" w:sz="4" w:space="0" w:color="auto"/>
            </w:tcBorders>
            <w:shd w:val="clear" w:color="auto" w:fill="auto"/>
          </w:tcPr>
          <w:p w14:paraId="3DCC0C68" w14:textId="543EF921" w:rsidR="008F71CF" w:rsidRPr="00074768" w:rsidRDefault="008F71CF" w:rsidP="008F71CF">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w:t>
            </w:r>
            <w:r w:rsidR="002B4F78">
              <w:rPr>
                <w:rFonts w:ascii="Times New Roman" w:eastAsia="Times New Roman" w:hAnsi="Times New Roman"/>
                <w:snapToGrid w:val="0"/>
              </w:rPr>
              <w:t> </w:t>
            </w:r>
            <w:r w:rsidRPr="00074768">
              <w:rPr>
                <w:rFonts w:ascii="Times New Roman" w:eastAsia="Times New Roman" w:hAnsi="Times New Roman"/>
                <w:snapToGrid w:val="0"/>
              </w:rPr>
              <w:t>3</w:t>
            </w:r>
            <w:r w:rsidR="002B4F78">
              <w:rPr>
                <w:rFonts w:ascii="Times New Roman" w:eastAsia="Times New Roman" w:hAnsi="Times New Roman"/>
                <w:snapToGrid w:val="0"/>
              </w:rPr>
              <w:t> </w:t>
            </w:r>
            <w:r w:rsidRPr="00074768">
              <w:rPr>
                <w:rFonts w:ascii="Times New Roman" w:eastAsia="Times New Roman" w:hAnsi="Times New Roman"/>
                <w:snapToGrid w:val="0"/>
              </w:rPr>
              <w:t>laipsnio</w:t>
            </w:r>
          </w:p>
          <w:p w14:paraId="5804B969" w14:textId="77777777" w:rsidR="00D14734" w:rsidRPr="0085406C" w:rsidRDefault="008F71CF" w:rsidP="008F71CF">
            <w:pPr>
              <w:tabs>
                <w:tab w:val="left" w:pos="567"/>
              </w:tabs>
              <w:spacing w:after="0" w:line="260" w:lineRule="exact"/>
              <w:rPr>
                <w:rFonts w:ascii="Times New Roman" w:eastAsia="Times New Roman" w:hAnsi="Times New Roman"/>
                <w:snapToGrid w:val="0"/>
              </w:rPr>
            </w:pPr>
            <w:proofErr w:type="spellStart"/>
            <w:r w:rsidRPr="0085406C">
              <w:rPr>
                <w:rFonts w:ascii="Times New Roman" w:eastAsia="Times New Roman" w:hAnsi="Times New Roman"/>
                <w:snapToGrid w:val="0"/>
              </w:rPr>
              <w:t>trombocitopenija</w:t>
            </w:r>
            <w:proofErr w:type="spellEnd"/>
          </w:p>
        </w:tc>
        <w:tc>
          <w:tcPr>
            <w:tcW w:w="3260" w:type="dxa"/>
            <w:tcBorders>
              <w:bottom w:val="single" w:sz="4" w:space="0" w:color="auto"/>
            </w:tcBorders>
            <w:shd w:val="clear" w:color="auto" w:fill="auto"/>
          </w:tcPr>
          <w:p w14:paraId="4849E3DC" w14:textId="77777777" w:rsidR="00D14734" w:rsidRPr="004200DB" w:rsidRDefault="00D14734" w:rsidP="008F71CF">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2</w:t>
            </w:r>
            <w:r w:rsidR="008F71CF" w:rsidRPr="004200DB">
              <w:rPr>
                <w:rFonts w:ascii="Times New Roman" w:eastAsia="Times New Roman" w:hAnsi="Times New Roman"/>
                <w:snapToGrid w:val="0"/>
              </w:rPr>
              <w:t>,</w:t>
            </w:r>
            <w:r w:rsidRPr="004200DB">
              <w:rPr>
                <w:rFonts w:ascii="Times New Roman" w:eastAsia="Times New Roman" w:hAnsi="Times New Roman"/>
                <w:snapToGrid w:val="0"/>
              </w:rPr>
              <w:t>6</w:t>
            </w:r>
          </w:p>
        </w:tc>
        <w:tc>
          <w:tcPr>
            <w:tcW w:w="3339" w:type="dxa"/>
            <w:tcBorders>
              <w:bottom w:val="single" w:sz="4" w:space="0" w:color="auto"/>
            </w:tcBorders>
            <w:shd w:val="clear" w:color="auto" w:fill="auto"/>
          </w:tcPr>
          <w:p w14:paraId="55B74C48" w14:textId="77777777" w:rsidR="00D14734" w:rsidRPr="00037DA8" w:rsidRDefault="00D14734" w:rsidP="008F71CF">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4</w:t>
            </w:r>
            <w:r w:rsidR="008F71CF" w:rsidRPr="00037DA8">
              <w:rPr>
                <w:rFonts w:ascii="Times New Roman" w:eastAsia="Times New Roman" w:hAnsi="Times New Roman"/>
                <w:snapToGrid w:val="0"/>
              </w:rPr>
              <w:t>,</w:t>
            </w:r>
            <w:r w:rsidRPr="00037DA8">
              <w:rPr>
                <w:rFonts w:ascii="Times New Roman" w:eastAsia="Times New Roman" w:hAnsi="Times New Roman"/>
                <w:snapToGrid w:val="0"/>
              </w:rPr>
              <w:t>2</w:t>
            </w:r>
          </w:p>
        </w:tc>
      </w:tr>
      <w:tr w:rsidR="00D14734" w:rsidRPr="00074768" w14:paraId="3FFB9A4A" w14:textId="77777777" w:rsidTr="00A86465">
        <w:tc>
          <w:tcPr>
            <w:tcW w:w="9401" w:type="dxa"/>
            <w:gridSpan w:val="3"/>
            <w:tcBorders>
              <w:top w:val="single" w:sz="4" w:space="0" w:color="auto"/>
            </w:tcBorders>
            <w:shd w:val="clear" w:color="auto" w:fill="auto"/>
          </w:tcPr>
          <w:p w14:paraId="4ADF15D7" w14:textId="77777777" w:rsidR="008F71CF" w:rsidRPr="00D9458E" w:rsidRDefault="008F71CF" w:rsidP="008F71CF">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 xml:space="preserve">CBZ20 = </w:t>
            </w:r>
            <w:proofErr w:type="spellStart"/>
            <w:r w:rsidRPr="00074768">
              <w:rPr>
                <w:rFonts w:ascii="Times New Roman" w:eastAsia="Times New Roman" w:hAnsi="Times New Roman"/>
                <w:snapToGrid w:val="0"/>
              </w:rPr>
              <w:t>kabazitakselis</w:t>
            </w:r>
            <w:proofErr w:type="spellEnd"/>
            <w:r w:rsidRPr="00074768">
              <w:rPr>
                <w:rFonts w:ascii="Times New Roman" w:eastAsia="Times New Roman" w:hAnsi="Times New Roman"/>
                <w:snapToGrid w:val="0"/>
              </w:rPr>
              <w:t xml:space="preserve"> 20</w:t>
            </w:r>
            <w:r w:rsidR="00A86465" w:rsidRPr="00830259">
              <w:rPr>
                <w:rFonts w:ascii="Times New Roman" w:eastAsia="Times New Roman" w:hAnsi="Times New Roman"/>
                <w:snapToGrid w:val="0"/>
              </w:rPr>
              <w:t> </w:t>
            </w:r>
            <w:r w:rsidRPr="00830259">
              <w:rPr>
                <w:rFonts w:ascii="Times New Roman" w:eastAsia="Times New Roman" w:hAnsi="Times New Roman"/>
                <w:snapToGrid w:val="0"/>
              </w:rPr>
              <w:t>mg/m</w:t>
            </w:r>
            <w:r w:rsidRPr="00830259">
              <w:rPr>
                <w:rFonts w:ascii="Times New Roman" w:eastAsia="Times New Roman" w:hAnsi="Times New Roman"/>
                <w:snapToGrid w:val="0"/>
                <w:vertAlign w:val="superscript"/>
              </w:rPr>
              <w:t>2</w:t>
            </w:r>
            <w:r w:rsidRPr="00830259">
              <w:rPr>
                <w:rFonts w:ascii="Times New Roman" w:eastAsia="Times New Roman" w:hAnsi="Times New Roman"/>
                <w:snapToGrid w:val="0"/>
              </w:rPr>
              <w:t xml:space="preserve">, CBZ25 = </w:t>
            </w:r>
            <w:proofErr w:type="spellStart"/>
            <w:r w:rsidRPr="00830259">
              <w:rPr>
                <w:rFonts w:ascii="Times New Roman" w:eastAsia="Times New Roman" w:hAnsi="Times New Roman"/>
                <w:snapToGrid w:val="0"/>
              </w:rPr>
              <w:t>kabazitakselis</w:t>
            </w:r>
            <w:proofErr w:type="spellEnd"/>
            <w:r w:rsidRPr="00830259">
              <w:rPr>
                <w:rFonts w:ascii="Times New Roman" w:eastAsia="Times New Roman" w:hAnsi="Times New Roman"/>
                <w:snapToGrid w:val="0"/>
              </w:rPr>
              <w:t xml:space="preserve"> 25</w:t>
            </w:r>
            <w:r w:rsidR="00A86465" w:rsidRPr="00830259">
              <w:rPr>
                <w:rFonts w:ascii="Times New Roman" w:eastAsia="Times New Roman" w:hAnsi="Times New Roman"/>
                <w:snapToGrid w:val="0"/>
              </w:rPr>
              <w:t> </w:t>
            </w:r>
            <w:r w:rsidRPr="00830259">
              <w:rPr>
                <w:rFonts w:ascii="Times New Roman" w:eastAsia="Times New Roman" w:hAnsi="Times New Roman"/>
                <w:snapToGrid w:val="0"/>
              </w:rPr>
              <w:t>mg/m</w:t>
            </w:r>
            <w:r w:rsidRPr="00BC3E54">
              <w:rPr>
                <w:rFonts w:ascii="Times New Roman" w:eastAsia="Times New Roman" w:hAnsi="Times New Roman"/>
                <w:snapToGrid w:val="0"/>
                <w:vertAlign w:val="superscript"/>
              </w:rPr>
              <w:t>2</w:t>
            </w:r>
            <w:r w:rsidRPr="00D9458E">
              <w:rPr>
                <w:rFonts w:ascii="Times New Roman" w:eastAsia="Times New Roman" w:hAnsi="Times New Roman"/>
                <w:snapToGrid w:val="0"/>
              </w:rPr>
              <w:t>, PRED = prednizonas/prednizolonas.</w:t>
            </w:r>
          </w:p>
          <w:p w14:paraId="6B55B8F0" w14:textId="10B63CF7" w:rsidR="008F71CF" w:rsidRPr="004200DB" w:rsidRDefault="008F71CF" w:rsidP="008F71CF">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i/>
                <w:iCs/>
                <w:snapToGrid w:val="0"/>
                <w:vertAlign w:val="superscript"/>
              </w:rPr>
              <w:t>a</w:t>
            </w:r>
            <w:r w:rsidRPr="0085406C">
              <w:rPr>
                <w:rFonts w:ascii="Times New Roman" w:eastAsia="Times New Roman" w:hAnsi="Times New Roman"/>
                <w:i/>
                <w:iCs/>
                <w:snapToGrid w:val="0"/>
              </w:rPr>
              <w:t xml:space="preserve"> </w:t>
            </w:r>
            <w:r w:rsidRPr="0085406C">
              <w:rPr>
                <w:rFonts w:ascii="Times New Roman" w:eastAsia="Times New Roman" w:hAnsi="Times New Roman"/>
                <w:snapToGrid w:val="0"/>
              </w:rPr>
              <w:t xml:space="preserve">Visų laipsnių nepageidaujamos reakcijos, kurių dažnis buvo </w:t>
            </w:r>
            <w:r w:rsidRPr="004200DB">
              <w:rPr>
                <w:rFonts w:ascii="Times New Roman" w:eastAsia="Times New Roman" w:hAnsi="Times New Roman"/>
                <w:snapToGrid w:val="0"/>
              </w:rPr>
              <w:t>didesnis kaip 10</w:t>
            </w:r>
            <w:r w:rsidR="002B4F78">
              <w:rPr>
                <w:rFonts w:ascii="Times New Roman" w:eastAsia="Times New Roman" w:hAnsi="Times New Roman"/>
                <w:snapToGrid w:val="0"/>
              </w:rPr>
              <w:t> </w:t>
            </w:r>
            <w:r w:rsidRPr="004200DB">
              <w:rPr>
                <w:rFonts w:ascii="Times New Roman" w:eastAsia="Times New Roman" w:hAnsi="Times New Roman"/>
                <w:snapToGrid w:val="0"/>
              </w:rPr>
              <w:t>%</w:t>
            </w:r>
          </w:p>
          <w:p w14:paraId="52A4B53D" w14:textId="7DE0E422" w:rsidR="008F71CF" w:rsidRPr="00037DA8" w:rsidRDefault="008F71CF" w:rsidP="008F71CF">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i/>
                <w:iCs/>
                <w:snapToGrid w:val="0"/>
                <w:vertAlign w:val="superscript"/>
              </w:rPr>
              <w:t>b</w:t>
            </w:r>
            <w:r w:rsidRPr="00037DA8">
              <w:rPr>
                <w:rFonts w:ascii="Times New Roman" w:eastAsia="Times New Roman" w:hAnsi="Times New Roman"/>
                <w:i/>
                <w:iCs/>
                <w:snapToGrid w:val="0"/>
              </w:rPr>
              <w:t xml:space="preserve"> </w:t>
            </w:r>
            <w:r w:rsidRPr="00037DA8">
              <w:rPr>
                <w:rFonts w:ascii="Times New Roman" w:eastAsia="Times New Roman" w:hAnsi="Times New Roman"/>
                <w:snapToGrid w:val="0"/>
              </w:rPr>
              <w:t>≥</w:t>
            </w:r>
            <w:r w:rsidR="002B4F78">
              <w:rPr>
                <w:rFonts w:ascii="Times New Roman" w:eastAsia="Times New Roman" w:hAnsi="Times New Roman"/>
                <w:snapToGrid w:val="0"/>
              </w:rPr>
              <w:t> </w:t>
            </w:r>
            <w:r w:rsidRPr="00037DA8">
              <w:rPr>
                <w:rFonts w:ascii="Times New Roman" w:eastAsia="Times New Roman" w:hAnsi="Times New Roman"/>
                <w:snapToGrid w:val="0"/>
              </w:rPr>
              <w:t>3</w:t>
            </w:r>
            <w:r w:rsidR="002B4F78">
              <w:rPr>
                <w:rFonts w:ascii="Times New Roman" w:eastAsia="Times New Roman" w:hAnsi="Times New Roman"/>
                <w:snapToGrid w:val="0"/>
              </w:rPr>
              <w:t> </w:t>
            </w:r>
            <w:r w:rsidRPr="00037DA8">
              <w:rPr>
                <w:rFonts w:ascii="Times New Roman" w:eastAsia="Times New Roman" w:hAnsi="Times New Roman"/>
                <w:snapToGrid w:val="0"/>
              </w:rPr>
              <w:t>laipsnio nepageidaujamos reakcijos, kurių dažnis buvo didesnis kaip 5</w:t>
            </w:r>
            <w:r w:rsidR="002B4F78">
              <w:t> </w:t>
            </w:r>
            <w:r w:rsidRPr="00037DA8">
              <w:rPr>
                <w:rFonts w:ascii="Times New Roman" w:eastAsia="Times New Roman" w:hAnsi="Times New Roman"/>
                <w:snapToGrid w:val="0"/>
              </w:rPr>
              <w:t>%</w:t>
            </w:r>
          </w:p>
          <w:p w14:paraId="13C9CE4A" w14:textId="77777777" w:rsidR="00D14734" w:rsidRPr="00037DA8" w:rsidRDefault="008F71CF" w:rsidP="008F71CF">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i/>
                <w:iCs/>
                <w:snapToGrid w:val="0"/>
                <w:vertAlign w:val="superscript"/>
              </w:rPr>
              <w:t>c</w:t>
            </w:r>
            <w:r w:rsidRPr="00037DA8">
              <w:rPr>
                <w:rFonts w:ascii="Times New Roman" w:eastAsia="Times New Roman" w:hAnsi="Times New Roman"/>
                <w:i/>
                <w:iCs/>
                <w:snapToGrid w:val="0"/>
              </w:rPr>
              <w:t xml:space="preserve"> </w:t>
            </w:r>
            <w:r w:rsidRPr="00037DA8">
              <w:rPr>
                <w:rFonts w:ascii="Times New Roman" w:eastAsia="Times New Roman" w:hAnsi="Times New Roman"/>
                <w:snapToGrid w:val="0"/>
              </w:rPr>
              <w:t>Remiantis laboratoriniais rodmenimis</w:t>
            </w:r>
          </w:p>
        </w:tc>
      </w:tr>
    </w:tbl>
    <w:p w14:paraId="2706C812" w14:textId="77777777" w:rsidR="005B0F82" w:rsidRDefault="005B0F82" w:rsidP="005B0F82">
      <w:pPr>
        <w:tabs>
          <w:tab w:val="left" w:pos="567"/>
        </w:tabs>
        <w:spacing w:after="0" w:line="260" w:lineRule="exact"/>
        <w:rPr>
          <w:rFonts w:ascii="Times New Roman" w:eastAsia="Times New Roman" w:hAnsi="Times New Roman"/>
          <w:snapToGrid w:val="0"/>
        </w:rPr>
      </w:pPr>
    </w:p>
    <w:p w14:paraId="4A361582" w14:textId="6AB9A112" w:rsidR="005B0F82" w:rsidRDefault="005B0F82" w:rsidP="005B0F82">
      <w:pPr>
        <w:tabs>
          <w:tab w:val="left" w:pos="567"/>
        </w:tabs>
        <w:spacing w:after="0" w:line="260" w:lineRule="exact"/>
        <w:rPr>
          <w:rFonts w:ascii="Times New Roman" w:eastAsia="Times New Roman" w:hAnsi="Times New Roman"/>
          <w:snapToGrid w:val="0"/>
        </w:rPr>
      </w:pPr>
      <w:r w:rsidRPr="00D42852">
        <w:rPr>
          <w:rFonts w:ascii="Times New Roman" w:eastAsia="Times New Roman" w:hAnsi="Times New Roman"/>
          <w:snapToGrid w:val="0"/>
        </w:rPr>
        <w:t>Į perspektyvinį, daugianacionalinį, atsitiktinių imčių, aktyviai kontroliuotą atvirą IV fazės tyrimą (</w:t>
      </w:r>
      <w:r w:rsidRPr="00F175BE">
        <w:rPr>
          <w:rFonts w:ascii="Times New Roman" w:eastAsia="Times New Roman" w:hAnsi="Times New Roman"/>
          <w:i/>
          <w:iCs/>
          <w:snapToGrid w:val="0"/>
        </w:rPr>
        <w:t>LPS14201/CARD</w:t>
      </w:r>
      <w:r w:rsidRPr="00D42852">
        <w:rPr>
          <w:rFonts w:ascii="Times New Roman" w:eastAsia="Times New Roman" w:hAnsi="Times New Roman"/>
          <w:snapToGrid w:val="0"/>
        </w:rPr>
        <w:t xml:space="preserve"> tyrimą) įtraukti į kastraciją nereaguojančiu </w:t>
      </w:r>
      <w:proofErr w:type="spellStart"/>
      <w:r w:rsidRPr="00D42852">
        <w:rPr>
          <w:rFonts w:ascii="Times New Roman" w:eastAsia="Times New Roman" w:hAnsi="Times New Roman"/>
          <w:snapToGrid w:val="0"/>
        </w:rPr>
        <w:t>metastazavusiu</w:t>
      </w:r>
      <w:proofErr w:type="spellEnd"/>
      <w:r w:rsidRPr="00D42852">
        <w:rPr>
          <w:rFonts w:ascii="Times New Roman" w:eastAsia="Times New Roman" w:hAnsi="Times New Roman"/>
          <w:snapToGrid w:val="0"/>
        </w:rPr>
        <w:t xml:space="preserve"> prostatos vėžiu (angl. </w:t>
      </w:r>
      <w:proofErr w:type="spellStart"/>
      <w:r w:rsidRPr="00F175BE">
        <w:rPr>
          <w:rFonts w:ascii="Times New Roman" w:eastAsia="Times New Roman" w:hAnsi="Times New Roman"/>
          <w:i/>
          <w:iCs/>
          <w:snapToGrid w:val="0"/>
        </w:rPr>
        <w:t>metastatic</w:t>
      </w:r>
      <w:proofErr w:type="spellEnd"/>
      <w:r w:rsidRPr="00F175BE">
        <w:rPr>
          <w:rFonts w:ascii="Times New Roman" w:eastAsia="Times New Roman" w:hAnsi="Times New Roman"/>
          <w:i/>
          <w:iCs/>
          <w:snapToGrid w:val="0"/>
        </w:rPr>
        <w:t xml:space="preserve"> </w:t>
      </w:r>
      <w:proofErr w:type="spellStart"/>
      <w:r w:rsidRPr="00F175BE">
        <w:rPr>
          <w:rFonts w:ascii="Times New Roman" w:eastAsia="Times New Roman" w:hAnsi="Times New Roman"/>
          <w:i/>
          <w:iCs/>
          <w:snapToGrid w:val="0"/>
        </w:rPr>
        <w:t>castration</w:t>
      </w:r>
      <w:proofErr w:type="spellEnd"/>
      <w:r w:rsidRPr="00F175BE">
        <w:rPr>
          <w:rFonts w:ascii="Times New Roman" w:eastAsia="Times New Roman" w:hAnsi="Times New Roman"/>
          <w:i/>
          <w:iCs/>
          <w:snapToGrid w:val="0"/>
        </w:rPr>
        <w:t xml:space="preserve"> </w:t>
      </w:r>
      <w:proofErr w:type="spellStart"/>
      <w:r w:rsidRPr="00F175BE">
        <w:rPr>
          <w:rFonts w:ascii="Times New Roman" w:eastAsia="Times New Roman" w:hAnsi="Times New Roman"/>
          <w:i/>
          <w:iCs/>
          <w:snapToGrid w:val="0"/>
        </w:rPr>
        <w:t>resistant</w:t>
      </w:r>
      <w:proofErr w:type="spellEnd"/>
      <w:r w:rsidRPr="00F175BE">
        <w:rPr>
          <w:rFonts w:ascii="Times New Roman" w:eastAsia="Times New Roman" w:hAnsi="Times New Roman"/>
          <w:i/>
          <w:iCs/>
          <w:snapToGrid w:val="0"/>
        </w:rPr>
        <w:t xml:space="preserve"> </w:t>
      </w:r>
      <w:proofErr w:type="spellStart"/>
      <w:r w:rsidRPr="00F175BE">
        <w:rPr>
          <w:rFonts w:ascii="Times New Roman" w:eastAsia="Times New Roman" w:hAnsi="Times New Roman"/>
          <w:i/>
          <w:iCs/>
          <w:snapToGrid w:val="0"/>
        </w:rPr>
        <w:t>prostate</w:t>
      </w:r>
      <w:proofErr w:type="spellEnd"/>
      <w:r w:rsidRPr="00F175BE">
        <w:rPr>
          <w:rFonts w:ascii="Times New Roman" w:eastAsia="Times New Roman" w:hAnsi="Times New Roman"/>
          <w:i/>
          <w:iCs/>
          <w:snapToGrid w:val="0"/>
        </w:rPr>
        <w:t xml:space="preserve"> </w:t>
      </w:r>
      <w:proofErr w:type="spellStart"/>
      <w:r w:rsidRPr="00F175BE">
        <w:rPr>
          <w:rFonts w:ascii="Times New Roman" w:eastAsia="Times New Roman" w:hAnsi="Times New Roman"/>
          <w:i/>
          <w:iCs/>
          <w:snapToGrid w:val="0"/>
        </w:rPr>
        <w:t>cancer</w:t>
      </w:r>
      <w:proofErr w:type="spellEnd"/>
      <w:r w:rsidRPr="00F175BE">
        <w:rPr>
          <w:rFonts w:ascii="Times New Roman" w:eastAsia="Times New Roman" w:hAnsi="Times New Roman"/>
          <w:i/>
          <w:iCs/>
          <w:snapToGrid w:val="0"/>
        </w:rPr>
        <w:t xml:space="preserve">, </w:t>
      </w:r>
      <w:proofErr w:type="spellStart"/>
      <w:r w:rsidRPr="00F175BE">
        <w:rPr>
          <w:rFonts w:ascii="Times New Roman" w:eastAsia="Times New Roman" w:hAnsi="Times New Roman"/>
          <w:i/>
          <w:iCs/>
          <w:snapToGrid w:val="0"/>
        </w:rPr>
        <w:t>mCRPC</w:t>
      </w:r>
      <w:proofErr w:type="spellEnd"/>
      <w:r w:rsidRPr="00D42852">
        <w:rPr>
          <w:rFonts w:ascii="Times New Roman" w:eastAsia="Times New Roman" w:hAnsi="Times New Roman"/>
          <w:snapToGrid w:val="0"/>
        </w:rPr>
        <w:t xml:space="preserve">) sirgę 255 pacientai, anksčiau bet kokia tvarka gydyti pagal schemą, į kurią buvo įtrauktas </w:t>
      </w:r>
      <w:proofErr w:type="spellStart"/>
      <w:r w:rsidRPr="00D42852">
        <w:rPr>
          <w:rFonts w:ascii="Times New Roman" w:eastAsia="Times New Roman" w:hAnsi="Times New Roman"/>
          <w:snapToGrid w:val="0"/>
        </w:rPr>
        <w:t>docetakselis</w:t>
      </w:r>
      <w:proofErr w:type="spellEnd"/>
      <w:r w:rsidRPr="00D42852">
        <w:rPr>
          <w:rFonts w:ascii="Times New Roman" w:eastAsia="Times New Roman" w:hAnsi="Times New Roman"/>
          <w:snapToGrid w:val="0"/>
        </w:rPr>
        <w:t>, ir AR veikiančiu vaistiniu preparatu (</w:t>
      </w:r>
      <w:proofErr w:type="spellStart"/>
      <w:r w:rsidRPr="00D42852">
        <w:rPr>
          <w:rFonts w:ascii="Times New Roman" w:eastAsia="Times New Roman" w:hAnsi="Times New Roman"/>
          <w:snapToGrid w:val="0"/>
        </w:rPr>
        <w:t>abirateronu</w:t>
      </w:r>
      <w:proofErr w:type="spellEnd"/>
      <w:r w:rsidRPr="00D42852">
        <w:rPr>
          <w:rFonts w:ascii="Times New Roman" w:eastAsia="Times New Roman" w:hAnsi="Times New Roman"/>
          <w:snapToGrid w:val="0"/>
        </w:rPr>
        <w:t xml:space="preserve"> ar </w:t>
      </w:r>
      <w:proofErr w:type="spellStart"/>
      <w:r w:rsidRPr="00D42852">
        <w:rPr>
          <w:rFonts w:ascii="Times New Roman" w:eastAsia="Times New Roman" w:hAnsi="Times New Roman"/>
          <w:snapToGrid w:val="0"/>
        </w:rPr>
        <w:t>enzalutamidu</w:t>
      </w:r>
      <w:proofErr w:type="spellEnd"/>
      <w:r w:rsidRPr="00D42852">
        <w:rPr>
          <w:rFonts w:ascii="Times New Roman" w:eastAsia="Times New Roman" w:hAnsi="Times New Roman"/>
          <w:snapToGrid w:val="0"/>
        </w:rPr>
        <w:t>, kai liga progresavo 12</w:t>
      </w:r>
      <w:r w:rsidR="002B4F78">
        <w:rPr>
          <w:rFonts w:ascii="Times New Roman" w:eastAsia="Times New Roman" w:hAnsi="Times New Roman"/>
          <w:snapToGrid w:val="0"/>
        </w:rPr>
        <w:t> </w:t>
      </w:r>
      <w:r w:rsidRPr="00D42852">
        <w:rPr>
          <w:rFonts w:ascii="Times New Roman" w:eastAsia="Times New Roman" w:hAnsi="Times New Roman"/>
          <w:snapToGrid w:val="0"/>
        </w:rPr>
        <w:t>mėnesių laikotarpiu nuo gydymo pradžios), buvo suskirstyti į atsitiktines imtis ir buvo gydomi arba kas 3</w:t>
      </w:r>
      <w:r w:rsidR="002B4F78">
        <w:rPr>
          <w:rFonts w:ascii="Times New Roman" w:eastAsia="Times New Roman" w:hAnsi="Times New Roman"/>
          <w:snapToGrid w:val="0"/>
        </w:rPr>
        <w:t> </w:t>
      </w:r>
      <w:r w:rsidRPr="00D42852">
        <w:rPr>
          <w:rFonts w:ascii="Times New Roman" w:eastAsia="Times New Roman" w:hAnsi="Times New Roman"/>
          <w:snapToGrid w:val="0"/>
        </w:rPr>
        <w:t>savaites vartojama 25</w:t>
      </w:r>
      <w:r>
        <w:rPr>
          <w:rFonts w:ascii="Times New Roman" w:eastAsia="Times New Roman" w:hAnsi="Times New Roman"/>
          <w:snapToGrid w:val="0"/>
        </w:rPr>
        <w:t> </w:t>
      </w:r>
      <w:r w:rsidRPr="00D42852">
        <w:rPr>
          <w:rFonts w:ascii="Times New Roman" w:eastAsia="Times New Roman" w:hAnsi="Times New Roman"/>
          <w:snapToGrid w:val="0"/>
        </w:rPr>
        <w:t>mg/m</w:t>
      </w:r>
      <w:r w:rsidRPr="00F175BE">
        <w:rPr>
          <w:rFonts w:ascii="Times New Roman" w:eastAsia="Times New Roman" w:hAnsi="Times New Roman"/>
          <w:snapToGrid w:val="0"/>
          <w:vertAlign w:val="superscript"/>
        </w:rPr>
        <w:t>2</w:t>
      </w:r>
      <w:r w:rsidRPr="00D42852">
        <w:rPr>
          <w:rFonts w:ascii="Times New Roman" w:eastAsia="Times New Roman" w:hAnsi="Times New Roman"/>
          <w:snapToGrid w:val="0"/>
        </w:rPr>
        <w:t xml:space="preserve"> </w:t>
      </w:r>
      <w:proofErr w:type="spellStart"/>
      <w:r>
        <w:rPr>
          <w:rFonts w:ascii="Times New Roman" w:eastAsia="Times New Roman" w:hAnsi="Times New Roman"/>
          <w:snapToGrid w:val="0"/>
        </w:rPr>
        <w:t>kabazi</w:t>
      </w:r>
      <w:r w:rsidR="00205FA5">
        <w:rPr>
          <w:rFonts w:ascii="Times New Roman" w:eastAsia="Times New Roman" w:hAnsi="Times New Roman"/>
          <w:snapToGrid w:val="0"/>
        </w:rPr>
        <w:t>t</w:t>
      </w:r>
      <w:r>
        <w:rPr>
          <w:rFonts w:ascii="Times New Roman" w:eastAsia="Times New Roman" w:hAnsi="Times New Roman"/>
          <w:snapToGrid w:val="0"/>
        </w:rPr>
        <w:t>akselio</w:t>
      </w:r>
      <w:proofErr w:type="spellEnd"/>
      <w:r w:rsidRPr="00D42852">
        <w:rPr>
          <w:rFonts w:ascii="Times New Roman" w:eastAsia="Times New Roman" w:hAnsi="Times New Roman"/>
          <w:snapToGrid w:val="0"/>
        </w:rPr>
        <w:t xml:space="preserve"> doze, kartu vartojant 10</w:t>
      </w:r>
      <w:r>
        <w:rPr>
          <w:rFonts w:ascii="Times New Roman" w:eastAsia="Times New Roman" w:hAnsi="Times New Roman"/>
          <w:snapToGrid w:val="0"/>
        </w:rPr>
        <w:t> </w:t>
      </w:r>
      <w:r w:rsidRPr="00D42852">
        <w:rPr>
          <w:rFonts w:ascii="Times New Roman" w:eastAsia="Times New Roman" w:hAnsi="Times New Roman"/>
          <w:snapToGrid w:val="0"/>
        </w:rPr>
        <w:t>mg prednizono ar prednizolono paros dozę (n=129), arba AR veikiančiais vaistiniais preparatais (</w:t>
      </w:r>
      <w:proofErr w:type="spellStart"/>
      <w:r w:rsidRPr="00D42852">
        <w:rPr>
          <w:rFonts w:ascii="Times New Roman" w:eastAsia="Times New Roman" w:hAnsi="Times New Roman"/>
          <w:snapToGrid w:val="0"/>
        </w:rPr>
        <w:t>abirateronu</w:t>
      </w:r>
      <w:proofErr w:type="spellEnd"/>
      <w:r w:rsidRPr="00D42852">
        <w:rPr>
          <w:rFonts w:ascii="Times New Roman" w:eastAsia="Times New Roman" w:hAnsi="Times New Roman"/>
          <w:snapToGrid w:val="0"/>
        </w:rPr>
        <w:t xml:space="preserve"> 1000</w:t>
      </w:r>
      <w:r w:rsidR="0033316C">
        <w:rPr>
          <w:rFonts w:ascii="Times New Roman" w:eastAsia="Times New Roman" w:hAnsi="Times New Roman"/>
          <w:snapToGrid w:val="0"/>
        </w:rPr>
        <w:t> </w:t>
      </w:r>
      <w:r w:rsidRPr="00D42852">
        <w:rPr>
          <w:rFonts w:ascii="Times New Roman" w:eastAsia="Times New Roman" w:hAnsi="Times New Roman"/>
          <w:snapToGrid w:val="0"/>
        </w:rPr>
        <w:t>mg vieną kartą per parą kartu su du kartus per parą vartojama 5</w:t>
      </w:r>
      <w:r w:rsidR="0033316C">
        <w:rPr>
          <w:rFonts w:ascii="Times New Roman" w:eastAsia="Times New Roman" w:hAnsi="Times New Roman"/>
          <w:snapToGrid w:val="0"/>
        </w:rPr>
        <w:t> </w:t>
      </w:r>
      <w:r w:rsidRPr="00D42852">
        <w:rPr>
          <w:rFonts w:ascii="Times New Roman" w:eastAsia="Times New Roman" w:hAnsi="Times New Roman"/>
          <w:snapToGrid w:val="0"/>
        </w:rPr>
        <w:t>mg prednizono ar prednizolono doze arba kartą per parą vartojama 160</w:t>
      </w:r>
      <w:r>
        <w:rPr>
          <w:rFonts w:ascii="Times New Roman" w:eastAsia="Times New Roman" w:hAnsi="Times New Roman"/>
          <w:snapToGrid w:val="0"/>
        </w:rPr>
        <w:t> </w:t>
      </w:r>
      <w:r w:rsidRPr="00D42852">
        <w:rPr>
          <w:rFonts w:ascii="Times New Roman" w:eastAsia="Times New Roman" w:hAnsi="Times New Roman"/>
          <w:snapToGrid w:val="0"/>
        </w:rPr>
        <w:t xml:space="preserve">mg </w:t>
      </w:r>
      <w:proofErr w:type="spellStart"/>
      <w:r w:rsidRPr="00D42852">
        <w:rPr>
          <w:rFonts w:ascii="Times New Roman" w:eastAsia="Times New Roman" w:hAnsi="Times New Roman"/>
          <w:snapToGrid w:val="0"/>
        </w:rPr>
        <w:t>enzalutamido</w:t>
      </w:r>
      <w:proofErr w:type="spellEnd"/>
      <w:r w:rsidRPr="00D42852">
        <w:rPr>
          <w:rFonts w:ascii="Times New Roman" w:eastAsia="Times New Roman" w:hAnsi="Times New Roman"/>
          <w:snapToGrid w:val="0"/>
        </w:rPr>
        <w:t xml:space="preserve"> doze) (n=126). Pagrindinė vertinamoji baigtis buvo išgyvenamumas be </w:t>
      </w:r>
      <w:proofErr w:type="spellStart"/>
      <w:r w:rsidRPr="00D42852">
        <w:rPr>
          <w:rFonts w:ascii="Times New Roman" w:eastAsia="Times New Roman" w:hAnsi="Times New Roman"/>
          <w:snapToGrid w:val="0"/>
        </w:rPr>
        <w:t>radiografinio</w:t>
      </w:r>
      <w:proofErr w:type="spellEnd"/>
      <w:r w:rsidRPr="00D42852">
        <w:rPr>
          <w:rFonts w:ascii="Times New Roman" w:eastAsia="Times New Roman" w:hAnsi="Times New Roman"/>
          <w:snapToGrid w:val="0"/>
        </w:rPr>
        <w:t xml:space="preserve"> ligos progresavimo (IBRLP) pagal Prostatos vėžio darbo grupės-2 (angl. </w:t>
      </w:r>
      <w:proofErr w:type="spellStart"/>
      <w:r w:rsidRPr="00F175BE">
        <w:rPr>
          <w:rFonts w:ascii="Times New Roman" w:eastAsia="Times New Roman" w:hAnsi="Times New Roman"/>
          <w:i/>
          <w:iCs/>
          <w:snapToGrid w:val="0"/>
        </w:rPr>
        <w:t>Prostate</w:t>
      </w:r>
      <w:proofErr w:type="spellEnd"/>
      <w:r w:rsidRPr="00F175BE">
        <w:rPr>
          <w:rFonts w:ascii="Times New Roman" w:eastAsia="Times New Roman" w:hAnsi="Times New Roman"/>
          <w:i/>
          <w:iCs/>
          <w:snapToGrid w:val="0"/>
        </w:rPr>
        <w:t xml:space="preserve"> </w:t>
      </w:r>
      <w:proofErr w:type="spellStart"/>
      <w:r w:rsidRPr="00F175BE">
        <w:rPr>
          <w:rFonts w:ascii="Times New Roman" w:eastAsia="Times New Roman" w:hAnsi="Times New Roman"/>
          <w:i/>
          <w:iCs/>
          <w:snapToGrid w:val="0"/>
        </w:rPr>
        <w:t>Cancer</w:t>
      </w:r>
      <w:proofErr w:type="spellEnd"/>
      <w:r w:rsidRPr="00F175BE">
        <w:rPr>
          <w:rFonts w:ascii="Times New Roman" w:eastAsia="Times New Roman" w:hAnsi="Times New Roman"/>
          <w:i/>
          <w:iCs/>
          <w:snapToGrid w:val="0"/>
        </w:rPr>
        <w:t xml:space="preserve"> </w:t>
      </w:r>
      <w:proofErr w:type="spellStart"/>
      <w:r w:rsidRPr="00F175BE">
        <w:rPr>
          <w:rFonts w:ascii="Times New Roman" w:eastAsia="Times New Roman" w:hAnsi="Times New Roman"/>
          <w:i/>
          <w:iCs/>
          <w:snapToGrid w:val="0"/>
        </w:rPr>
        <w:t>Working</w:t>
      </w:r>
      <w:proofErr w:type="spellEnd"/>
      <w:r w:rsidRPr="00F175BE">
        <w:rPr>
          <w:rFonts w:ascii="Times New Roman" w:eastAsia="Times New Roman" w:hAnsi="Times New Roman"/>
          <w:i/>
          <w:iCs/>
          <w:snapToGrid w:val="0"/>
        </w:rPr>
        <w:t xml:space="preserve"> Group-2, PCWG2</w:t>
      </w:r>
      <w:r w:rsidRPr="00D42852">
        <w:rPr>
          <w:rFonts w:ascii="Times New Roman" w:eastAsia="Times New Roman" w:hAnsi="Times New Roman"/>
          <w:snapToGrid w:val="0"/>
        </w:rPr>
        <w:t>) apibūdinimą. Antr</w:t>
      </w:r>
      <w:r>
        <w:rPr>
          <w:rFonts w:ascii="Times New Roman" w:eastAsia="Times New Roman" w:hAnsi="Times New Roman"/>
          <w:snapToGrid w:val="0"/>
        </w:rPr>
        <w:t>aeilės</w:t>
      </w:r>
      <w:r w:rsidRPr="00D42852">
        <w:rPr>
          <w:rFonts w:ascii="Times New Roman" w:eastAsia="Times New Roman" w:hAnsi="Times New Roman"/>
          <w:snapToGrid w:val="0"/>
        </w:rPr>
        <w:t xml:space="preserve"> vertinamosios baigtys buvo bendrasis išgyvenamumas, išgyvenamumas be ligos progresavimo, PSA reakcija ir naviko reakcija.</w:t>
      </w:r>
    </w:p>
    <w:p w14:paraId="17E3F432" w14:textId="085FE3AE" w:rsidR="005B0F82" w:rsidRDefault="005B0F82" w:rsidP="005B0F82">
      <w:pPr>
        <w:tabs>
          <w:tab w:val="left" w:pos="567"/>
        </w:tabs>
        <w:spacing w:after="0" w:line="260" w:lineRule="exact"/>
        <w:rPr>
          <w:rFonts w:ascii="Times New Roman" w:eastAsia="Times New Roman" w:hAnsi="Times New Roman"/>
          <w:snapToGrid w:val="0"/>
        </w:rPr>
      </w:pPr>
      <w:r w:rsidRPr="00E03A28">
        <w:rPr>
          <w:rFonts w:ascii="Times New Roman" w:eastAsia="Times New Roman" w:hAnsi="Times New Roman"/>
          <w:snapToGrid w:val="0"/>
        </w:rPr>
        <w:t>Demografiniai ir ligos duomenys gydymo grupėse buvo panašūs. Tyrimo pradžioje bendroji amžiaus mediana buvo 70</w:t>
      </w:r>
      <w:r w:rsidR="0033316C">
        <w:rPr>
          <w:rFonts w:ascii="Times New Roman" w:eastAsia="Times New Roman" w:hAnsi="Times New Roman"/>
          <w:snapToGrid w:val="0"/>
        </w:rPr>
        <w:t> </w:t>
      </w:r>
      <w:r w:rsidRPr="00E03A28">
        <w:rPr>
          <w:rFonts w:ascii="Times New Roman" w:eastAsia="Times New Roman" w:hAnsi="Times New Roman"/>
          <w:snapToGrid w:val="0"/>
        </w:rPr>
        <w:t>metų, 95</w:t>
      </w:r>
      <w:r>
        <w:rPr>
          <w:rFonts w:ascii="Times New Roman" w:eastAsia="Times New Roman" w:hAnsi="Times New Roman"/>
          <w:snapToGrid w:val="0"/>
        </w:rPr>
        <w:t> </w:t>
      </w:r>
      <w:r w:rsidRPr="00E03A28">
        <w:rPr>
          <w:rFonts w:ascii="Times New Roman" w:eastAsia="Times New Roman" w:hAnsi="Times New Roman"/>
          <w:snapToGrid w:val="0"/>
        </w:rPr>
        <w:t xml:space="preserve">% pacientų ECOG funkcinės būklės įvertinimas buvo 0-1 ir </w:t>
      </w:r>
      <w:proofErr w:type="spellStart"/>
      <w:r w:rsidRPr="00E03A28">
        <w:rPr>
          <w:rFonts w:ascii="Times New Roman" w:eastAsia="Times New Roman" w:hAnsi="Times New Roman"/>
          <w:snapToGrid w:val="0"/>
        </w:rPr>
        <w:t>Gleason</w:t>
      </w:r>
      <w:proofErr w:type="spellEnd"/>
      <w:r w:rsidRPr="00E03A28">
        <w:rPr>
          <w:rFonts w:ascii="Times New Roman" w:eastAsia="Times New Roman" w:hAnsi="Times New Roman"/>
          <w:snapToGrid w:val="0"/>
        </w:rPr>
        <w:t xml:space="preserve"> skalės įvertinimo mediana buvo 8. Šešiasdešimt vienas procentas (61</w:t>
      </w:r>
      <w:r>
        <w:rPr>
          <w:rFonts w:ascii="Times New Roman" w:eastAsia="Times New Roman" w:hAnsi="Times New Roman"/>
          <w:snapToGrid w:val="0"/>
        </w:rPr>
        <w:t> </w:t>
      </w:r>
      <w:r w:rsidRPr="00E03A28">
        <w:rPr>
          <w:rFonts w:ascii="Times New Roman" w:eastAsia="Times New Roman" w:hAnsi="Times New Roman"/>
          <w:snapToGrid w:val="0"/>
        </w:rPr>
        <w:t xml:space="preserve">%) jau buvo gydyti AR veikiančiu vaistiniu preparatu po </w:t>
      </w:r>
      <w:proofErr w:type="spellStart"/>
      <w:r w:rsidRPr="00E03A28">
        <w:rPr>
          <w:rFonts w:ascii="Times New Roman" w:eastAsia="Times New Roman" w:hAnsi="Times New Roman"/>
          <w:snapToGrid w:val="0"/>
        </w:rPr>
        <w:t>docetakselio</w:t>
      </w:r>
      <w:proofErr w:type="spellEnd"/>
      <w:r w:rsidRPr="00E03A28">
        <w:rPr>
          <w:rFonts w:ascii="Times New Roman" w:eastAsia="Times New Roman" w:hAnsi="Times New Roman"/>
          <w:snapToGrid w:val="0"/>
        </w:rPr>
        <w:t xml:space="preserve"> vartojimo.</w:t>
      </w:r>
    </w:p>
    <w:p w14:paraId="3E3932A6" w14:textId="77777777" w:rsidR="00246F1C" w:rsidRPr="00E03A28" w:rsidRDefault="00246F1C" w:rsidP="005B0F82">
      <w:pPr>
        <w:tabs>
          <w:tab w:val="left" w:pos="567"/>
        </w:tabs>
        <w:spacing w:after="0" w:line="260" w:lineRule="exact"/>
        <w:rPr>
          <w:rFonts w:ascii="Times New Roman" w:eastAsia="Times New Roman" w:hAnsi="Times New Roman"/>
          <w:snapToGrid w:val="0"/>
        </w:rPr>
      </w:pPr>
    </w:p>
    <w:p w14:paraId="1F1BDF15" w14:textId="3C9E0E5B" w:rsidR="005B0F82" w:rsidRPr="00E03A28" w:rsidRDefault="005B0F82" w:rsidP="005B0F82">
      <w:pPr>
        <w:tabs>
          <w:tab w:val="left" w:pos="567"/>
        </w:tabs>
        <w:spacing w:after="0" w:line="260" w:lineRule="exact"/>
        <w:rPr>
          <w:rFonts w:ascii="Times New Roman" w:eastAsia="Times New Roman" w:hAnsi="Times New Roman"/>
          <w:snapToGrid w:val="0"/>
        </w:rPr>
      </w:pPr>
      <w:r w:rsidRPr="00E03A28">
        <w:rPr>
          <w:rFonts w:ascii="Times New Roman" w:eastAsia="Times New Roman" w:hAnsi="Times New Roman"/>
          <w:snapToGrid w:val="0"/>
        </w:rPr>
        <w:t xml:space="preserve">Tyrimo metu buvo įrodytas poveikis pagrindinei vertinamajai baigčiai: IBRLP buvo reikšmingai ilgesnis vartojant </w:t>
      </w:r>
      <w:proofErr w:type="spellStart"/>
      <w:r>
        <w:rPr>
          <w:rFonts w:ascii="Times New Roman" w:eastAsia="Times New Roman" w:hAnsi="Times New Roman"/>
          <w:snapToGrid w:val="0"/>
        </w:rPr>
        <w:t>kabazitakselio</w:t>
      </w:r>
      <w:proofErr w:type="spellEnd"/>
      <w:r w:rsidRPr="00E03A28">
        <w:rPr>
          <w:rFonts w:ascii="Times New Roman" w:eastAsia="Times New Roman" w:hAnsi="Times New Roman"/>
          <w:snapToGrid w:val="0"/>
        </w:rPr>
        <w:t>, palyginti su AR veikiančiu vaistiniu preparatu (atitinkamai 8,0</w:t>
      </w:r>
      <w:r w:rsidR="0033316C">
        <w:rPr>
          <w:rFonts w:ascii="Times New Roman" w:eastAsia="Times New Roman" w:hAnsi="Times New Roman"/>
          <w:snapToGrid w:val="0"/>
        </w:rPr>
        <w:t> </w:t>
      </w:r>
      <w:r w:rsidRPr="00E03A28">
        <w:rPr>
          <w:rFonts w:ascii="Times New Roman" w:eastAsia="Times New Roman" w:hAnsi="Times New Roman"/>
          <w:snapToGrid w:val="0"/>
        </w:rPr>
        <w:t>mėnesio ir 3,7</w:t>
      </w:r>
      <w:r w:rsidR="0033316C">
        <w:rPr>
          <w:rFonts w:ascii="Times New Roman" w:eastAsia="Times New Roman" w:hAnsi="Times New Roman"/>
          <w:snapToGrid w:val="0"/>
        </w:rPr>
        <w:t> </w:t>
      </w:r>
      <w:r w:rsidRPr="00E03A28">
        <w:rPr>
          <w:rFonts w:ascii="Times New Roman" w:eastAsia="Times New Roman" w:hAnsi="Times New Roman"/>
          <w:snapToGrid w:val="0"/>
        </w:rPr>
        <w:t xml:space="preserve">mėnesio), o </w:t>
      </w:r>
      <w:proofErr w:type="spellStart"/>
      <w:r w:rsidRPr="00E03A28">
        <w:rPr>
          <w:rFonts w:ascii="Times New Roman" w:eastAsia="Times New Roman" w:hAnsi="Times New Roman"/>
          <w:snapToGrid w:val="0"/>
        </w:rPr>
        <w:t>radiografinio</w:t>
      </w:r>
      <w:proofErr w:type="spellEnd"/>
      <w:r w:rsidRPr="00E03A28">
        <w:rPr>
          <w:rFonts w:ascii="Times New Roman" w:eastAsia="Times New Roman" w:hAnsi="Times New Roman"/>
          <w:snapToGrid w:val="0"/>
        </w:rPr>
        <w:t xml:space="preserve"> progresavimo rizika sumažėjo 46</w:t>
      </w:r>
      <w:r>
        <w:rPr>
          <w:rFonts w:ascii="Times New Roman" w:eastAsia="Times New Roman" w:hAnsi="Times New Roman"/>
          <w:snapToGrid w:val="0"/>
        </w:rPr>
        <w:t> </w:t>
      </w:r>
      <w:r w:rsidRPr="00E03A28">
        <w:rPr>
          <w:rFonts w:ascii="Times New Roman" w:eastAsia="Times New Roman" w:hAnsi="Times New Roman"/>
          <w:snapToGrid w:val="0"/>
        </w:rPr>
        <w:t>%, palyginti su AR veikiančiu vaistiniu preparatu (žr.</w:t>
      </w:r>
      <w:r w:rsidR="002C2B24">
        <w:rPr>
          <w:rFonts w:ascii="Times New Roman" w:eastAsia="Times New Roman" w:hAnsi="Times New Roman"/>
          <w:snapToGrid w:val="0"/>
        </w:rPr>
        <w:t> </w:t>
      </w:r>
      <w:r w:rsidRPr="00E03A28">
        <w:rPr>
          <w:rFonts w:ascii="Times New Roman" w:eastAsia="Times New Roman" w:hAnsi="Times New Roman"/>
          <w:snapToGrid w:val="0"/>
        </w:rPr>
        <w:t>6</w:t>
      </w:r>
      <w:r w:rsidR="002C2B24">
        <w:rPr>
          <w:rFonts w:ascii="Times New Roman" w:eastAsia="Times New Roman" w:hAnsi="Times New Roman"/>
          <w:snapToGrid w:val="0"/>
        </w:rPr>
        <w:t> </w:t>
      </w:r>
      <w:r w:rsidRPr="00E03A28">
        <w:rPr>
          <w:rFonts w:ascii="Times New Roman" w:eastAsia="Times New Roman" w:hAnsi="Times New Roman"/>
          <w:snapToGrid w:val="0"/>
        </w:rPr>
        <w:t>lentelę ir 2</w:t>
      </w:r>
      <w:r w:rsidR="002C2B24">
        <w:rPr>
          <w:rFonts w:ascii="Times New Roman" w:eastAsia="Times New Roman" w:hAnsi="Times New Roman"/>
          <w:snapToGrid w:val="0"/>
        </w:rPr>
        <w:t> </w:t>
      </w:r>
      <w:r w:rsidRPr="00E03A28">
        <w:rPr>
          <w:rFonts w:ascii="Times New Roman" w:eastAsia="Times New Roman" w:hAnsi="Times New Roman"/>
          <w:snapToGrid w:val="0"/>
        </w:rPr>
        <w:t>paveikslą).</w:t>
      </w:r>
    </w:p>
    <w:p w14:paraId="0B49F5F5" w14:textId="77777777" w:rsidR="005B0F82" w:rsidRDefault="005B0F82" w:rsidP="005B0F82">
      <w:pPr>
        <w:tabs>
          <w:tab w:val="left" w:pos="567"/>
        </w:tabs>
        <w:spacing w:after="0" w:line="260" w:lineRule="exact"/>
        <w:rPr>
          <w:rFonts w:ascii="Times New Roman" w:eastAsia="Times New Roman" w:hAnsi="Times New Roman"/>
          <w:snapToGrid w:val="0"/>
        </w:rPr>
      </w:pPr>
    </w:p>
    <w:p w14:paraId="2F6D7CDD" w14:textId="169985A3" w:rsidR="005B0F82" w:rsidRDefault="005B0F82" w:rsidP="005B0F82">
      <w:pPr>
        <w:tabs>
          <w:tab w:val="left" w:pos="567"/>
        </w:tabs>
        <w:spacing w:after="0" w:line="260" w:lineRule="exact"/>
        <w:ind w:left="851" w:hanging="851"/>
        <w:rPr>
          <w:rFonts w:ascii="Times New Roman" w:eastAsia="Times New Roman" w:hAnsi="Times New Roman"/>
          <w:snapToGrid w:val="0"/>
        </w:rPr>
      </w:pPr>
      <w:r w:rsidRPr="00E03A28">
        <w:rPr>
          <w:rFonts w:ascii="Times New Roman" w:eastAsia="Times New Roman" w:hAnsi="Times New Roman"/>
          <w:snapToGrid w:val="0"/>
        </w:rPr>
        <w:t>6</w:t>
      </w:r>
      <w:r w:rsidR="002C2B24">
        <w:rPr>
          <w:rFonts w:ascii="Times New Roman" w:eastAsia="Times New Roman" w:hAnsi="Times New Roman"/>
          <w:snapToGrid w:val="0"/>
        </w:rPr>
        <w:t> </w:t>
      </w:r>
      <w:r w:rsidRPr="00E03A28">
        <w:rPr>
          <w:rFonts w:ascii="Times New Roman" w:eastAsia="Times New Roman" w:hAnsi="Times New Roman"/>
          <w:snapToGrid w:val="0"/>
        </w:rPr>
        <w:t xml:space="preserve">lentelė. </w:t>
      </w:r>
      <w:proofErr w:type="spellStart"/>
      <w:r>
        <w:rPr>
          <w:rFonts w:ascii="Times New Roman" w:eastAsia="Times New Roman" w:hAnsi="Times New Roman"/>
          <w:snapToGrid w:val="0"/>
        </w:rPr>
        <w:t>Kabazitakselio</w:t>
      </w:r>
      <w:proofErr w:type="spellEnd"/>
      <w:r w:rsidRPr="00E03A28">
        <w:rPr>
          <w:rFonts w:ascii="Times New Roman" w:eastAsia="Times New Roman" w:hAnsi="Times New Roman"/>
          <w:snapToGrid w:val="0"/>
        </w:rPr>
        <w:t xml:space="preserve"> veiksmingumas </w:t>
      </w:r>
      <w:r w:rsidRPr="00F175BE">
        <w:rPr>
          <w:rFonts w:ascii="Times New Roman" w:eastAsia="Times New Roman" w:hAnsi="Times New Roman"/>
          <w:i/>
          <w:iCs/>
          <w:snapToGrid w:val="0"/>
        </w:rPr>
        <w:t>CARD</w:t>
      </w:r>
      <w:r w:rsidRPr="00E03A28">
        <w:rPr>
          <w:rFonts w:ascii="Times New Roman" w:eastAsia="Times New Roman" w:hAnsi="Times New Roman"/>
          <w:snapToGrid w:val="0"/>
        </w:rPr>
        <w:t xml:space="preserve"> tyrimo metu gydant į kastraciją nereaguojančiu </w:t>
      </w:r>
      <w:proofErr w:type="spellStart"/>
      <w:r w:rsidRPr="00E03A28">
        <w:rPr>
          <w:rFonts w:ascii="Times New Roman" w:eastAsia="Times New Roman" w:hAnsi="Times New Roman"/>
          <w:snapToGrid w:val="0"/>
        </w:rPr>
        <w:t>metastazavusiu</w:t>
      </w:r>
      <w:proofErr w:type="spellEnd"/>
      <w:r w:rsidRPr="00E03A28">
        <w:rPr>
          <w:rFonts w:ascii="Times New Roman" w:eastAsia="Times New Roman" w:hAnsi="Times New Roman"/>
          <w:snapToGrid w:val="0"/>
        </w:rPr>
        <w:t xml:space="preserve"> prostatos vėžiu sergančius pacientus (</w:t>
      </w:r>
      <w:r>
        <w:rPr>
          <w:rFonts w:ascii="Times New Roman" w:eastAsia="Times New Roman" w:hAnsi="Times New Roman"/>
          <w:snapToGrid w:val="0"/>
        </w:rPr>
        <w:t>numatytos gydyti populiacijos</w:t>
      </w:r>
      <w:r w:rsidRPr="00E03A28">
        <w:rPr>
          <w:rFonts w:ascii="Times New Roman" w:eastAsia="Times New Roman" w:hAnsi="Times New Roman"/>
          <w:snapToGrid w:val="0"/>
        </w:rPr>
        <w:t xml:space="preserve"> analizė) – išgyvenamumas be </w:t>
      </w:r>
      <w:proofErr w:type="spellStart"/>
      <w:r w:rsidRPr="00E03A28">
        <w:rPr>
          <w:rFonts w:ascii="Times New Roman" w:eastAsia="Times New Roman" w:hAnsi="Times New Roman"/>
          <w:snapToGrid w:val="0"/>
        </w:rPr>
        <w:t>radiografinio</w:t>
      </w:r>
      <w:proofErr w:type="spellEnd"/>
      <w:r w:rsidRPr="00E03A28">
        <w:rPr>
          <w:rFonts w:ascii="Times New Roman" w:eastAsia="Times New Roman" w:hAnsi="Times New Roman"/>
          <w:snapToGrid w:val="0"/>
        </w:rPr>
        <w:t xml:space="preserve"> ligos progresavimo (IBRLP)</w:t>
      </w:r>
    </w:p>
    <w:p w14:paraId="165C015B" w14:textId="77777777" w:rsidR="005B0F82" w:rsidRDefault="005B0F82" w:rsidP="005B0F82">
      <w:pPr>
        <w:tabs>
          <w:tab w:val="left" w:pos="567"/>
        </w:tabs>
        <w:spacing w:after="0" w:line="260" w:lineRule="exact"/>
        <w:rPr>
          <w:rFonts w:ascii="Times New Roman" w:eastAsia="Times New Roman" w:hAnsi="Times New Roman"/>
          <w:snapToGrid w:val="0"/>
        </w:rPr>
      </w:pPr>
    </w:p>
    <w:tbl>
      <w:tblPr>
        <w:tblW w:w="9180" w:type="dxa"/>
        <w:tblBorders>
          <w:top w:val="single" w:sz="4" w:space="0" w:color="7F7F7F"/>
          <w:bottom w:val="single" w:sz="4" w:space="0" w:color="7F7F7F"/>
        </w:tblBorders>
        <w:tblLayout w:type="fixed"/>
        <w:tblLook w:val="04A0" w:firstRow="1" w:lastRow="0" w:firstColumn="1" w:lastColumn="0" w:noHBand="0" w:noVBand="1"/>
      </w:tblPr>
      <w:tblGrid>
        <w:gridCol w:w="3652"/>
        <w:gridCol w:w="2268"/>
        <w:gridCol w:w="3260"/>
      </w:tblGrid>
      <w:tr w:rsidR="005B0F82" w:rsidRPr="00D7232C" w14:paraId="6B17261A" w14:textId="77777777" w:rsidTr="00C326D9">
        <w:tc>
          <w:tcPr>
            <w:tcW w:w="3652" w:type="dxa"/>
            <w:tcBorders>
              <w:top w:val="single" w:sz="4" w:space="0" w:color="auto"/>
              <w:bottom w:val="single" w:sz="4" w:space="0" w:color="7F7F7F"/>
            </w:tcBorders>
            <w:shd w:val="clear" w:color="auto" w:fill="auto"/>
          </w:tcPr>
          <w:p w14:paraId="62ACB615" w14:textId="77777777" w:rsidR="005B0F82" w:rsidRPr="00D7232C" w:rsidRDefault="005B0F82" w:rsidP="00C326D9">
            <w:pPr>
              <w:autoSpaceDE w:val="0"/>
              <w:autoSpaceDN w:val="0"/>
              <w:adjustRightInd w:val="0"/>
              <w:spacing w:after="0" w:line="240" w:lineRule="auto"/>
              <w:rPr>
                <w:rFonts w:ascii="Times New Roman" w:eastAsia="Times New Roman" w:hAnsi="Times New Roman"/>
                <w:b/>
                <w:bCs/>
              </w:rPr>
            </w:pPr>
          </w:p>
        </w:tc>
        <w:tc>
          <w:tcPr>
            <w:tcW w:w="2268" w:type="dxa"/>
            <w:tcBorders>
              <w:top w:val="single" w:sz="4" w:space="0" w:color="auto"/>
              <w:bottom w:val="single" w:sz="4" w:space="0" w:color="auto"/>
            </w:tcBorders>
            <w:shd w:val="clear" w:color="auto" w:fill="auto"/>
          </w:tcPr>
          <w:p w14:paraId="16D21C0C" w14:textId="77777777" w:rsidR="005B0F82" w:rsidRPr="002B549A" w:rsidRDefault="005B0F82" w:rsidP="00C326D9">
            <w:pPr>
              <w:autoSpaceDE w:val="0"/>
              <w:autoSpaceDN w:val="0"/>
              <w:adjustRightInd w:val="0"/>
              <w:spacing w:after="0" w:line="240" w:lineRule="auto"/>
              <w:jc w:val="center"/>
              <w:rPr>
                <w:rFonts w:ascii="Times New Roman" w:hAnsi="Times New Roman"/>
                <w:lang w:val="pt-PT"/>
              </w:rPr>
            </w:pPr>
            <w:r w:rsidRPr="002B549A">
              <w:rPr>
                <w:rFonts w:ascii="Times New Roman" w:hAnsi="Times New Roman"/>
                <w:lang w:val="pt-PT"/>
              </w:rPr>
              <w:t xml:space="preserve">Kabazitakselis + prednizonas arba prednizolonas </w:t>
            </w:r>
          </w:p>
          <w:p w14:paraId="158AB8BA" w14:textId="77777777" w:rsidR="005B0F82" w:rsidRPr="002B549A" w:rsidRDefault="005B0F82" w:rsidP="00C326D9">
            <w:pPr>
              <w:autoSpaceDE w:val="0"/>
              <w:autoSpaceDN w:val="0"/>
              <w:adjustRightInd w:val="0"/>
              <w:spacing w:after="0" w:line="240" w:lineRule="auto"/>
              <w:jc w:val="center"/>
              <w:rPr>
                <w:rFonts w:ascii="Times New Roman" w:hAnsi="Times New Roman"/>
                <w:lang w:val="pt-PT"/>
              </w:rPr>
            </w:pPr>
            <w:r w:rsidRPr="002B549A">
              <w:rPr>
                <w:rFonts w:ascii="Times New Roman" w:hAnsi="Times New Roman"/>
                <w:lang w:val="pt-PT"/>
              </w:rPr>
              <w:t>+ G-KSF</w:t>
            </w:r>
          </w:p>
          <w:p w14:paraId="05DD6C2D" w14:textId="77777777" w:rsidR="005B0F82" w:rsidRPr="00D7232C" w:rsidRDefault="005B0F82" w:rsidP="00C326D9">
            <w:pPr>
              <w:autoSpaceDE w:val="0"/>
              <w:autoSpaceDN w:val="0"/>
              <w:adjustRightInd w:val="0"/>
              <w:spacing w:after="0" w:line="240" w:lineRule="auto"/>
              <w:jc w:val="center"/>
              <w:rPr>
                <w:rFonts w:ascii="Times New Roman" w:eastAsia="Times New Roman" w:hAnsi="Times New Roman"/>
                <w:bCs/>
                <w:lang w:val="en-US"/>
              </w:rPr>
            </w:pPr>
            <w:r w:rsidRPr="00D7232C">
              <w:rPr>
                <w:rFonts w:ascii="Times New Roman" w:eastAsia="Times New Roman" w:hAnsi="Times New Roman"/>
                <w:bCs/>
                <w:lang w:val="en-US"/>
              </w:rPr>
              <w:lastRenderedPageBreak/>
              <w:t>N=129</w:t>
            </w:r>
          </w:p>
        </w:tc>
        <w:tc>
          <w:tcPr>
            <w:tcW w:w="3260" w:type="dxa"/>
            <w:tcBorders>
              <w:top w:val="single" w:sz="4" w:space="0" w:color="auto"/>
              <w:bottom w:val="single" w:sz="4" w:space="0" w:color="auto"/>
            </w:tcBorders>
            <w:shd w:val="clear" w:color="auto" w:fill="auto"/>
          </w:tcPr>
          <w:p w14:paraId="1A8B9B18" w14:textId="77777777" w:rsidR="005B0F82" w:rsidRPr="002B549A" w:rsidRDefault="005B0F82" w:rsidP="00C326D9">
            <w:pPr>
              <w:autoSpaceDE w:val="0"/>
              <w:autoSpaceDN w:val="0"/>
              <w:adjustRightInd w:val="0"/>
              <w:spacing w:after="0" w:line="240" w:lineRule="auto"/>
              <w:jc w:val="center"/>
              <w:rPr>
                <w:rFonts w:ascii="Times New Roman" w:hAnsi="Times New Roman"/>
                <w:lang w:val="pt-PT"/>
              </w:rPr>
            </w:pPr>
            <w:r w:rsidRPr="002B549A">
              <w:rPr>
                <w:rFonts w:ascii="Times New Roman" w:hAnsi="Times New Roman"/>
                <w:lang w:val="pt-PT"/>
              </w:rPr>
              <w:lastRenderedPageBreak/>
              <w:t xml:space="preserve">AR-veikianti medžiaga: </w:t>
            </w:r>
          </w:p>
          <w:p w14:paraId="78C9A9A7" w14:textId="77777777" w:rsidR="005B0F82" w:rsidRPr="002B549A" w:rsidRDefault="005B0F82" w:rsidP="00C326D9">
            <w:pPr>
              <w:autoSpaceDE w:val="0"/>
              <w:autoSpaceDN w:val="0"/>
              <w:adjustRightInd w:val="0"/>
              <w:spacing w:after="0" w:line="240" w:lineRule="auto"/>
              <w:jc w:val="center"/>
              <w:rPr>
                <w:rFonts w:ascii="Times New Roman" w:hAnsi="Times New Roman"/>
                <w:lang w:val="pt-PT"/>
              </w:rPr>
            </w:pPr>
            <w:r w:rsidRPr="002B549A">
              <w:rPr>
                <w:rFonts w:ascii="Times New Roman" w:hAnsi="Times New Roman"/>
                <w:lang w:val="pt-PT"/>
              </w:rPr>
              <w:t>Abirateronas + prednizonas arba prednizolonas arba enzalutamidas</w:t>
            </w:r>
          </w:p>
          <w:p w14:paraId="6B7E65E0" w14:textId="77777777" w:rsidR="005B0F82" w:rsidRPr="00D7232C" w:rsidRDefault="005B0F82" w:rsidP="00C326D9">
            <w:pPr>
              <w:autoSpaceDE w:val="0"/>
              <w:autoSpaceDN w:val="0"/>
              <w:adjustRightInd w:val="0"/>
              <w:spacing w:after="0" w:line="240" w:lineRule="auto"/>
              <w:jc w:val="center"/>
              <w:rPr>
                <w:rFonts w:ascii="Times New Roman" w:eastAsia="Times New Roman" w:hAnsi="Times New Roman"/>
                <w:bCs/>
                <w:lang w:val="en-US"/>
              </w:rPr>
            </w:pPr>
            <w:r w:rsidRPr="00D7232C">
              <w:rPr>
                <w:rFonts w:ascii="Times New Roman" w:eastAsia="Times New Roman" w:hAnsi="Times New Roman"/>
                <w:bCs/>
                <w:lang w:val="en-US"/>
              </w:rPr>
              <w:t>N=126</w:t>
            </w:r>
          </w:p>
        </w:tc>
      </w:tr>
      <w:tr w:rsidR="005B0F82" w:rsidRPr="00D7232C" w14:paraId="01711F5A" w14:textId="77777777" w:rsidTr="00C326D9">
        <w:tc>
          <w:tcPr>
            <w:tcW w:w="3652" w:type="dxa"/>
            <w:tcBorders>
              <w:top w:val="single" w:sz="4" w:space="0" w:color="7F7F7F"/>
              <w:bottom w:val="nil"/>
            </w:tcBorders>
            <w:shd w:val="clear" w:color="auto" w:fill="auto"/>
          </w:tcPr>
          <w:p w14:paraId="721DAAA7" w14:textId="77777777" w:rsidR="005B0F82" w:rsidRPr="00D7232C" w:rsidRDefault="005B0F82" w:rsidP="00C326D9">
            <w:pPr>
              <w:autoSpaceDE w:val="0"/>
              <w:autoSpaceDN w:val="0"/>
              <w:adjustRightInd w:val="0"/>
              <w:spacing w:after="0" w:line="240" w:lineRule="auto"/>
              <w:rPr>
                <w:rFonts w:ascii="Times New Roman" w:eastAsia="Times New Roman" w:hAnsi="Times New Roman"/>
                <w:b/>
                <w:bCs/>
              </w:rPr>
            </w:pPr>
            <w:r w:rsidRPr="00A1477B">
              <w:rPr>
                <w:rFonts w:ascii="Times New Roman" w:eastAsia="Times New Roman" w:hAnsi="Times New Roman"/>
              </w:rPr>
              <w:t>Reiškinių skaičius iki duomenų rinkimo sustabdymo dienos (%)</w:t>
            </w:r>
          </w:p>
        </w:tc>
        <w:tc>
          <w:tcPr>
            <w:tcW w:w="2268" w:type="dxa"/>
            <w:tcBorders>
              <w:top w:val="single" w:sz="4" w:space="0" w:color="auto"/>
              <w:bottom w:val="nil"/>
            </w:tcBorders>
            <w:shd w:val="clear" w:color="auto" w:fill="auto"/>
          </w:tcPr>
          <w:p w14:paraId="7728C891" w14:textId="228DF26E" w:rsidR="005B0F82" w:rsidRPr="00D7232C" w:rsidRDefault="005B0F82" w:rsidP="00C326D9">
            <w:pPr>
              <w:autoSpaceDE w:val="0"/>
              <w:autoSpaceDN w:val="0"/>
              <w:adjustRightInd w:val="0"/>
              <w:spacing w:after="0" w:line="240" w:lineRule="auto"/>
              <w:jc w:val="center"/>
              <w:rPr>
                <w:rFonts w:ascii="Times New Roman" w:eastAsia="Times New Roman" w:hAnsi="Times New Roman"/>
                <w:b/>
                <w:bCs/>
                <w:lang w:val="en-US"/>
              </w:rPr>
            </w:pPr>
            <w:r w:rsidRPr="00A1477B">
              <w:rPr>
                <w:rFonts w:ascii="Times New Roman" w:eastAsia="Times New Roman" w:hAnsi="Times New Roman"/>
                <w:lang w:val="en-US"/>
              </w:rPr>
              <w:t>95</w:t>
            </w:r>
            <w:r w:rsidRPr="00A1477B">
              <w:rPr>
                <w:rFonts w:ascii="Times New Roman" w:eastAsia="Times New Roman" w:hAnsi="Times New Roman"/>
                <w:spacing w:val="-1"/>
                <w:lang w:val="en-US"/>
              </w:rPr>
              <w:t xml:space="preserve"> </w:t>
            </w:r>
            <w:r w:rsidRPr="00A1477B">
              <w:rPr>
                <w:rFonts w:ascii="Times New Roman" w:eastAsia="Times New Roman" w:hAnsi="Times New Roman"/>
                <w:lang w:val="en-US"/>
              </w:rPr>
              <w:t>(73,6</w:t>
            </w:r>
            <w:r w:rsidR="00EC4496" w:rsidRPr="00A1477B">
              <w:rPr>
                <w:rFonts w:ascii="Times New Roman" w:eastAsia="Times New Roman" w:hAnsi="Times New Roman"/>
                <w:lang w:val="en-US"/>
              </w:rPr>
              <w:t> </w:t>
            </w:r>
            <w:r w:rsidRPr="00A1477B">
              <w:rPr>
                <w:rFonts w:ascii="Times New Roman" w:eastAsia="Times New Roman" w:hAnsi="Times New Roman"/>
                <w:lang w:val="en-US"/>
              </w:rPr>
              <w:t>%)</w:t>
            </w:r>
          </w:p>
        </w:tc>
        <w:tc>
          <w:tcPr>
            <w:tcW w:w="3260" w:type="dxa"/>
            <w:tcBorders>
              <w:top w:val="single" w:sz="4" w:space="0" w:color="auto"/>
              <w:bottom w:val="nil"/>
            </w:tcBorders>
            <w:shd w:val="clear" w:color="auto" w:fill="auto"/>
          </w:tcPr>
          <w:p w14:paraId="72A36546" w14:textId="63B399D8" w:rsidR="005B0F82" w:rsidRPr="00D7232C" w:rsidRDefault="005B0F82" w:rsidP="00C326D9">
            <w:pPr>
              <w:autoSpaceDE w:val="0"/>
              <w:autoSpaceDN w:val="0"/>
              <w:adjustRightInd w:val="0"/>
              <w:spacing w:after="0" w:line="240" w:lineRule="auto"/>
              <w:jc w:val="center"/>
              <w:rPr>
                <w:rFonts w:ascii="Times New Roman" w:eastAsia="Times New Roman" w:hAnsi="Times New Roman"/>
                <w:b/>
                <w:bCs/>
                <w:lang w:val="en-US"/>
              </w:rPr>
            </w:pPr>
            <w:r w:rsidRPr="00A1477B">
              <w:rPr>
                <w:rFonts w:ascii="Times New Roman" w:eastAsia="Times New Roman" w:hAnsi="Times New Roman"/>
                <w:lang w:val="en-US"/>
              </w:rPr>
              <w:t>101</w:t>
            </w:r>
            <w:r w:rsidRPr="00A1477B">
              <w:rPr>
                <w:rFonts w:ascii="Times New Roman" w:eastAsia="Times New Roman" w:hAnsi="Times New Roman"/>
                <w:spacing w:val="-2"/>
                <w:lang w:val="en-US"/>
              </w:rPr>
              <w:t xml:space="preserve"> </w:t>
            </w:r>
            <w:r w:rsidRPr="00A1477B">
              <w:rPr>
                <w:rFonts w:ascii="Times New Roman" w:eastAsia="Times New Roman" w:hAnsi="Times New Roman"/>
                <w:lang w:val="en-US"/>
              </w:rPr>
              <w:t>(80,2</w:t>
            </w:r>
            <w:r w:rsidR="00EC4496" w:rsidRPr="00A1477B">
              <w:rPr>
                <w:rFonts w:ascii="Times New Roman" w:eastAsia="Times New Roman" w:hAnsi="Times New Roman"/>
                <w:lang w:val="en-US"/>
              </w:rPr>
              <w:t> </w:t>
            </w:r>
            <w:r w:rsidRPr="00A1477B">
              <w:rPr>
                <w:rFonts w:ascii="Times New Roman" w:eastAsia="Times New Roman" w:hAnsi="Times New Roman"/>
                <w:lang w:val="en-US"/>
              </w:rPr>
              <w:t>%)</w:t>
            </w:r>
          </w:p>
        </w:tc>
      </w:tr>
      <w:tr w:rsidR="005B0F82" w:rsidRPr="00D7232C" w14:paraId="6999EBF7" w14:textId="77777777" w:rsidTr="00C326D9">
        <w:tc>
          <w:tcPr>
            <w:tcW w:w="3652" w:type="dxa"/>
            <w:tcBorders>
              <w:top w:val="nil"/>
              <w:bottom w:val="nil"/>
            </w:tcBorders>
            <w:shd w:val="clear" w:color="auto" w:fill="auto"/>
          </w:tcPr>
          <w:p w14:paraId="6BCC68FA" w14:textId="6608B77E" w:rsidR="005B0F82" w:rsidRPr="00D7232C" w:rsidRDefault="005B0F82" w:rsidP="00C326D9">
            <w:pPr>
              <w:autoSpaceDE w:val="0"/>
              <w:autoSpaceDN w:val="0"/>
              <w:adjustRightInd w:val="0"/>
              <w:spacing w:after="0" w:line="240" w:lineRule="auto"/>
              <w:rPr>
                <w:rFonts w:ascii="Times New Roman" w:eastAsia="Times New Roman" w:hAnsi="Times New Roman"/>
                <w:bCs/>
                <w:lang w:val="en-US"/>
              </w:rPr>
            </w:pPr>
            <w:r w:rsidRPr="00A1477B">
              <w:rPr>
                <w:rFonts w:ascii="Times New Roman" w:eastAsia="Times New Roman" w:hAnsi="Times New Roman"/>
                <w:lang w:val="en-US"/>
              </w:rPr>
              <w:t xml:space="preserve">IBRLP </w:t>
            </w:r>
            <w:proofErr w:type="spellStart"/>
            <w:r w:rsidRPr="00A1477B">
              <w:rPr>
                <w:rFonts w:ascii="Times New Roman" w:eastAsia="Times New Roman" w:hAnsi="Times New Roman"/>
                <w:lang w:val="en-US"/>
              </w:rPr>
              <w:t>mediana</w:t>
            </w:r>
            <w:proofErr w:type="spellEnd"/>
            <w:r w:rsidRPr="00A1477B">
              <w:rPr>
                <w:rFonts w:ascii="Times New Roman" w:eastAsia="Times New Roman" w:hAnsi="Times New Roman"/>
                <w:lang w:val="en-US"/>
              </w:rPr>
              <w:t xml:space="preserve"> (</w:t>
            </w:r>
            <w:proofErr w:type="spellStart"/>
            <w:r w:rsidRPr="00A1477B">
              <w:rPr>
                <w:rFonts w:ascii="Times New Roman" w:eastAsia="Times New Roman" w:hAnsi="Times New Roman"/>
                <w:lang w:val="en-US"/>
              </w:rPr>
              <w:t>mėnesiai</w:t>
            </w:r>
            <w:proofErr w:type="spellEnd"/>
            <w:r w:rsidRPr="00A1477B">
              <w:rPr>
                <w:rFonts w:ascii="Times New Roman" w:eastAsia="Times New Roman" w:hAnsi="Times New Roman"/>
                <w:lang w:val="en-US"/>
              </w:rPr>
              <w:t>) (95</w:t>
            </w:r>
            <w:r w:rsidR="0033316C" w:rsidRPr="00A1477B">
              <w:rPr>
                <w:rFonts w:ascii="Times New Roman" w:eastAsia="Times New Roman" w:hAnsi="Times New Roman"/>
                <w:lang w:val="en-US"/>
              </w:rPr>
              <w:t> </w:t>
            </w:r>
            <w:r w:rsidRPr="00A1477B">
              <w:rPr>
                <w:rFonts w:ascii="Times New Roman" w:eastAsia="Times New Roman" w:hAnsi="Times New Roman"/>
                <w:lang w:val="en-US"/>
              </w:rPr>
              <w:t>% PI)</w:t>
            </w:r>
          </w:p>
        </w:tc>
        <w:tc>
          <w:tcPr>
            <w:tcW w:w="2268" w:type="dxa"/>
            <w:tcBorders>
              <w:top w:val="nil"/>
              <w:bottom w:val="nil"/>
            </w:tcBorders>
            <w:shd w:val="clear" w:color="auto" w:fill="auto"/>
          </w:tcPr>
          <w:p w14:paraId="1BE44240" w14:textId="43330A3B" w:rsidR="005B0F82" w:rsidRPr="00D7232C" w:rsidRDefault="005B0F82" w:rsidP="00C326D9">
            <w:pPr>
              <w:autoSpaceDE w:val="0"/>
              <w:autoSpaceDN w:val="0"/>
              <w:adjustRightInd w:val="0"/>
              <w:spacing w:after="0" w:line="240" w:lineRule="auto"/>
              <w:jc w:val="center"/>
              <w:rPr>
                <w:rFonts w:ascii="Times New Roman" w:eastAsia="Times New Roman" w:hAnsi="Times New Roman"/>
                <w:lang w:val="en-US"/>
              </w:rPr>
            </w:pPr>
            <w:r w:rsidRPr="00A1477B">
              <w:rPr>
                <w:rFonts w:ascii="Times New Roman" w:eastAsia="Times New Roman" w:hAnsi="Times New Roman"/>
                <w:lang w:val="en-US"/>
              </w:rPr>
              <w:t>8,0</w:t>
            </w:r>
            <w:r w:rsidRPr="00A1477B">
              <w:rPr>
                <w:rFonts w:ascii="Times New Roman" w:eastAsia="Times New Roman" w:hAnsi="Times New Roman"/>
                <w:spacing w:val="-1"/>
                <w:lang w:val="en-US"/>
              </w:rPr>
              <w:t xml:space="preserve"> </w:t>
            </w:r>
            <w:r w:rsidRPr="00A1477B">
              <w:rPr>
                <w:rFonts w:ascii="Times New Roman" w:eastAsia="Times New Roman" w:hAnsi="Times New Roman"/>
                <w:lang w:val="en-US"/>
              </w:rPr>
              <w:t>(5,7</w:t>
            </w:r>
            <w:r w:rsidR="00EC4496" w:rsidRPr="00A1477B">
              <w:rPr>
                <w:rFonts w:ascii="Times New Roman" w:eastAsia="Times New Roman" w:hAnsi="Times New Roman"/>
                <w:lang w:val="en-US"/>
              </w:rPr>
              <w:noBreakHyphen/>
            </w:r>
            <w:r w:rsidRPr="00A1477B">
              <w:rPr>
                <w:rFonts w:ascii="Times New Roman" w:eastAsia="Times New Roman" w:hAnsi="Times New Roman"/>
                <w:lang w:val="en-US"/>
              </w:rPr>
              <w:t>9,2)</w:t>
            </w:r>
          </w:p>
        </w:tc>
        <w:tc>
          <w:tcPr>
            <w:tcW w:w="3260" w:type="dxa"/>
            <w:tcBorders>
              <w:top w:val="nil"/>
              <w:bottom w:val="nil"/>
            </w:tcBorders>
            <w:shd w:val="clear" w:color="auto" w:fill="auto"/>
          </w:tcPr>
          <w:p w14:paraId="1ECE40D5" w14:textId="1AA88A1F" w:rsidR="005B0F82" w:rsidRPr="00D7232C" w:rsidRDefault="005B0F82" w:rsidP="00C326D9">
            <w:pPr>
              <w:autoSpaceDE w:val="0"/>
              <w:autoSpaceDN w:val="0"/>
              <w:adjustRightInd w:val="0"/>
              <w:spacing w:after="0" w:line="240" w:lineRule="auto"/>
              <w:jc w:val="center"/>
              <w:rPr>
                <w:rFonts w:ascii="Times New Roman" w:eastAsia="Times New Roman" w:hAnsi="Times New Roman"/>
                <w:lang w:val="en-US"/>
              </w:rPr>
            </w:pPr>
            <w:r w:rsidRPr="00A1477B">
              <w:rPr>
                <w:rFonts w:ascii="Times New Roman" w:eastAsia="Times New Roman" w:hAnsi="Times New Roman"/>
                <w:lang w:val="en-US"/>
              </w:rPr>
              <w:t>3</w:t>
            </w:r>
            <w:r w:rsidR="00EC4496" w:rsidRPr="00A1477B">
              <w:rPr>
                <w:rFonts w:ascii="Times New Roman" w:eastAsia="Times New Roman" w:hAnsi="Times New Roman"/>
                <w:lang w:val="en-US"/>
              </w:rPr>
              <w:t>,</w:t>
            </w:r>
            <w:r w:rsidRPr="00A1477B">
              <w:rPr>
                <w:rFonts w:ascii="Times New Roman" w:eastAsia="Times New Roman" w:hAnsi="Times New Roman"/>
                <w:lang w:val="en-US"/>
              </w:rPr>
              <w:t>7</w:t>
            </w:r>
            <w:r w:rsidRPr="00A1477B">
              <w:rPr>
                <w:rFonts w:ascii="Times New Roman" w:eastAsia="Times New Roman" w:hAnsi="Times New Roman"/>
                <w:spacing w:val="-2"/>
                <w:lang w:val="en-US"/>
              </w:rPr>
              <w:t xml:space="preserve"> </w:t>
            </w:r>
            <w:r w:rsidRPr="00A1477B">
              <w:rPr>
                <w:rFonts w:ascii="Times New Roman" w:eastAsia="Times New Roman" w:hAnsi="Times New Roman"/>
                <w:lang w:val="en-US"/>
              </w:rPr>
              <w:t>(2</w:t>
            </w:r>
            <w:r w:rsidR="00D7232C">
              <w:rPr>
                <w:rFonts w:ascii="Times New Roman" w:eastAsia="Times New Roman" w:hAnsi="Times New Roman"/>
                <w:lang w:val="en-US"/>
              </w:rPr>
              <w:t>,</w:t>
            </w:r>
            <w:r w:rsidRPr="00A1477B">
              <w:rPr>
                <w:rFonts w:ascii="Times New Roman" w:eastAsia="Times New Roman" w:hAnsi="Times New Roman"/>
                <w:lang w:val="en-US"/>
              </w:rPr>
              <w:t>8</w:t>
            </w:r>
            <w:r w:rsidR="00EC4496" w:rsidRPr="00A1477B">
              <w:rPr>
                <w:rFonts w:ascii="Times New Roman" w:eastAsia="Times New Roman" w:hAnsi="Times New Roman"/>
                <w:lang w:val="en-US"/>
              </w:rPr>
              <w:noBreakHyphen/>
            </w:r>
            <w:r w:rsidRPr="00A1477B">
              <w:rPr>
                <w:rFonts w:ascii="Times New Roman" w:eastAsia="Times New Roman" w:hAnsi="Times New Roman"/>
                <w:lang w:val="en-US"/>
              </w:rPr>
              <w:t>5</w:t>
            </w:r>
            <w:r w:rsidR="00EC4496" w:rsidRPr="00A1477B">
              <w:rPr>
                <w:rFonts w:ascii="Times New Roman" w:eastAsia="Times New Roman" w:hAnsi="Times New Roman"/>
                <w:lang w:val="en-US"/>
              </w:rPr>
              <w:t>,</w:t>
            </w:r>
            <w:r w:rsidRPr="00A1477B">
              <w:rPr>
                <w:rFonts w:ascii="Times New Roman" w:eastAsia="Times New Roman" w:hAnsi="Times New Roman"/>
                <w:lang w:val="en-US"/>
              </w:rPr>
              <w:t>1)</w:t>
            </w:r>
          </w:p>
        </w:tc>
      </w:tr>
      <w:tr w:rsidR="005B0F82" w:rsidRPr="00D7232C" w14:paraId="4FF5815C" w14:textId="77777777" w:rsidTr="00C326D9">
        <w:tc>
          <w:tcPr>
            <w:tcW w:w="3652" w:type="dxa"/>
            <w:tcBorders>
              <w:top w:val="nil"/>
              <w:bottom w:val="nil"/>
            </w:tcBorders>
            <w:shd w:val="clear" w:color="auto" w:fill="auto"/>
          </w:tcPr>
          <w:p w14:paraId="50FE5299" w14:textId="43FED448" w:rsidR="005B0F82" w:rsidRPr="00D7232C" w:rsidRDefault="005B0F82" w:rsidP="00C326D9">
            <w:pPr>
              <w:autoSpaceDE w:val="0"/>
              <w:autoSpaceDN w:val="0"/>
              <w:adjustRightInd w:val="0"/>
              <w:spacing w:after="0" w:line="240" w:lineRule="auto"/>
              <w:rPr>
                <w:rFonts w:ascii="Times New Roman" w:eastAsia="Times New Roman" w:hAnsi="Times New Roman"/>
                <w:bCs/>
                <w:lang w:val="en-US"/>
              </w:rPr>
            </w:pPr>
            <w:proofErr w:type="spellStart"/>
            <w:r w:rsidRPr="00A1477B">
              <w:rPr>
                <w:rFonts w:ascii="Times New Roman" w:eastAsia="Times New Roman" w:hAnsi="Times New Roman"/>
                <w:lang w:val="en-US"/>
              </w:rPr>
              <w:t>Rizikos</w:t>
            </w:r>
            <w:proofErr w:type="spellEnd"/>
            <w:r w:rsidRPr="00A1477B">
              <w:rPr>
                <w:rFonts w:ascii="Times New Roman" w:eastAsia="Times New Roman" w:hAnsi="Times New Roman"/>
                <w:lang w:val="en-US"/>
              </w:rPr>
              <w:t xml:space="preserve"> </w:t>
            </w:r>
            <w:proofErr w:type="spellStart"/>
            <w:r w:rsidRPr="00A1477B">
              <w:rPr>
                <w:rFonts w:ascii="Times New Roman" w:eastAsia="Times New Roman" w:hAnsi="Times New Roman"/>
                <w:lang w:val="en-US"/>
              </w:rPr>
              <w:t>santykis</w:t>
            </w:r>
            <w:proofErr w:type="spellEnd"/>
            <w:r w:rsidRPr="00A1477B">
              <w:rPr>
                <w:rFonts w:ascii="Times New Roman" w:eastAsia="Times New Roman" w:hAnsi="Times New Roman"/>
                <w:lang w:val="en-US"/>
              </w:rPr>
              <w:t xml:space="preserve"> (RS) (95</w:t>
            </w:r>
            <w:r w:rsidR="0033316C" w:rsidRPr="00A1477B">
              <w:rPr>
                <w:rFonts w:ascii="Times New Roman" w:eastAsia="Times New Roman" w:hAnsi="Times New Roman"/>
                <w:lang w:val="en-US"/>
              </w:rPr>
              <w:t> </w:t>
            </w:r>
            <w:r w:rsidRPr="00A1477B">
              <w:rPr>
                <w:rFonts w:ascii="Times New Roman" w:eastAsia="Times New Roman" w:hAnsi="Times New Roman"/>
                <w:lang w:val="en-US"/>
              </w:rPr>
              <w:t>% PI)</w:t>
            </w:r>
          </w:p>
        </w:tc>
        <w:tc>
          <w:tcPr>
            <w:tcW w:w="5528" w:type="dxa"/>
            <w:gridSpan w:val="2"/>
            <w:tcBorders>
              <w:top w:val="nil"/>
              <w:bottom w:val="nil"/>
            </w:tcBorders>
            <w:shd w:val="clear" w:color="auto" w:fill="auto"/>
          </w:tcPr>
          <w:p w14:paraId="47B398B0" w14:textId="20FD1952" w:rsidR="005B0F82" w:rsidRPr="00D7232C" w:rsidRDefault="005B0F82" w:rsidP="00C326D9">
            <w:pPr>
              <w:autoSpaceDE w:val="0"/>
              <w:autoSpaceDN w:val="0"/>
              <w:adjustRightInd w:val="0"/>
              <w:spacing w:after="0" w:line="240" w:lineRule="auto"/>
              <w:jc w:val="center"/>
              <w:rPr>
                <w:rFonts w:ascii="Times New Roman" w:eastAsia="Times New Roman" w:hAnsi="Times New Roman"/>
                <w:lang w:val="en-US"/>
              </w:rPr>
            </w:pPr>
            <w:r w:rsidRPr="00A1477B">
              <w:rPr>
                <w:rFonts w:ascii="Times New Roman" w:eastAsia="Times New Roman" w:hAnsi="Times New Roman"/>
                <w:lang w:val="en-US"/>
              </w:rPr>
              <w:t>0,54</w:t>
            </w:r>
            <w:r w:rsidRPr="00A1477B">
              <w:rPr>
                <w:rFonts w:ascii="Times New Roman" w:eastAsia="Times New Roman" w:hAnsi="Times New Roman"/>
                <w:spacing w:val="-2"/>
                <w:lang w:val="en-US"/>
              </w:rPr>
              <w:t xml:space="preserve"> </w:t>
            </w:r>
            <w:r w:rsidRPr="00A1477B">
              <w:rPr>
                <w:rFonts w:ascii="Times New Roman" w:eastAsia="Times New Roman" w:hAnsi="Times New Roman"/>
                <w:lang w:val="en-US"/>
              </w:rPr>
              <w:t>(0,40</w:t>
            </w:r>
            <w:r w:rsidR="00EC4496" w:rsidRPr="00A1477B">
              <w:rPr>
                <w:rFonts w:ascii="Times New Roman" w:eastAsia="Times New Roman" w:hAnsi="Times New Roman"/>
                <w:lang w:val="en-US"/>
              </w:rPr>
              <w:noBreakHyphen/>
            </w:r>
            <w:r w:rsidRPr="00A1477B">
              <w:rPr>
                <w:rFonts w:ascii="Times New Roman" w:eastAsia="Times New Roman" w:hAnsi="Times New Roman"/>
                <w:lang w:val="en-US"/>
              </w:rPr>
              <w:t>0,73)</w:t>
            </w:r>
          </w:p>
        </w:tc>
      </w:tr>
      <w:tr w:rsidR="005B0F82" w:rsidRPr="00D7232C" w14:paraId="6FE216A9" w14:textId="77777777" w:rsidTr="00C326D9">
        <w:tc>
          <w:tcPr>
            <w:tcW w:w="3652" w:type="dxa"/>
            <w:tcBorders>
              <w:top w:val="nil"/>
              <w:bottom w:val="single" w:sz="4" w:space="0" w:color="auto"/>
            </w:tcBorders>
            <w:shd w:val="clear" w:color="auto" w:fill="auto"/>
          </w:tcPr>
          <w:p w14:paraId="18709611" w14:textId="77777777" w:rsidR="005B0F82" w:rsidRPr="00D7232C" w:rsidRDefault="005B0F82" w:rsidP="00C326D9">
            <w:pPr>
              <w:autoSpaceDE w:val="0"/>
              <w:autoSpaceDN w:val="0"/>
              <w:adjustRightInd w:val="0"/>
              <w:spacing w:after="0" w:line="240" w:lineRule="auto"/>
              <w:rPr>
                <w:rFonts w:ascii="Times New Roman" w:eastAsia="Times New Roman" w:hAnsi="Times New Roman"/>
                <w:bCs/>
                <w:lang w:val="en-US"/>
              </w:rPr>
            </w:pPr>
            <w:r w:rsidRPr="00A1477B">
              <w:rPr>
                <w:rFonts w:ascii="Times New Roman" w:eastAsia="Times New Roman" w:hAnsi="Times New Roman"/>
                <w:lang w:val="en-US"/>
              </w:rPr>
              <w:t>p reikšmė</w:t>
            </w:r>
            <w:r w:rsidRPr="00A1477B">
              <w:rPr>
                <w:rFonts w:ascii="Times New Roman" w:eastAsia="Times New Roman" w:hAnsi="Times New Roman"/>
                <w:vertAlign w:val="superscript"/>
                <w:lang w:val="en-US"/>
              </w:rPr>
              <w:t>1</w:t>
            </w:r>
          </w:p>
        </w:tc>
        <w:tc>
          <w:tcPr>
            <w:tcW w:w="5528" w:type="dxa"/>
            <w:gridSpan w:val="2"/>
            <w:tcBorders>
              <w:top w:val="nil"/>
              <w:bottom w:val="single" w:sz="4" w:space="0" w:color="auto"/>
            </w:tcBorders>
            <w:shd w:val="clear" w:color="auto" w:fill="auto"/>
          </w:tcPr>
          <w:p w14:paraId="3239D661" w14:textId="6F3EE028" w:rsidR="005B0F82" w:rsidRPr="00D7232C" w:rsidRDefault="005B0F82" w:rsidP="00C326D9">
            <w:pPr>
              <w:autoSpaceDE w:val="0"/>
              <w:autoSpaceDN w:val="0"/>
              <w:adjustRightInd w:val="0"/>
              <w:spacing w:after="0" w:line="240" w:lineRule="auto"/>
              <w:jc w:val="center"/>
              <w:rPr>
                <w:rFonts w:ascii="Times New Roman" w:eastAsia="Times New Roman" w:hAnsi="Times New Roman"/>
                <w:lang w:val="en-US"/>
              </w:rPr>
            </w:pPr>
            <w:r w:rsidRPr="00A1477B">
              <w:rPr>
                <w:rFonts w:ascii="Times New Roman" w:eastAsia="Times New Roman" w:hAnsi="Times New Roman"/>
                <w:lang w:val="en-US"/>
              </w:rPr>
              <w:t>&lt;</w:t>
            </w:r>
            <w:r w:rsidR="00EC4496" w:rsidRPr="00A1477B">
              <w:rPr>
                <w:rFonts w:ascii="Times New Roman" w:eastAsia="Times New Roman" w:hAnsi="Times New Roman"/>
                <w:lang w:val="en-US"/>
              </w:rPr>
              <w:t> </w:t>
            </w:r>
            <w:r w:rsidRPr="00A1477B">
              <w:rPr>
                <w:rFonts w:ascii="Times New Roman" w:eastAsia="Times New Roman" w:hAnsi="Times New Roman"/>
                <w:lang w:val="en-US"/>
              </w:rPr>
              <w:t>0</w:t>
            </w:r>
            <w:r w:rsidR="00EC4496" w:rsidRPr="00A1477B">
              <w:rPr>
                <w:rFonts w:ascii="Times New Roman" w:eastAsia="Times New Roman" w:hAnsi="Times New Roman"/>
                <w:lang w:val="en-US"/>
              </w:rPr>
              <w:t>,</w:t>
            </w:r>
            <w:r w:rsidRPr="00A1477B">
              <w:rPr>
                <w:rFonts w:ascii="Times New Roman" w:eastAsia="Times New Roman" w:hAnsi="Times New Roman"/>
                <w:lang w:val="en-US"/>
              </w:rPr>
              <w:t>0001</w:t>
            </w:r>
          </w:p>
        </w:tc>
      </w:tr>
    </w:tbl>
    <w:p w14:paraId="4F8C3FEA" w14:textId="77777777" w:rsidR="005B0F82" w:rsidRDefault="005B0F82" w:rsidP="005B0F82">
      <w:pPr>
        <w:tabs>
          <w:tab w:val="left" w:pos="567"/>
        </w:tabs>
        <w:spacing w:after="0" w:line="260" w:lineRule="exact"/>
        <w:rPr>
          <w:rFonts w:ascii="Times New Roman" w:eastAsia="Times New Roman" w:hAnsi="Times New Roman"/>
          <w:snapToGrid w:val="0"/>
        </w:rPr>
      </w:pPr>
      <w:r w:rsidRPr="00F175BE">
        <w:rPr>
          <w:rFonts w:ascii="Times New Roman" w:eastAsia="Times New Roman" w:hAnsi="Times New Roman"/>
          <w:snapToGrid w:val="0"/>
          <w:vertAlign w:val="superscript"/>
        </w:rPr>
        <w:t>1</w:t>
      </w:r>
      <w:r w:rsidRPr="002B1AC0">
        <w:rPr>
          <w:rFonts w:ascii="Times New Roman" w:eastAsia="Times New Roman" w:hAnsi="Times New Roman"/>
          <w:snapToGrid w:val="0"/>
        </w:rPr>
        <w:t xml:space="preserve">stratifikuotas </w:t>
      </w:r>
      <w:proofErr w:type="spellStart"/>
      <w:r w:rsidRPr="002B1AC0">
        <w:rPr>
          <w:rFonts w:ascii="Times New Roman" w:eastAsia="Times New Roman" w:hAnsi="Times New Roman"/>
          <w:snapToGrid w:val="0"/>
        </w:rPr>
        <w:t>log-rank</w:t>
      </w:r>
      <w:proofErr w:type="spellEnd"/>
      <w:r w:rsidRPr="002B1AC0">
        <w:rPr>
          <w:rFonts w:ascii="Times New Roman" w:eastAsia="Times New Roman" w:hAnsi="Times New Roman"/>
          <w:snapToGrid w:val="0"/>
        </w:rPr>
        <w:t xml:space="preserve"> testas, reikšmingumo riba = 0,05</w:t>
      </w:r>
    </w:p>
    <w:p w14:paraId="527CCAD9" w14:textId="77777777" w:rsidR="005B0F82" w:rsidRDefault="005B0F82" w:rsidP="005B0F82">
      <w:pPr>
        <w:tabs>
          <w:tab w:val="left" w:pos="567"/>
        </w:tabs>
        <w:spacing w:after="0" w:line="260" w:lineRule="exact"/>
        <w:rPr>
          <w:rFonts w:ascii="Times New Roman" w:eastAsia="Times New Roman" w:hAnsi="Times New Roman"/>
          <w:snapToGrid w:val="0"/>
        </w:rPr>
      </w:pPr>
    </w:p>
    <w:p w14:paraId="187ED4AE" w14:textId="4EC77AD0" w:rsidR="005B0F82" w:rsidRDefault="005B0F82" w:rsidP="005B0F82">
      <w:pPr>
        <w:tabs>
          <w:tab w:val="left" w:pos="567"/>
        </w:tabs>
        <w:spacing w:after="0" w:line="260" w:lineRule="exact"/>
        <w:ind w:left="1134" w:hanging="1134"/>
        <w:rPr>
          <w:rFonts w:ascii="Times New Roman" w:eastAsia="Times New Roman" w:hAnsi="Times New Roman"/>
          <w:snapToGrid w:val="0"/>
        </w:rPr>
      </w:pPr>
      <w:r w:rsidRPr="00AA563A">
        <w:rPr>
          <w:rFonts w:ascii="Times New Roman" w:eastAsia="Times New Roman" w:hAnsi="Times New Roman"/>
          <w:snapToGrid w:val="0"/>
        </w:rPr>
        <w:t>2</w:t>
      </w:r>
      <w:r w:rsidR="002C2B24">
        <w:rPr>
          <w:rFonts w:ascii="Times New Roman" w:eastAsia="Times New Roman" w:hAnsi="Times New Roman"/>
          <w:snapToGrid w:val="0"/>
        </w:rPr>
        <w:t> </w:t>
      </w:r>
      <w:r w:rsidRPr="00AA563A">
        <w:rPr>
          <w:rFonts w:ascii="Times New Roman" w:eastAsia="Times New Roman" w:hAnsi="Times New Roman"/>
          <w:snapToGrid w:val="0"/>
        </w:rPr>
        <w:t xml:space="preserve">paveikslas. Pagrindinė vertinamoji baigtis: </w:t>
      </w:r>
      <w:proofErr w:type="spellStart"/>
      <w:r w:rsidRPr="00AA563A">
        <w:rPr>
          <w:rFonts w:ascii="Times New Roman" w:eastAsia="Times New Roman" w:hAnsi="Times New Roman"/>
          <w:snapToGrid w:val="0"/>
        </w:rPr>
        <w:t>Kaplan</w:t>
      </w:r>
      <w:proofErr w:type="spellEnd"/>
      <w:r w:rsidRPr="00AA563A">
        <w:rPr>
          <w:rFonts w:ascii="Times New Roman" w:eastAsia="Times New Roman" w:hAnsi="Times New Roman"/>
          <w:snapToGrid w:val="0"/>
        </w:rPr>
        <w:t xml:space="preserve"> </w:t>
      </w:r>
      <w:proofErr w:type="spellStart"/>
      <w:r w:rsidRPr="00AA563A">
        <w:rPr>
          <w:rFonts w:ascii="Times New Roman" w:eastAsia="Times New Roman" w:hAnsi="Times New Roman"/>
          <w:snapToGrid w:val="0"/>
        </w:rPr>
        <w:t>Meier</w:t>
      </w:r>
      <w:proofErr w:type="spellEnd"/>
      <w:r w:rsidRPr="00AA563A">
        <w:rPr>
          <w:rFonts w:ascii="Times New Roman" w:eastAsia="Times New Roman" w:hAnsi="Times New Roman"/>
          <w:snapToGrid w:val="0"/>
        </w:rPr>
        <w:t xml:space="preserve"> išgyvenamumo be </w:t>
      </w:r>
      <w:proofErr w:type="spellStart"/>
      <w:r w:rsidRPr="00AA563A">
        <w:rPr>
          <w:rFonts w:ascii="Times New Roman" w:eastAsia="Times New Roman" w:hAnsi="Times New Roman"/>
          <w:snapToGrid w:val="0"/>
        </w:rPr>
        <w:t>radiografinio</w:t>
      </w:r>
      <w:proofErr w:type="spellEnd"/>
      <w:r w:rsidRPr="00AA563A">
        <w:rPr>
          <w:rFonts w:ascii="Times New Roman" w:eastAsia="Times New Roman" w:hAnsi="Times New Roman"/>
          <w:snapToGrid w:val="0"/>
        </w:rPr>
        <w:t xml:space="preserve"> ligos progresavimo diagramos (</w:t>
      </w:r>
      <w:r>
        <w:rPr>
          <w:rFonts w:ascii="Times New Roman" w:eastAsia="Times New Roman" w:hAnsi="Times New Roman"/>
          <w:snapToGrid w:val="0"/>
        </w:rPr>
        <w:t>numatyta gydyti</w:t>
      </w:r>
      <w:r w:rsidRPr="00AA563A">
        <w:rPr>
          <w:rFonts w:ascii="Times New Roman" w:eastAsia="Times New Roman" w:hAnsi="Times New Roman"/>
          <w:snapToGrid w:val="0"/>
        </w:rPr>
        <w:t xml:space="preserve"> populiacija)</w:t>
      </w:r>
    </w:p>
    <w:p w14:paraId="54B1D5A0" w14:textId="77777777" w:rsidR="005B0F82" w:rsidRDefault="005B0F82" w:rsidP="005B0F82">
      <w:pPr>
        <w:tabs>
          <w:tab w:val="left" w:pos="0"/>
        </w:tabs>
        <w:spacing w:after="0" w:line="260" w:lineRule="exact"/>
        <w:rPr>
          <w:rFonts w:ascii="Times New Roman" w:eastAsia="Times New Roman" w:hAnsi="Times New Roman"/>
          <w:snapToGrid w:val="0"/>
        </w:rPr>
      </w:pPr>
      <w:r w:rsidRPr="00EC5B3B">
        <w:rPr>
          <w:rFonts w:ascii="Times New Roman" w:eastAsia="Times New Roman" w:hAnsi="Times New Roman"/>
          <w:noProof/>
          <w:snapToGrid w:val="0"/>
          <w:lang w:eastAsia="lt-LT"/>
        </w:rPr>
        <w:drawing>
          <wp:anchor distT="0" distB="0" distL="114300" distR="114300" simplePos="0" relativeHeight="251660288" behindDoc="0" locked="0" layoutInCell="1" allowOverlap="1" wp14:anchorId="30C32AA3" wp14:editId="4A4771AD">
            <wp:simplePos x="0" y="0"/>
            <wp:positionH relativeFrom="margin">
              <wp:align>center</wp:align>
            </wp:positionH>
            <wp:positionV relativeFrom="paragraph">
              <wp:posOffset>157545</wp:posOffset>
            </wp:positionV>
            <wp:extent cx="3942000" cy="2739600"/>
            <wp:effectExtent l="0" t="0" r="190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2000" cy="273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D40BA" w14:textId="77777777" w:rsidR="005B0F82" w:rsidRDefault="005B0F82" w:rsidP="005B0F82">
      <w:pPr>
        <w:tabs>
          <w:tab w:val="left" w:pos="567"/>
        </w:tabs>
        <w:spacing w:after="0" w:line="260" w:lineRule="exact"/>
        <w:rPr>
          <w:rFonts w:ascii="Times New Roman" w:eastAsia="Times New Roman" w:hAnsi="Times New Roman"/>
          <w:snapToGrid w:val="0"/>
        </w:rPr>
      </w:pPr>
    </w:p>
    <w:p w14:paraId="2589051A" w14:textId="77777777" w:rsidR="005B0F82" w:rsidRDefault="005B0F82" w:rsidP="005B0F82">
      <w:pPr>
        <w:tabs>
          <w:tab w:val="left" w:pos="567"/>
        </w:tabs>
        <w:spacing w:after="0" w:line="260" w:lineRule="exact"/>
        <w:rPr>
          <w:rFonts w:ascii="Times New Roman" w:eastAsia="Times New Roman" w:hAnsi="Times New Roman"/>
          <w:snapToGrid w:val="0"/>
        </w:rPr>
      </w:pPr>
    </w:p>
    <w:p w14:paraId="14956EA5" w14:textId="77777777" w:rsidR="005B0F82" w:rsidRDefault="005B0F82" w:rsidP="005B0F82">
      <w:pPr>
        <w:tabs>
          <w:tab w:val="left" w:pos="567"/>
        </w:tabs>
        <w:spacing w:after="0" w:line="260" w:lineRule="exact"/>
        <w:rPr>
          <w:rFonts w:ascii="Times New Roman" w:eastAsia="Times New Roman" w:hAnsi="Times New Roman"/>
          <w:snapToGrid w:val="0"/>
        </w:rPr>
      </w:pPr>
    </w:p>
    <w:p w14:paraId="43C26C42" w14:textId="77777777" w:rsidR="005B0F82" w:rsidRPr="00074768" w:rsidRDefault="005B0F82" w:rsidP="005B0F82">
      <w:pPr>
        <w:tabs>
          <w:tab w:val="left" w:pos="567"/>
        </w:tabs>
        <w:spacing w:after="0" w:line="260" w:lineRule="exact"/>
        <w:rPr>
          <w:rFonts w:ascii="Times New Roman" w:eastAsia="Times New Roman" w:hAnsi="Times New Roman"/>
          <w:snapToGrid w:val="0"/>
        </w:rPr>
      </w:pPr>
    </w:p>
    <w:p w14:paraId="14C00249" w14:textId="77777777" w:rsidR="005B0F82" w:rsidRDefault="005B0F82" w:rsidP="005B0F82">
      <w:pPr>
        <w:tabs>
          <w:tab w:val="left" w:pos="567"/>
        </w:tabs>
        <w:spacing w:after="0" w:line="260" w:lineRule="exact"/>
        <w:rPr>
          <w:rFonts w:ascii="Times New Roman" w:eastAsia="Times New Roman" w:hAnsi="Times New Roman"/>
          <w:snapToGrid w:val="0"/>
          <w:u w:val="single"/>
        </w:rPr>
      </w:pPr>
    </w:p>
    <w:p w14:paraId="252469FC" w14:textId="77777777" w:rsidR="005B0F82" w:rsidRDefault="005B0F82" w:rsidP="005B0F82">
      <w:pPr>
        <w:tabs>
          <w:tab w:val="left" w:pos="567"/>
        </w:tabs>
        <w:spacing w:after="0" w:line="260" w:lineRule="exact"/>
        <w:rPr>
          <w:rFonts w:ascii="Times New Roman" w:eastAsia="Times New Roman" w:hAnsi="Times New Roman"/>
          <w:snapToGrid w:val="0"/>
        </w:rPr>
      </w:pPr>
    </w:p>
    <w:p w14:paraId="0102BC9F" w14:textId="77777777" w:rsidR="005B0F82" w:rsidRDefault="005B0F82" w:rsidP="005B0F82">
      <w:pPr>
        <w:tabs>
          <w:tab w:val="left" w:pos="567"/>
        </w:tabs>
        <w:spacing w:after="0" w:line="260" w:lineRule="exact"/>
        <w:rPr>
          <w:rFonts w:ascii="Times New Roman" w:eastAsia="Times New Roman" w:hAnsi="Times New Roman"/>
          <w:snapToGrid w:val="0"/>
        </w:rPr>
      </w:pPr>
    </w:p>
    <w:p w14:paraId="610ACB98" w14:textId="77777777" w:rsidR="005B0F82" w:rsidRDefault="005B0F82" w:rsidP="005B0F82">
      <w:pPr>
        <w:tabs>
          <w:tab w:val="left" w:pos="567"/>
        </w:tabs>
        <w:spacing w:after="0" w:line="260" w:lineRule="exact"/>
        <w:rPr>
          <w:rFonts w:ascii="Times New Roman" w:eastAsia="Times New Roman" w:hAnsi="Times New Roman"/>
          <w:snapToGrid w:val="0"/>
        </w:rPr>
      </w:pPr>
    </w:p>
    <w:p w14:paraId="76316A05" w14:textId="77777777" w:rsidR="005B0F82" w:rsidRDefault="005B0F82" w:rsidP="005B0F82">
      <w:pPr>
        <w:tabs>
          <w:tab w:val="left" w:pos="567"/>
        </w:tabs>
        <w:spacing w:after="0" w:line="260" w:lineRule="exact"/>
        <w:rPr>
          <w:rFonts w:ascii="Times New Roman" w:eastAsia="Times New Roman" w:hAnsi="Times New Roman"/>
          <w:snapToGrid w:val="0"/>
        </w:rPr>
      </w:pPr>
    </w:p>
    <w:p w14:paraId="60BD4B62" w14:textId="77777777" w:rsidR="005B0F82" w:rsidRDefault="005B0F82" w:rsidP="005B0F82">
      <w:pPr>
        <w:tabs>
          <w:tab w:val="left" w:pos="567"/>
        </w:tabs>
        <w:spacing w:after="0" w:line="260" w:lineRule="exact"/>
        <w:rPr>
          <w:rFonts w:ascii="Times New Roman" w:eastAsia="Times New Roman" w:hAnsi="Times New Roman"/>
          <w:snapToGrid w:val="0"/>
        </w:rPr>
      </w:pPr>
    </w:p>
    <w:p w14:paraId="5901DB52" w14:textId="77777777" w:rsidR="005B0F82" w:rsidRDefault="005B0F82" w:rsidP="005B0F82">
      <w:pPr>
        <w:tabs>
          <w:tab w:val="left" w:pos="567"/>
        </w:tabs>
        <w:spacing w:after="0" w:line="260" w:lineRule="exact"/>
        <w:rPr>
          <w:rFonts w:ascii="Times New Roman" w:eastAsia="Times New Roman" w:hAnsi="Times New Roman"/>
          <w:snapToGrid w:val="0"/>
        </w:rPr>
      </w:pPr>
    </w:p>
    <w:p w14:paraId="3747C822" w14:textId="77777777" w:rsidR="005B0F82" w:rsidRDefault="005B0F82" w:rsidP="005B0F82">
      <w:pPr>
        <w:tabs>
          <w:tab w:val="left" w:pos="567"/>
        </w:tabs>
        <w:spacing w:after="0" w:line="260" w:lineRule="exact"/>
        <w:rPr>
          <w:rFonts w:ascii="Times New Roman" w:eastAsia="Times New Roman" w:hAnsi="Times New Roman"/>
          <w:snapToGrid w:val="0"/>
        </w:rPr>
      </w:pPr>
    </w:p>
    <w:p w14:paraId="57D5970B" w14:textId="77777777" w:rsidR="005B0F82" w:rsidRDefault="005B0F82" w:rsidP="005B0F82">
      <w:pPr>
        <w:tabs>
          <w:tab w:val="left" w:pos="567"/>
        </w:tabs>
        <w:spacing w:after="0" w:line="260" w:lineRule="exact"/>
        <w:rPr>
          <w:rFonts w:ascii="Times New Roman" w:eastAsia="Times New Roman" w:hAnsi="Times New Roman"/>
          <w:snapToGrid w:val="0"/>
        </w:rPr>
      </w:pPr>
    </w:p>
    <w:p w14:paraId="381060E8" w14:textId="77777777" w:rsidR="005B0F82" w:rsidRDefault="005B0F82" w:rsidP="005B0F82">
      <w:pPr>
        <w:tabs>
          <w:tab w:val="left" w:pos="567"/>
        </w:tabs>
        <w:spacing w:after="0" w:line="260" w:lineRule="exact"/>
        <w:rPr>
          <w:rFonts w:ascii="Times New Roman" w:eastAsia="Times New Roman" w:hAnsi="Times New Roman"/>
          <w:snapToGrid w:val="0"/>
        </w:rPr>
      </w:pPr>
    </w:p>
    <w:p w14:paraId="67626AF0" w14:textId="77777777" w:rsidR="005B0F82" w:rsidRDefault="005B0F82" w:rsidP="005B0F82">
      <w:pPr>
        <w:tabs>
          <w:tab w:val="left" w:pos="567"/>
        </w:tabs>
        <w:spacing w:after="0" w:line="260" w:lineRule="exact"/>
        <w:rPr>
          <w:rFonts w:ascii="Times New Roman" w:eastAsia="Times New Roman" w:hAnsi="Times New Roman"/>
          <w:snapToGrid w:val="0"/>
        </w:rPr>
      </w:pPr>
    </w:p>
    <w:p w14:paraId="45AD5E0A" w14:textId="77777777" w:rsidR="005B0F82" w:rsidRDefault="005B0F82" w:rsidP="005B0F82">
      <w:pPr>
        <w:tabs>
          <w:tab w:val="left" w:pos="567"/>
        </w:tabs>
        <w:spacing w:after="0" w:line="260" w:lineRule="exact"/>
        <w:rPr>
          <w:rFonts w:ascii="Times New Roman" w:eastAsia="Times New Roman" w:hAnsi="Times New Roman"/>
          <w:snapToGrid w:val="0"/>
        </w:rPr>
      </w:pPr>
    </w:p>
    <w:p w14:paraId="26FD9235" w14:textId="77777777" w:rsidR="005B0F82" w:rsidRDefault="005B0F82" w:rsidP="005B0F82">
      <w:pPr>
        <w:tabs>
          <w:tab w:val="left" w:pos="567"/>
        </w:tabs>
        <w:spacing w:after="0" w:line="260" w:lineRule="exact"/>
        <w:rPr>
          <w:rFonts w:ascii="Times New Roman" w:eastAsia="Times New Roman" w:hAnsi="Times New Roman"/>
          <w:snapToGrid w:val="0"/>
        </w:rPr>
      </w:pPr>
    </w:p>
    <w:p w14:paraId="68DEB64C" w14:textId="77777777" w:rsidR="005B0F82" w:rsidRPr="00F175BE" w:rsidRDefault="005B0F82" w:rsidP="005B0F82">
      <w:pPr>
        <w:tabs>
          <w:tab w:val="left" w:pos="567"/>
        </w:tabs>
        <w:spacing w:after="0" w:line="260" w:lineRule="exact"/>
        <w:jc w:val="center"/>
        <w:rPr>
          <w:rFonts w:ascii="Times New Roman" w:eastAsia="Times New Roman" w:hAnsi="Times New Roman"/>
          <w:snapToGrid w:val="0"/>
          <w:sz w:val="20"/>
          <w:szCs w:val="20"/>
        </w:rPr>
      </w:pPr>
      <w:r w:rsidRPr="00F175BE">
        <w:rPr>
          <w:rFonts w:ascii="Times New Roman" w:eastAsia="Times New Roman" w:hAnsi="Times New Roman"/>
          <w:snapToGrid w:val="0"/>
          <w:sz w:val="20"/>
          <w:szCs w:val="20"/>
        </w:rPr>
        <w:t>Varnelių žymės rodo cenzūruotus duomenis</w:t>
      </w:r>
    </w:p>
    <w:p w14:paraId="70EEAFAF" w14:textId="77777777" w:rsidR="000324A0" w:rsidRDefault="000324A0" w:rsidP="005B0F82">
      <w:pPr>
        <w:tabs>
          <w:tab w:val="left" w:pos="567"/>
        </w:tabs>
        <w:spacing w:after="0" w:line="260" w:lineRule="exact"/>
        <w:rPr>
          <w:rFonts w:ascii="Times New Roman" w:eastAsia="Times New Roman" w:hAnsi="Times New Roman"/>
          <w:snapToGrid w:val="0"/>
        </w:rPr>
      </w:pPr>
    </w:p>
    <w:p w14:paraId="4304608B" w14:textId="5229FA42" w:rsidR="005B0F82" w:rsidRPr="00C006C6" w:rsidRDefault="005B0F82" w:rsidP="005B0F82">
      <w:pPr>
        <w:tabs>
          <w:tab w:val="left" w:pos="567"/>
        </w:tabs>
        <w:spacing w:after="0" w:line="260" w:lineRule="exact"/>
        <w:rPr>
          <w:rFonts w:ascii="Times New Roman" w:eastAsia="Times New Roman" w:hAnsi="Times New Roman"/>
          <w:snapToGrid w:val="0"/>
        </w:rPr>
      </w:pPr>
      <w:r w:rsidRPr="00C006C6">
        <w:rPr>
          <w:rFonts w:ascii="Times New Roman" w:eastAsia="Times New Roman" w:hAnsi="Times New Roman"/>
          <w:snapToGrid w:val="0"/>
        </w:rPr>
        <w:t>Planuotos pogrupių IBRLP analizės remiantis stratifikacijos veiksniais skirstymo į atsitiktines imtis metu nustatytas rizikos santykis pacientams, kuriems jau buvo taikytas gydymas AR veikianči</w:t>
      </w:r>
      <w:r w:rsidR="00E2005F">
        <w:rPr>
          <w:rFonts w:ascii="Times New Roman" w:eastAsia="Times New Roman" w:hAnsi="Times New Roman"/>
          <w:snapToGrid w:val="0"/>
        </w:rPr>
        <w:t>u</w:t>
      </w:r>
      <w:r w:rsidRPr="00C006C6">
        <w:rPr>
          <w:rFonts w:ascii="Times New Roman" w:eastAsia="Times New Roman" w:hAnsi="Times New Roman"/>
          <w:snapToGrid w:val="0"/>
        </w:rPr>
        <w:t xml:space="preserve"> vaistiniu preparatu prieš </w:t>
      </w:r>
      <w:proofErr w:type="spellStart"/>
      <w:r w:rsidRPr="00C006C6">
        <w:rPr>
          <w:rFonts w:ascii="Times New Roman" w:eastAsia="Times New Roman" w:hAnsi="Times New Roman"/>
          <w:snapToGrid w:val="0"/>
        </w:rPr>
        <w:t>docetakselį</w:t>
      </w:r>
      <w:proofErr w:type="spellEnd"/>
      <w:r w:rsidRPr="00C006C6">
        <w:rPr>
          <w:rFonts w:ascii="Times New Roman" w:eastAsia="Times New Roman" w:hAnsi="Times New Roman"/>
          <w:snapToGrid w:val="0"/>
        </w:rPr>
        <w:t>, buvo 0,61 (95</w:t>
      </w:r>
      <w:r>
        <w:rPr>
          <w:rFonts w:ascii="Times New Roman" w:eastAsia="Times New Roman" w:hAnsi="Times New Roman"/>
          <w:snapToGrid w:val="0"/>
        </w:rPr>
        <w:t> </w:t>
      </w:r>
      <w:r w:rsidRPr="00C006C6">
        <w:rPr>
          <w:rFonts w:ascii="Times New Roman" w:eastAsia="Times New Roman" w:hAnsi="Times New Roman"/>
          <w:snapToGrid w:val="0"/>
        </w:rPr>
        <w:t xml:space="preserve">% PI: 0,39-0,96), o rizikos santykis pacientams, kuriems jau buvo taikytas gydymas AR veikiančių vaistiniu preparatu po </w:t>
      </w:r>
      <w:proofErr w:type="spellStart"/>
      <w:r w:rsidRPr="00C006C6">
        <w:rPr>
          <w:rFonts w:ascii="Times New Roman" w:eastAsia="Times New Roman" w:hAnsi="Times New Roman"/>
          <w:snapToGrid w:val="0"/>
        </w:rPr>
        <w:t>docetakselio</w:t>
      </w:r>
      <w:proofErr w:type="spellEnd"/>
      <w:r w:rsidRPr="00C006C6">
        <w:rPr>
          <w:rFonts w:ascii="Times New Roman" w:eastAsia="Times New Roman" w:hAnsi="Times New Roman"/>
          <w:snapToGrid w:val="0"/>
        </w:rPr>
        <w:t>, buvo 0,48 (95</w:t>
      </w:r>
      <w:r>
        <w:rPr>
          <w:rFonts w:ascii="Times New Roman" w:eastAsia="Times New Roman" w:hAnsi="Times New Roman"/>
          <w:snapToGrid w:val="0"/>
        </w:rPr>
        <w:t> </w:t>
      </w:r>
      <w:r w:rsidRPr="00C006C6">
        <w:rPr>
          <w:rFonts w:ascii="Times New Roman" w:eastAsia="Times New Roman" w:hAnsi="Times New Roman"/>
          <w:snapToGrid w:val="0"/>
        </w:rPr>
        <w:t>% PI: 0,32-0,70).</w:t>
      </w:r>
    </w:p>
    <w:p w14:paraId="19F893A8" w14:textId="3E3B1D63" w:rsidR="005B0F82" w:rsidRPr="00C006C6" w:rsidRDefault="005B0F82" w:rsidP="005B0F82">
      <w:pPr>
        <w:tabs>
          <w:tab w:val="left" w:pos="567"/>
        </w:tabs>
        <w:spacing w:after="0" w:line="260" w:lineRule="exact"/>
        <w:rPr>
          <w:rFonts w:ascii="Times New Roman" w:eastAsia="Times New Roman" w:hAnsi="Times New Roman"/>
          <w:snapToGrid w:val="0"/>
        </w:rPr>
      </w:pPr>
      <w:proofErr w:type="spellStart"/>
      <w:r>
        <w:rPr>
          <w:rFonts w:ascii="Times New Roman" w:eastAsia="Times New Roman" w:hAnsi="Times New Roman"/>
          <w:snapToGrid w:val="0"/>
        </w:rPr>
        <w:t>Kabazitakselis</w:t>
      </w:r>
      <w:proofErr w:type="spellEnd"/>
      <w:r w:rsidRPr="00C006C6">
        <w:rPr>
          <w:rFonts w:ascii="Times New Roman" w:eastAsia="Times New Roman" w:hAnsi="Times New Roman"/>
          <w:snapToGrid w:val="0"/>
        </w:rPr>
        <w:t xml:space="preserve"> buvo statistiškai pranašesnis, palyginti su AR veikiančiais lyginamaisiais vaistiniais preparatais, vertinant kiekvieną alfa apsaugotą svarbiausią antr</w:t>
      </w:r>
      <w:r>
        <w:rPr>
          <w:rFonts w:ascii="Times New Roman" w:eastAsia="Times New Roman" w:hAnsi="Times New Roman"/>
          <w:snapToGrid w:val="0"/>
        </w:rPr>
        <w:t>aeilę</w:t>
      </w:r>
      <w:r w:rsidRPr="00C006C6">
        <w:rPr>
          <w:rFonts w:ascii="Times New Roman" w:eastAsia="Times New Roman" w:hAnsi="Times New Roman"/>
          <w:snapToGrid w:val="0"/>
        </w:rPr>
        <w:t xml:space="preserve"> vertinamąją baigtį, įskaitant bendrąjį išgyvenamumą (13,6</w:t>
      </w:r>
      <w:r w:rsidR="00EC4496">
        <w:rPr>
          <w:rFonts w:ascii="Times New Roman" w:eastAsia="Times New Roman" w:hAnsi="Times New Roman"/>
          <w:snapToGrid w:val="0"/>
        </w:rPr>
        <w:t> </w:t>
      </w:r>
      <w:r w:rsidRPr="00C006C6">
        <w:rPr>
          <w:rFonts w:ascii="Times New Roman" w:eastAsia="Times New Roman" w:hAnsi="Times New Roman"/>
          <w:snapToGrid w:val="0"/>
        </w:rPr>
        <w:t xml:space="preserve">mėnesio </w:t>
      </w:r>
      <w:proofErr w:type="spellStart"/>
      <w:r>
        <w:rPr>
          <w:rFonts w:ascii="Times New Roman" w:eastAsia="Times New Roman" w:hAnsi="Times New Roman"/>
          <w:snapToGrid w:val="0"/>
        </w:rPr>
        <w:t>kabazitakselio</w:t>
      </w:r>
      <w:proofErr w:type="spellEnd"/>
      <w:r w:rsidRPr="00C006C6">
        <w:rPr>
          <w:rFonts w:ascii="Times New Roman" w:eastAsia="Times New Roman" w:hAnsi="Times New Roman"/>
          <w:snapToGrid w:val="0"/>
        </w:rPr>
        <w:t xml:space="preserve"> grupėje, palyginti su 11,0</w:t>
      </w:r>
      <w:r w:rsidR="00EC4496">
        <w:rPr>
          <w:rFonts w:ascii="Times New Roman" w:eastAsia="Times New Roman" w:hAnsi="Times New Roman"/>
          <w:snapToGrid w:val="0"/>
        </w:rPr>
        <w:t> </w:t>
      </w:r>
      <w:r w:rsidRPr="00C006C6">
        <w:rPr>
          <w:rFonts w:ascii="Times New Roman" w:eastAsia="Times New Roman" w:hAnsi="Times New Roman"/>
          <w:snapToGrid w:val="0"/>
        </w:rPr>
        <w:t>mėnesių AR veikiančio vaistinio preparato grupėje, RS 0,64, 95</w:t>
      </w:r>
      <w:r>
        <w:rPr>
          <w:rFonts w:ascii="Times New Roman" w:eastAsia="Times New Roman" w:hAnsi="Times New Roman"/>
          <w:snapToGrid w:val="0"/>
        </w:rPr>
        <w:t> </w:t>
      </w:r>
      <w:r w:rsidRPr="00C006C6">
        <w:rPr>
          <w:rFonts w:ascii="Times New Roman" w:eastAsia="Times New Roman" w:hAnsi="Times New Roman"/>
          <w:snapToGrid w:val="0"/>
        </w:rPr>
        <w:t>% PI: 0,460,89; p=0,008), išgyvenamumą be ligos progresavimo (4,4</w:t>
      </w:r>
      <w:r w:rsidR="000B76A9">
        <w:rPr>
          <w:rFonts w:ascii="Times New Roman" w:eastAsia="Times New Roman" w:hAnsi="Times New Roman"/>
          <w:snapToGrid w:val="0"/>
        </w:rPr>
        <w:t> </w:t>
      </w:r>
      <w:r w:rsidRPr="00C006C6">
        <w:rPr>
          <w:rFonts w:ascii="Times New Roman" w:eastAsia="Times New Roman" w:hAnsi="Times New Roman"/>
          <w:snapToGrid w:val="0"/>
        </w:rPr>
        <w:t xml:space="preserve">mėnesio </w:t>
      </w:r>
      <w:proofErr w:type="spellStart"/>
      <w:r>
        <w:rPr>
          <w:rFonts w:ascii="Times New Roman" w:eastAsia="Times New Roman" w:hAnsi="Times New Roman"/>
          <w:snapToGrid w:val="0"/>
        </w:rPr>
        <w:t>kabazitakselio</w:t>
      </w:r>
      <w:proofErr w:type="spellEnd"/>
      <w:r w:rsidRPr="00C006C6">
        <w:rPr>
          <w:rFonts w:ascii="Times New Roman" w:eastAsia="Times New Roman" w:hAnsi="Times New Roman"/>
          <w:snapToGrid w:val="0"/>
        </w:rPr>
        <w:t xml:space="preserve"> grupėje, palyginti su 2,7</w:t>
      </w:r>
      <w:r w:rsidR="000B76A9">
        <w:rPr>
          <w:rFonts w:ascii="Times New Roman" w:eastAsia="Times New Roman" w:hAnsi="Times New Roman"/>
          <w:snapToGrid w:val="0"/>
        </w:rPr>
        <w:t> </w:t>
      </w:r>
      <w:r w:rsidRPr="00C006C6">
        <w:rPr>
          <w:rFonts w:ascii="Times New Roman" w:eastAsia="Times New Roman" w:hAnsi="Times New Roman"/>
          <w:snapToGrid w:val="0"/>
        </w:rPr>
        <w:t>mėnesio AR veikiančio vaistinio preparato grupėje, RS 0,52; 95</w:t>
      </w:r>
      <w:r>
        <w:rPr>
          <w:rFonts w:ascii="Times New Roman" w:eastAsia="Times New Roman" w:hAnsi="Times New Roman"/>
          <w:snapToGrid w:val="0"/>
        </w:rPr>
        <w:t> </w:t>
      </w:r>
      <w:r w:rsidRPr="00C006C6">
        <w:rPr>
          <w:rFonts w:ascii="Times New Roman" w:eastAsia="Times New Roman" w:hAnsi="Times New Roman"/>
          <w:snapToGrid w:val="0"/>
        </w:rPr>
        <w:t>% PI: 0,40-0,68), patvirtintą PSA reakciją (36,3</w:t>
      </w:r>
      <w:r>
        <w:rPr>
          <w:rFonts w:ascii="Times New Roman" w:eastAsia="Times New Roman" w:hAnsi="Times New Roman"/>
          <w:snapToGrid w:val="0"/>
        </w:rPr>
        <w:t> </w:t>
      </w:r>
      <w:r w:rsidRPr="00C006C6">
        <w:rPr>
          <w:rFonts w:ascii="Times New Roman" w:eastAsia="Times New Roman" w:hAnsi="Times New Roman"/>
          <w:snapToGrid w:val="0"/>
        </w:rPr>
        <w:t xml:space="preserve">% </w:t>
      </w:r>
      <w:proofErr w:type="spellStart"/>
      <w:r w:rsidRPr="00453FE1">
        <w:rPr>
          <w:rFonts w:ascii="Times New Roman" w:eastAsia="Times New Roman" w:hAnsi="Times New Roman"/>
          <w:snapToGrid w:val="0"/>
        </w:rPr>
        <w:t>kabazitakselio</w:t>
      </w:r>
      <w:proofErr w:type="spellEnd"/>
      <w:r w:rsidRPr="00C006C6">
        <w:rPr>
          <w:rFonts w:ascii="Times New Roman" w:eastAsia="Times New Roman" w:hAnsi="Times New Roman"/>
          <w:snapToGrid w:val="0"/>
        </w:rPr>
        <w:t xml:space="preserve"> grupėje, palyginti su 14,3</w:t>
      </w:r>
      <w:r>
        <w:rPr>
          <w:rFonts w:ascii="Times New Roman" w:eastAsia="Times New Roman" w:hAnsi="Times New Roman"/>
          <w:snapToGrid w:val="0"/>
        </w:rPr>
        <w:t> </w:t>
      </w:r>
      <w:r w:rsidRPr="00C006C6">
        <w:rPr>
          <w:rFonts w:ascii="Times New Roman" w:eastAsia="Times New Roman" w:hAnsi="Times New Roman"/>
          <w:snapToGrid w:val="0"/>
        </w:rPr>
        <w:t>% AR veikiančio vaistinio preparato grupėje, p=0,0003) ir geriausią naviko atsaką (36,5</w:t>
      </w:r>
      <w:r>
        <w:rPr>
          <w:rFonts w:ascii="Times New Roman" w:eastAsia="Times New Roman" w:hAnsi="Times New Roman"/>
          <w:snapToGrid w:val="0"/>
        </w:rPr>
        <w:t> </w:t>
      </w:r>
      <w:r w:rsidRPr="00C006C6">
        <w:rPr>
          <w:rFonts w:ascii="Times New Roman" w:eastAsia="Times New Roman" w:hAnsi="Times New Roman"/>
          <w:snapToGrid w:val="0"/>
        </w:rPr>
        <w:t xml:space="preserve">% </w:t>
      </w:r>
      <w:proofErr w:type="spellStart"/>
      <w:r w:rsidRPr="00453FE1">
        <w:rPr>
          <w:rFonts w:ascii="Times New Roman" w:eastAsia="Times New Roman" w:hAnsi="Times New Roman"/>
          <w:snapToGrid w:val="0"/>
        </w:rPr>
        <w:t>kabazitakselio</w:t>
      </w:r>
      <w:proofErr w:type="spellEnd"/>
      <w:r w:rsidRPr="00C006C6">
        <w:rPr>
          <w:rFonts w:ascii="Times New Roman" w:eastAsia="Times New Roman" w:hAnsi="Times New Roman"/>
          <w:snapToGrid w:val="0"/>
        </w:rPr>
        <w:t xml:space="preserve"> grupėje, palyginti su 11,5</w:t>
      </w:r>
      <w:r>
        <w:rPr>
          <w:rFonts w:ascii="Times New Roman" w:eastAsia="Times New Roman" w:hAnsi="Times New Roman"/>
          <w:snapToGrid w:val="0"/>
        </w:rPr>
        <w:t> </w:t>
      </w:r>
      <w:r w:rsidRPr="00C006C6">
        <w:rPr>
          <w:rFonts w:ascii="Times New Roman" w:eastAsia="Times New Roman" w:hAnsi="Times New Roman"/>
          <w:snapToGrid w:val="0"/>
        </w:rPr>
        <w:t>% AR veikiančio vaistinio preparato grupėje, p=0,004).</w:t>
      </w:r>
    </w:p>
    <w:p w14:paraId="704561BB" w14:textId="508BF9EC" w:rsidR="005B0F82" w:rsidRPr="00C006C6" w:rsidRDefault="005B0F82" w:rsidP="005B0F82">
      <w:pPr>
        <w:tabs>
          <w:tab w:val="left" w:pos="567"/>
        </w:tabs>
        <w:spacing w:after="0" w:line="260" w:lineRule="exact"/>
        <w:rPr>
          <w:rFonts w:ascii="Times New Roman" w:eastAsia="Times New Roman" w:hAnsi="Times New Roman"/>
          <w:snapToGrid w:val="0"/>
        </w:rPr>
      </w:pPr>
      <w:r w:rsidRPr="00F175BE">
        <w:rPr>
          <w:rFonts w:ascii="Times New Roman" w:eastAsia="Times New Roman" w:hAnsi="Times New Roman"/>
          <w:i/>
          <w:iCs/>
          <w:snapToGrid w:val="0"/>
        </w:rPr>
        <w:t>CARD</w:t>
      </w:r>
      <w:r w:rsidRPr="00C006C6">
        <w:rPr>
          <w:rFonts w:ascii="Times New Roman" w:eastAsia="Times New Roman" w:hAnsi="Times New Roman"/>
          <w:snapToGrid w:val="0"/>
        </w:rPr>
        <w:t xml:space="preserve"> tyrimo metu gauti duomenys apie </w:t>
      </w:r>
      <w:proofErr w:type="spellStart"/>
      <w:r w:rsidRPr="00DF37C2">
        <w:rPr>
          <w:rFonts w:ascii="Times New Roman" w:eastAsia="Times New Roman" w:hAnsi="Times New Roman"/>
          <w:snapToGrid w:val="0"/>
        </w:rPr>
        <w:t>kabazitakselio</w:t>
      </w:r>
      <w:proofErr w:type="spellEnd"/>
      <w:r w:rsidRPr="00C006C6">
        <w:rPr>
          <w:rFonts w:ascii="Times New Roman" w:eastAsia="Times New Roman" w:hAnsi="Times New Roman"/>
          <w:snapToGrid w:val="0"/>
        </w:rPr>
        <w:t xml:space="preserve"> 25</w:t>
      </w:r>
      <w:r w:rsidR="000B76A9">
        <w:rPr>
          <w:rFonts w:ascii="Times New Roman" w:eastAsia="Times New Roman" w:hAnsi="Times New Roman"/>
          <w:snapToGrid w:val="0"/>
        </w:rPr>
        <w:t> </w:t>
      </w:r>
      <w:r w:rsidRPr="00C006C6">
        <w:rPr>
          <w:rFonts w:ascii="Times New Roman" w:eastAsia="Times New Roman" w:hAnsi="Times New Roman"/>
          <w:snapToGrid w:val="0"/>
        </w:rPr>
        <w:t>mg/m</w:t>
      </w:r>
      <w:r w:rsidRPr="00F175BE">
        <w:rPr>
          <w:rFonts w:ascii="Times New Roman" w:eastAsia="Times New Roman" w:hAnsi="Times New Roman"/>
          <w:snapToGrid w:val="0"/>
          <w:vertAlign w:val="superscript"/>
        </w:rPr>
        <w:t>2</w:t>
      </w:r>
      <w:r w:rsidRPr="00C006C6">
        <w:rPr>
          <w:rFonts w:ascii="Times New Roman" w:eastAsia="Times New Roman" w:hAnsi="Times New Roman"/>
          <w:snapToGrid w:val="0"/>
        </w:rPr>
        <w:t xml:space="preserve"> dozės saugumo savybes apskritai atitiko </w:t>
      </w:r>
      <w:r w:rsidRPr="00F175BE">
        <w:rPr>
          <w:rFonts w:ascii="Times New Roman" w:eastAsia="Times New Roman" w:hAnsi="Times New Roman"/>
          <w:i/>
          <w:iCs/>
          <w:snapToGrid w:val="0"/>
        </w:rPr>
        <w:t>TROPIC</w:t>
      </w:r>
      <w:r w:rsidRPr="00C006C6">
        <w:rPr>
          <w:rFonts w:ascii="Times New Roman" w:eastAsia="Times New Roman" w:hAnsi="Times New Roman"/>
          <w:snapToGrid w:val="0"/>
        </w:rPr>
        <w:t xml:space="preserve"> ir </w:t>
      </w:r>
      <w:r w:rsidRPr="00F175BE">
        <w:rPr>
          <w:rFonts w:ascii="Times New Roman" w:eastAsia="Times New Roman" w:hAnsi="Times New Roman"/>
          <w:i/>
          <w:iCs/>
          <w:snapToGrid w:val="0"/>
        </w:rPr>
        <w:t>PROSELICA</w:t>
      </w:r>
      <w:r w:rsidRPr="00C006C6">
        <w:rPr>
          <w:rFonts w:ascii="Times New Roman" w:eastAsia="Times New Roman" w:hAnsi="Times New Roman"/>
          <w:snapToGrid w:val="0"/>
        </w:rPr>
        <w:t xml:space="preserve"> tyrimų metu gautus duomenis (žr. 4.8 skyrių). ≥</w:t>
      </w:r>
      <w:r>
        <w:rPr>
          <w:rFonts w:ascii="Times New Roman" w:eastAsia="Times New Roman" w:hAnsi="Times New Roman"/>
          <w:snapToGrid w:val="0"/>
        </w:rPr>
        <w:t> </w:t>
      </w:r>
      <w:r w:rsidRPr="00C006C6">
        <w:rPr>
          <w:rFonts w:ascii="Times New Roman" w:eastAsia="Times New Roman" w:hAnsi="Times New Roman"/>
          <w:snapToGrid w:val="0"/>
        </w:rPr>
        <w:t>3</w:t>
      </w:r>
      <w:r w:rsidR="000B76A9">
        <w:rPr>
          <w:rFonts w:ascii="Times New Roman" w:eastAsia="Times New Roman" w:hAnsi="Times New Roman"/>
          <w:snapToGrid w:val="0"/>
        </w:rPr>
        <w:t> </w:t>
      </w:r>
      <w:r w:rsidRPr="00C006C6">
        <w:rPr>
          <w:rFonts w:ascii="Times New Roman" w:eastAsia="Times New Roman" w:hAnsi="Times New Roman"/>
          <w:snapToGrid w:val="0"/>
        </w:rPr>
        <w:t>laipsnio nepageidaujamų reiškinių dažnis buvo 53,2</w:t>
      </w:r>
      <w:r>
        <w:rPr>
          <w:rFonts w:ascii="Times New Roman" w:eastAsia="Times New Roman" w:hAnsi="Times New Roman"/>
          <w:snapToGrid w:val="0"/>
        </w:rPr>
        <w:t> </w:t>
      </w:r>
      <w:r w:rsidRPr="00C006C6">
        <w:rPr>
          <w:rFonts w:ascii="Times New Roman" w:eastAsia="Times New Roman" w:hAnsi="Times New Roman"/>
          <w:snapToGrid w:val="0"/>
        </w:rPr>
        <w:t xml:space="preserve">% </w:t>
      </w:r>
      <w:proofErr w:type="spellStart"/>
      <w:r w:rsidRPr="00DF37C2">
        <w:rPr>
          <w:rFonts w:ascii="Times New Roman" w:eastAsia="Times New Roman" w:hAnsi="Times New Roman"/>
          <w:snapToGrid w:val="0"/>
        </w:rPr>
        <w:t>kabazitakselio</w:t>
      </w:r>
      <w:proofErr w:type="spellEnd"/>
      <w:r w:rsidRPr="00C006C6">
        <w:rPr>
          <w:rFonts w:ascii="Times New Roman" w:eastAsia="Times New Roman" w:hAnsi="Times New Roman"/>
          <w:snapToGrid w:val="0"/>
        </w:rPr>
        <w:t xml:space="preserve"> grupėje, palyginti su 46,0</w:t>
      </w:r>
      <w:r>
        <w:rPr>
          <w:rFonts w:ascii="Times New Roman" w:eastAsia="Times New Roman" w:hAnsi="Times New Roman"/>
          <w:snapToGrid w:val="0"/>
        </w:rPr>
        <w:t> </w:t>
      </w:r>
      <w:r w:rsidRPr="00C006C6">
        <w:rPr>
          <w:rFonts w:ascii="Times New Roman" w:eastAsia="Times New Roman" w:hAnsi="Times New Roman"/>
          <w:snapToGrid w:val="0"/>
        </w:rPr>
        <w:t>% AR veikiančio vaistinio preparato grupėje. ≥</w:t>
      </w:r>
      <w:r>
        <w:rPr>
          <w:rFonts w:ascii="Times New Roman" w:eastAsia="Times New Roman" w:hAnsi="Times New Roman"/>
          <w:snapToGrid w:val="0"/>
        </w:rPr>
        <w:t> </w:t>
      </w:r>
      <w:r w:rsidRPr="00C006C6">
        <w:rPr>
          <w:rFonts w:ascii="Times New Roman" w:eastAsia="Times New Roman" w:hAnsi="Times New Roman"/>
          <w:snapToGrid w:val="0"/>
        </w:rPr>
        <w:t>3</w:t>
      </w:r>
      <w:r w:rsidR="00802848">
        <w:rPr>
          <w:rFonts w:ascii="Times New Roman" w:eastAsia="Times New Roman" w:hAnsi="Times New Roman"/>
          <w:snapToGrid w:val="0"/>
        </w:rPr>
        <w:t> </w:t>
      </w:r>
      <w:r w:rsidRPr="00C006C6">
        <w:rPr>
          <w:rFonts w:ascii="Times New Roman" w:eastAsia="Times New Roman" w:hAnsi="Times New Roman"/>
          <w:snapToGrid w:val="0"/>
        </w:rPr>
        <w:t>laipsnio sunkių nepageidaujamų reiškinių dažnis buvo 31,7</w:t>
      </w:r>
      <w:r>
        <w:rPr>
          <w:rFonts w:ascii="Times New Roman" w:eastAsia="Times New Roman" w:hAnsi="Times New Roman"/>
          <w:snapToGrid w:val="0"/>
        </w:rPr>
        <w:t> </w:t>
      </w:r>
      <w:r w:rsidRPr="00C006C6">
        <w:rPr>
          <w:rFonts w:ascii="Times New Roman" w:eastAsia="Times New Roman" w:hAnsi="Times New Roman"/>
          <w:snapToGrid w:val="0"/>
        </w:rPr>
        <w:t xml:space="preserve">% </w:t>
      </w:r>
      <w:proofErr w:type="spellStart"/>
      <w:r w:rsidRPr="00DF37C2">
        <w:rPr>
          <w:rFonts w:ascii="Times New Roman" w:eastAsia="Times New Roman" w:hAnsi="Times New Roman"/>
          <w:snapToGrid w:val="0"/>
        </w:rPr>
        <w:t>kabazitakselio</w:t>
      </w:r>
      <w:proofErr w:type="spellEnd"/>
      <w:r w:rsidRPr="00C006C6">
        <w:rPr>
          <w:rFonts w:ascii="Times New Roman" w:eastAsia="Times New Roman" w:hAnsi="Times New Roman"/>
          <w:snapToGrid w:val="0"/>
        </w:rPr>
        <w:t xml:space="preserve"> grupėje, palyginti su 37,1</w:t>
      </w:r>
      <w:r>
        <w:rPr>
          <w:rFonts w:ascii="Times New Roman" w:eastAsia="Times New Roman" w:hAnsi="Times New Roman"/>
          <w:snapToGrid w:val="0"/>
        </w:rPr>
        <w:t> </w:t>
      </w:r>
      <w:r w:rsidRPr="00C006C6">
        <w:rPr>
          <w:rFonts w:ascii="Times New Roman" w:eastAsia="Times New Roman" w:hAnsi="Times New Roman"/>
          <w:snapToGrid w:val="0"/>
        </w:rPr>
        <w:t>% AR veikiančio vaistinio preparato grupėje. Tyrimo gydymo nutraukimo visam laikui dėl nepageidaujamo reiškinio dažnis buvo 19,8</w:t>
      </w:r>
      <w:r>
        <w:rPr>
          <w:rFonts w:ascii="Times New Roman" w:eastAsia="Times New Roman" w:hAnsi="Times New Roman"/>
          <w:snapToGrid w:val="0"/>
        </w:rPr>
        <w:t> </w:t>
      </w:r>
      <w:r w:rsidRPr="00C006C6">
        <w:rPr>
          <w:rFonts w:ascii="Times New Roman" w:eastAsia="Times New Roman" w:hAnsi="Times New Roman"/>
          <w:snapToGrid w:val="0"/>
        </w:rPr>
        <w:t xml:space="preserve">% </w:t>
      </w:r>
      <w:proofErr w:type="spellStart"/>
      <w:r w:rsidRPr="00DF37C2">
        <w:rPr>
          <w:rFonts w:ascii="Times New Roman" w:eastAsia="Times New Roman" w:hAnsi="Times New Roman"/>
          <w:snapToGrid w:val="0"/>
        </w:rPr>
        <w:t>kabazitakselio</w:t>
      </w:r>
      <w:proofErr w:type="spellEnd"/>
      <w:r w:rsidRPr="00C006C6">
        <w:rPr>
          <w:rFonts w:ascii="Times New Roman" w:eastAsia="Times New Roman" w:hAnsi="Times New Roman"/>
          <w:snapToGrid w:val="0"/>
        </w:rPr>
        <w:t xml:space="preserve"> grupėje, palyginti su 8,1</w:t>
      </w:r>
      <w:r>
        <w:rPr>
          <w:rFonts w:ascii="Times New Roman" w:eastAsia="Times New Roman" w:hAnsi="Times New Roman"/>
          <w:snapToGrid w:val="0"/>
        </w:rPr>
        <w:t> </w:t>
      </w:r>
      <w:r w:rsidRPr="00C006C6">
        <w:rPr>
          <w:rFonts w:ascii="Times New Roman" w:eastAsia="Times New Roman" w:hAnsi="Times New Roman"/>
          <w:snapToGrid w:val="0"/>
        </w:rPr>
        <w:t>% AR veikiančio vaistinio preparato grupėje. Mirtį sukėlusio nepageidaujamo reiškinio dažnis buvo 5,6</w:t>
      </w:r>
      <w:r>
        <w:rPr>
          <w:rFonts w:ascii="Times New Roman" w:eastAsia="Times New Roman" w:hAnsi="Times New Roman"/>
          <w:snapToGrid w:val="0"/>
        </w:rPr>
        <w:t> </w:t>
      </w:r>
      <w:r w:rsidRPr="00C006C6">
        <w:rPr>
          <w:rFonts w:ascii="Times New Roman" w:eastAsia="Times New Roman" w:hAnsi="Times New Roman"/>
          <w:snapToGrid w:val="0"/>
        </w:rPr>
        <w:t xml:space="preserve">% </w:t>
      </w:r>
      <w:proofErr w:type="spellStart"/>
      <w:r w:rsidRPr="00DF37C2">
        <w:rPr>
          <w:rFonts w:ascii="Times New Roman" w:eastAsia="Times New Roman" w:hAnsi="Times New Roman"/>
          <w:snapToGrid w:val="0"/>
        </w:rPr>
        <w:t>kabazitakselio</w:t>
      </w:r>
      <w:proofErr w:type="spellEnd"/>
      <w:r w:rsidRPr="00C006C6">
        <w:rPr>
          <w:rFonts w:ascii="Times New Roman" w:eastAsia="Times New Roman" w:hAnsi="Times New Roman"/>
          <w:snapToGrid w:val="0"/>
        </w:rPr>
        <w:t xml:space="preserve"> grupėje, palyginti su 10,5</w:t>
      </w:r>
      <w:r>
        <w:rPr>
          <w:rFonts w:ascii="Times New Roman" w:eastAsia="Times New Roman" w:hAnsi="Times New Roman"/>
          <w:snapToGrid w:val="0"/>
        </w:rPr>
        <w:t> </w:t>
      </w:r>
      <w:r w:rsidRPr="00C006C6">
        <w:rPr>
          <w:rFonts w:ascii="Times New Roman" w:eastAsia="Times New Roman" w:hAnsi="Times New Roman"/>
          <w:snapToGrid w:val="0"/>
        </w:rPr>
        <w:t>% AR veikiančio vaistinio preparato grupėje.</w:t>
      </w:r>
    </w:p>
    <w:p w14:paraId="325AE592" w14:textId="77777777" w:rsidR="00D27B20" w:rsidRPr="00074768" w:rsidRDefault="00D27B20" w:rsidP="00267DDB">
      <w:pPr>
        <w:tabs>
          <w:tab w:val="left" w:pos="567"/>
        </w:tabs>
        <w:spacing w:after="0" w:line="260" w:lineRule="exact"/>
        <w:rPr>
          <w:rFonts w:ascii="Times New Roman" w:eastAsia="Times New Roman" w:hAnsi="Times New Roman"/>
          <w:snapToGrid w:val="0"/>
        </w:rPr>
      </w:pPr>
    </w:p>
    <w:p w14:paraId="6425DFF6" w14:textId="77777777" w:rsidR="008F71CF" w:rsidRPr="0085406C" w:rsidRDefault="008F71CF" w:rsidP="008F71CF">
      <w:pPr>
        <w:tabs>
          <w:tab w:val="left" w:pos="567"/>
        </w:tabs>
        <w:spacing w:after="0" w:line="260" w:lineRule="exact"/>
        <w:rPr>
          <w:rFonts w:ascii="Times New Roman" w:eastAsia="Times New Roman" w:hAnsi="Times New Roman"/>
          <w:snapToGrid w:val="0"/>
          <w:u w:val="single"/>
        </w:rPr>
      </w:pPr>
      <w:r w:rsidRPr="0085406C">
        <w:rPr>
          <w:rFonts w:ascii="Times New Roman" w:eastAsia="Times New Roman" w:hAnsi="Times New Roman"/>
          <w:snapToGrid w:val="0"/>
          <w:u w:val="single"/>
        </w:rPr>
        <w:t>Vaikų populiacija</w:t>
      </w:r>
    </w:p>
    <w:p w14:paraId="1C0DDCFA" w14:textId="285ADE29" w:rsidR="008F71CF" w:rsidRPr="004200DB" w:rsidRDefault="008F71CF" w:rsidP="008F71CF">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lastRenderedPageBreak/>
        <w:t xml:space="preserve">Europos vaistų agentūra nereikalauja įsipareigoti pateikti rezultatų tyrimų, atliktų su </w:t>
      </w:r>
      <w:proofErr w:type="spellStart"/>
      <w:r w:rsidRPr="004200DB">
        <w:rPr>
          <w:rFonts w:ascii="Times New Roman" w:eastAsia="Times New Roman" w:hAnsi="Times New Roman"/>
          <w:snapToGrid w:val="0"/>
        </w:rPr>
        <w:t>kabazitakseliu</w:t>
      </w:r>
      <w:proofErr w:type="spellEnd"/>
      <w:r w:rsidRPr="004200DB">
        <w:rPr>
          <w:rFonts w:ascii="Times New Roman" w:eastAsia="Times New Roman" w:hAnsi="Times New Roman"/>
          <w:snapToGrid w:val="0"/>
        </w:rPr>
        <w:t xml:space="preserve"> visuose vaikų pogrupiuose prostatos vėžio indikacijai (informaciją apie vartojimą vaikams žr.</w:t>
      </w:r>
      <w:r w:rsidR="00211B31">
        <w:rPr>
          <w:rFonts w:ascii="Times New Roman" w:eastAsia="Times New Roman" w:hAnsi="Times New Roman"/>
          <w:snapToGrid w:val="0"/>
        </w:rPr>
        <w:t> </w:t>
      </w:r>
      <w:r w:rsidRPr="004200DB">
        <w:rPr>
          <w:rFonts w:ascii="Times New Roman" w:eastAsia="Times New Roman" w:hAnsi="Times New Roman"/>
          <w:snapToGrid w:val="0"/>
        </w:rPr>
        <w:t>4.2</w:t>
      </w:r>
      <w:r w:rsidR="00211B31">
        <w:rPr>
          <w:rFonts w:ascii="Times New Roman" w:eastAsia="Times New Roman" w:hAnsi="Times New Roman"/>
          <w:snapToGrid w:val="0"/>
        </w:rPr>
        <w:t> </w:t>
      </w:r>
      <w:r w:rsidRPr="004200DB">
        <w:rPr>
          <w:rFonts w:ascii="Times New Roman" w:eastAsia="Times New Roman" w:hAnsi="Times New Roman"/>
          <w:snapToGrid w:val="0"/>
        </w:rPr>
        <w:t>skyriuje).</w:t>
      </w:r>
    </w:p>
    <w:p w14:paraId="5AE318EB" w14:textId="77777777" w:rsidR="008F71CF" w:rsidRPr="00037DA8" w:rsidRDefault="008F71CF" w:rsidP="008F71CF">
      <w:pPr>
        <w:tabs>
          <w:tab w:val="left" w:pos="567"/>
        </w:tabs>
        <w:spacing w:after="0" w:line="260" w:lineRule="exact"/>
        <w:rPr>
          <w:rFonts w:ascii="Times New Roman" w:eastAsia="Times New Roman" w:hAnsi="Times New Roman"/>
          <w:snapToGrid w:val="0"/>
        </w:rPr>
      </w:pPr>
    </w:p>
    <w:p w14:paraId="553FCEC1" w14:textId="2EFA02D8" w:rsidR="00D27B20" w:rsidRPr="00037DA8" w:rsidRDefault="008F71CF" w:rsidP="008F71CF">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poveikis buvo tirtas atviro, </w:t>
      </w:r>
      <w:proofErr w:type="spellStart"/>
      <w:r w:rsidRPr="00037DA8">
        <w:rPr>
          <w:rFonts w:ascii="Times New Roman" w:eastAsia="Times New Roman" w:hAnsi="Times New Roman"/>
          <w:snapToGrid w:val="0"/>
        </w:rPr>
        <w:t>daugiacentrio</w:t>
      </w:r>
      <w:proofErr w:type="spellEnd"/>
      <w:r w:rsidRPr="00037DA8">
        <w:rPr>
          <w:rFonts w:ascii="Times New Roman" w:eastAsia="Times New Roman" w:hAnsi="Times New Roman"/>
          <w:snapToGrid w:val="0"/>
        </w:rPr>
        <w:t xml:space="preserve"> 1/2 fazės tyrimo, kuriame iš viso dalyvavo 39</w:t>
      </w:r>
      <w:r w:rsidR="00211B31">
        <w:rPr>
          <w:rFonts w:ascii="Times New Roman" w:eastAsia="Times New Roman" w:hAnsi="Times New Roman"/>
          <w:snapToGrid w:val="0"/>
        </w:rPr>
        <w:t> </w:t>
      </w:r>
      <w:r w:rsidRPr="00037DA8">
        <w:rPr>
          <w:rFonts w:ascii="Times New Roman" w:eastAsia="Times New Roman" w:hAnsi="Times New Roman"/>
          <w:snapToGrid w:val="0"/>
        </w:rPr>
        <w:t>vaikai ir paaugliai (4</w:t>
      </w:r>
      <w:r w:rsidR="00211B31">
        <w:rPr>
          <w:rFonts w:ascii="Times New Roman" w:eastAsia="Times New Roman" w:hAnsi="Times New Roman"/>
          <w:snapToGrid w:val="0"/>
        </w:rPr>
        <w:noBreakHyphen/>
      </w:r>
      <w:r w:rsidRPr="00037DA8">
        <w:rPr>
          <w:rFonts w:ascii="Times New Roman" w:eastAsia="Times New Roman" w:hAnsi="Times New Roman"/>
          <w:snapToGrid w:val="0"/>
        </w:rPr>
        <w:t>18</w:t>
      </w:r>
      <w:r w:rsidR="00211B31">
        <w:rPr>
          <w:rFonts w:ascii="Times New Roman" w:eastAsia="Times New Roman" w:hAnsi="Times New Roman"/>
          <w:snapToGrid w:val="0"/>
        </w:rPr>
        <w:t> </w:t>
      </w:r>
      <w:r w:rsidRPr="00037DA8">
        <w:rPr>
          <w:rFonts w:ascii="Times New Roman" w:eastAsia="Times New Roman" w:hAnsi="Times New Roman"/>
          <w:snapToGrid w:val="0"/>
        </w:rPr>
        <w:t>metų − 1</w:t>
      </w:r>
      <w:r w:rsidR="00211B31">
        <w:rPr>
          <w:rFonts w:ascii="Times New Roman" w:eastAsia="Times New Roman" w:hAnsi="Times New Roman"/>
          <w:snapToGrid w:val="0"/>
        </w:rPr>
        <w:t> </w:t>
      </w:r>
      <w:r w:rsidRPr="00037DA8">
        <w:rPr>
          <w:rFonts w:ascii="Times New Roman" w:eastAsia="Times New Roman" w:hAnsi="Times New Roman"/>
          <w:snapToGrid w:val="0"/>
        </w:rPr>
        <w:t>fazės tyrimo dalyje ir 3</w:t>
      </w:r>
      <w:r w:rsidR="00211B31">
        <w:rPr>
          <w:rFonts w:ascii="Times New Roman" w:eastAsia="Times New Roman" w:hAnsi="Times New Roman"/>
          <w:snapToGrid w:val="0"/>
        </w:rPr>
        <w:noBreakHyphen/>
      </w:r>
      <w:r w:rsidRPr="00037DA8">
        <w:rPr>
          <w:rFonts w:ascii="Times New Roman" w:eastAsia="Times New Roman" w:hAnsi="Times New Roman"/>
          <w:snapToGrid w:val="0"/>
        </w:rPr>
        <w:t>16</w:t>
      </w:r>
      <w:r w:rsidR="00211B31">
        <w:rPr>
          <w:rFonts w:ascii="Times New Roman" w:eastAsia="Times New Roman" w:hAnsi="Times New Roman"/>
          <w:snapToGrid w:val="0"/>
        </w:rPr>
        <w:t> </w:t>
      </w:r>
      <w:r w:rsidRPr="00037DA8">
        <w:rPr>
          <w:rFonts w:ascii="Times New Roman" w:eastAsia="Times New Roman" w:hAnsi="Times New Roman"/>
          <w:snapToGrid w:val="0"/>
        </w:rPr>
        <w:t>metų − 2</w:t>
      </w:r>
      <w:r w:rsidR="00211B31">
        <w:rPr>
          <w:rFonts w:ascii="Times New Roman" w:eastAsia="Times New Roman" w:hAnsi="Times New Roman"/>
          <w:snapToGrid w:val="0"/>
        </w:rPr>
        <w:t> </w:t>
      </w:r>
      <w:r w:rsidRPr="00037DA8">
        <w:rPr>
          <w:rFonts w:ascii="Times New Roman" w:eastAsia="Times New Roman" w:hAnsi="Times New Roman"/>
          <w:snapToGrid w:val="0"/>
        </w:rPr>
        <w:t>fazės tyrimo dalyje), metu. 2</w:t>
      </w:r>
      <w:r w:rsidR="00211B31">
        <w:rPr>
          <w:rFonts w:ascii="Times New Roman" w:eastAsia="Times New Roman" w:hAnsi="Times New Roman"/>
          <w:snapToGrid w:val="0"/>
        </w:rPr>
        <w:t> </w:t>
      </w:r>
      <w:r w:rsidRPr="00037DA8">
        <w:rPr>
          <w:rFonts w:ascii="Times New Roman" w:eastAsia="Times New Roman" w:hAnsi="Times New Roman"/>
          <w:snapToGrid w:val="0"/>
        </w:rPr>
        <w:t xml:space="preserve">fazės dalies metu </w:t>
      </w:r>
      <w:proofErr w:type="spellStart"/>
      <w:r w:rsidRPr="00037DA8">
        <w:rPr>
          <w:rFonts w:ascii="Times New Roman" w:eastAsia="Times New Roman" w:hAnsi="Times New Roman"/>
          <w:snapToGrid w:val="0"/>
        </w:rPr>
        <w:t>monoterapijai</w:t>
      </w:r>
      <w:proofErr w:type="spellEnd"/>
      <w:r w:rsidRPr="00037DA8">
        <w:rPr>
          <w:rFonts w:ascii="Times New Roman" w:eastAsia="Times New Roman" w:hAnsi="Times New Roman"/>
          <w:snapToGrid w:val="0"/>
        </w:rPr>
        <w:t xml:space="preserve"> vartojamo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(30</w:t>
      </w:r>
      <w:r w:rsidR="00A86465" w:rsidRPr="00037DA8">
        <w:rPr>
          <w:rFonts w:ascii="Times New Roman" w:eastAsia="Times New Roman" w:hAnsi="Times New Roman"/>
          <w:snapToGrid w:val="0"/>
        </w:rPr>
        <w:t> </w:t>
      </w:r>
      <w:r w:rsidRPr="00037DA8">
        <w:rPr>
          <w:rFonts w:ascii="Times New Roman" w:eastAsia="Times New Roman" w:hAnsi="Times New Roman"/>
          <w:snapToGrid w:val="0"/>
        </w:rPr>
        <w:t xml:space="preserve">mg/m² dozės) veiksmingumas gydant vaikus ir paauglius, sirgusius pasikartojančia ar į gydymą nereaguojančia difuzine vidine </w:t>
      </w:r>
      <w:r w:rsidR="00A86465" w:rsidRPr="00037DA8">
        <w:rPr>
          <w:rFonts w:ascii="Times New Roman" w:eastAsia="Times New Roman" w:hAnsi="Times New Roman"/>
          <w:snapToGrid w:val="0"/>
        </w:rPr>
        <w:t>smegenų tilto</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glioma</w:t>
      </w:r>
      <w:proofErr w:type="spellEnd"/>
      <w:r w:rsidRPr="00037DA8">
        <w:rPr>
          <w:rFonts w:ascii="Times New Roman" w:eastAsia="Times New Roman" w:hAnsi="Times New Roman"/>
          <w:snapToGrid w:val="0"/>
        </w:rPr>
        <w:t xml:space="preserve"> (angl. </w:t>
      </w:r>
      <w:proofErr w:type="spellStart"/>
      <w:r w:rsidRPr="00037DA8">
        <w:rPr>
          <w:rFonts w:ascii="Times New Roman" w:eastAsia="Times New Roman" w:hAnsi="Times New Roman"/>
          <w:i/>
          <w:iCs/>
          <w:snapToGrid w:val="0"/>
        </w:rPr>
        <w:t>diffuse</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intrinsic</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pontine</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glioma</w:t>
      </w:r>
      <w:proofErr w:type="spellEnd"/>
      <w:r w:rsidRPr="00037DA8">
        <w:rPr>
          <w:rFonts w:ascii="Times New Roman" w:eastAsia="Times New Roman" w:hAnsi="Times New Roman"/>
          <w:snapToGrid w:val="0"/>
        </w:rPr>
        <w:t xml:space="preserve">, DIPG) ir didelio laipsnio </w:t>
      </w:r>
      <w:proofErr w:type="spellStart"/>
      <w:r w:rsidRPr="00037DA8">
        <w:rPr>
          <w:rFonts w:ascii="Times New Roman" w:eastAsia="Times New Roman" w:hAnsi="Times New Roman"/>
          <w:snapToGrid w:val="0"/>
        </w:rPr>
        <w:t>glioma</w:t>
      </w:r>
      <w:proofErr w:type="spellEnd"/>
      <w:r w:rsidRPr="00037DA8">
        <w:rPr>
          <w:rFonts w:ascii="Times New Roman" w:eastAsia="Times New Roman" w:hAnsi="Times New Roman"/>
          <w:snapToGrid w:val="0"/>
        </w:rPr>
        <w:t xml:space="preserve"> (angl. </w:t>
      </w:r>
      <w:proofErr w:type="spellStart"/>
      <w:r w:rsidRPr="00037DA8">
        <w:rPr>
          <w:rFonts w:ascii="Times New Roman" w:eastAsia="Times New Roman" w:hAnsi="Times New Roman"/>
          <w:i/>
          <w:iCs/>
          <w:snapToGrid w:val="0"/>
        </w:rPr>
        <w:t>high</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grade</w:t>
      </w:r>
      <w:proofErr w:type="spellEnd"/>
      <w:r w:rsidR="004B7C5B"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glioma</w:t>
      </w:r>
      <w:proofErr w:type="spellEnd"/>
      <w:r w:rsidRPr="00037DA8">
        <w:rPr>
          <w:rFonts w:ascii="Times New Roman" w:eastAsia="Times New Roman" w:hAnsi="Times New Roman"/>
          <w:snapToGrid w:val="0"/>
        </w:rPr>
        <w:t>, HGG), patvirtintas nebuvo.</w:t>
      </w:r>
    </w:p>
    <w:p w14:paraId="0BEBA4B9" w14:textId="77777777" w:rsidR="00A86465" w:rsidRPr="00037DA8" w:rsidRDefault="00A86465" w:rsidP="008F71CF">
      <w:pPr>
        <w:tabs>
          <w:tab w:val="left" w:pos="567"/>
        </w:tabs>
        <w:spacing w:after="0" w:line="260" w:lineRule="exact"/>
        <w:rPr>
          <w:rFonts w:ascii="Times New Roman" w:eastAsia="Times New Roman" w:hAnsi="Times New Roman"/>
          <w:snapToGrid w:val="0"/>
        </w:rPr>
      </w:pPr>
    </w:p>
    <w:p w14:paraId="6A1B022E" w14:textId="77777777" w:rsidR="00A86465" w:rsidRPr="00037DA8" w:rsidRDefault="00A86465" w:rsidP="00A86465">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5.2</w:t>
      </w:r>
      <w:r w:rsidRPr="00037DA8">
        <w:rPr>
          <w:rFonts w:ascii="Times New Roman" w:eastAsia="Times New Roman" w:hAnsi="Times New Roman"/>
          <w:b/>
          <w:bCs/>
          <w:snapToGrid w:val="0"/>
        </w:rPr>
        <w:tab/>
      </w:r>
      <w:proofErr w:type="spellStart"/>
      <w:r w:rsidRPr="00037DA8">
        <w:rPr>
          <w:rFonts w:ascii="Times New Roman" w:eastAsia="Times New Roman" w:hAnsi="Times New Roman"/>
          <w:b/>
          <w:bCs/>
          <w:snapToGrid w:val="0"/>
        </w:rPr>
        <w:t>Farmakokinetinės</w:t>
      </w:r>
      <w:proofErr w:type="spellEnd"/>
      <w:r w:rsidRPr="00037DA8">
        <w:rPr>
          <w:rFonts w:ascii="Times New Roman" w:eastAsia="Times New Roman" w:hAnsi="Times New Roman"/>
          <w:b/>
          <w:bCs/>
          <w:snapToGrid w:val="0"/>
        </w:rPr>
        <w:t xml:space="preserve"> savybės</w:t>
      </w:r>
    </w:p>
    <w:p w14:paraId="292F88A9" w14:textId="77777777" w:rsidR="00A86465" w:rsidRPr="00037DA8" w:rsidRDefault="00A86465" w:rsidP="00A86465">
      <w:pPr>
        <w:tabs>
          <w:tab w:val="left" w:pos="567"/>
        </w:tabs>
        <w:spacing w:after="0" w:line="260" w:lineRule="exact"/>
        <w:rPr>
          <w:rFonts w:ascii="Times New Roman" w:eastAsia="Times New Roman" w:hAnsi="Times New Roman"/>
          <w:b/>
          <w:bCs/>
          <w:snapToGrid w:val="0"/>
        </w:rPr>
      </w:pPr>
    </w:p>
    <w:p w14:paraId="1F9A8F17" w14:textId="762FDD29" w:rsidR="00A86465" w:rsidRPr="00037DA8" w:rsidRDefault="00A86465" w:rsidP="00A86465">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Populiacinė</w:t>
      </w:r>
      <w:proofErr w:type="spellEnd"/>
      <w:r w:rsidRPr="00037DA8">
        <w:rPr>
          <w:rFonts w:ascii="Times New Roman" w:eastAsia="Times New Roman" w:hAnsi="Times New Roman"/>
          <w:snapToGrid w:val="0"/>
        </w:rPr>
        <w:t xml:space="preserve"> farmakokinetikos analizė atlikta ištyrus 170 pacientų, įskaitant tuos, kuriems buvo progresavusių </w:t>
      </w:r>
      <w:proofErr w:type="spellStart"/>
      <w:r w:rsidRPr="00037DA8">
        <w:rPr>
          <w:rFonts w:ascii="Times New Roman" w:eastAsia="Times New Roman" w:hAnsi="Times New Roman"/>
          <w:snapToGrid w:val="0"/>
        </w:rPr>
        <w:t>s</w:t>
      </w:r>
      <w:r w:rsidR="00B8260C">
        <w:rPr>
          <w:rFonts w:ascii="Times New Roman" w:eastAsia="Times New Roman" w:hAnsi="Times New Roman"/>
          <w:snapToGrid w:val="0"/>
        </w:rPr>
        <w:t>olidinių</w:t>
      </w:r>
      <w:proofErr w:type="spellEnd"/>
      <w:r w:rsidRPr="00037DA8">
        <w:rPr>
          <w:rFonts w:ascii="Times New Roman" w:eastAsia="Times New Roman" w:hAnsi="Times New Roman"/>
          <w:snapToGrid w:val="0"/>
        </w:rPr>
        <w:t xml:space="preserve"> navikų (n=69), </w:t>
      </w:r>
      <w:proofErr w:type="spellStart"/>
      <w:r w:rsidRPr="00037DA8">
        <w:rPr>
          <w:rFonts w:ascii="Times New Roman" w:eastAsia="Times New Roman" w:hAnsi="Times New Roman"/>
          <w:snapToGrid w:val="0"/>
        </w:rPr>
        <w:t>metastazavęs</w:t>
      </w:r>
      <w:proofErr w:type="spellEnd"/>
      <w:r w:rsidRPr="00037DA8">
        <w:rPr>
          <w:rFonts w:ascii="Times New Roman" w:eastAsia="Times New Roman" w:hAnsi="Times New Roman"/>
          <w:snapToGrid w:val="0"/>
        </w:rPr>
        <w:t xml:space="preserve"> krūties vėžys (n=34) ir </w:t>
      </w:r>
      <w:proofErr w:type="spellStart"/>
      <w:r w:rsidRPr="00037DA8">
        <w:rPr>
          <w:rFonts w:ascii="Times New Roman" w:eastAsia="Times New Roman" w:hAnsi="Times New Roman"/>
          <w:snapToGrid w:val="0"/>
        </w:rPr>
        <w:t>metastazavęs</w:t>
      </w:r>
      <w:proofErr w:type="spellEnd"/>
      <w:r w:rsidRPr="00037DA8">
        <w:rPr>
          <w:rFonts w:ascii="Times New Roman" w:eastAsia="Times New Roman" w:hAnsi="Times New Roman"/>
          <w:snapToGrid w:val="0"/>
        </w:rPr>
        <w:t xml:space="preserve"> prostatos vėžys (n=67), duomenis. Pacientams kas savaitę ar kas 3</w:t>
      </w:r>
      <w:r w:rsidR="00802848">
        <w:rPr>
          <w:rFonts w:ascii="Times New Roman" w:eastAsia="Times New Roman" w:hAnsi="Times New Roman"/>
          <w:snapToGrid w:val="0"/>
        </w:rPr>
        <w:t> </w:t>
      </w:r>
      <w:r w:rsidRPr="00037DA8">
        <w:rPr>
          <w:rFonts w:ascii="Times New Roman" w:eastAsia="Times New Roman" w:hAnsi="Times New Roman"/>
          <w:snapToGrid w:val="0"/>
        </w:rPr>
        <w:t xml:space="preserve">savaites </w:t>
      </w:r>
      <w:proofErr w:type="spellStart"/>
      <w:r w:rsidRPr="00037DA8">
        <w:rPr>
          <w:rFonts w:ascii="Times New Roman" w:eastAsia="Times New Roman" w:hAnsi="Times New Roman"/>
          <w:snapToGrid w:val="0"/>
        </w:rPr>
        <w:t>infuzuota</w:t>
      </w:r>
      <w:proofErr w:type="spellEnd"/>
      <w:r w:rsidRPr="00037DA8">
        <w:rPr>
          <w:rFonts w:ascii="Times New Roman" w:eastAsia="Times New Roman" w:hAnsi="Times New Roman"/>
          <w:snapToGrid w:val="0"/>
        </w:rPr>
        <w:t xml:space="preserve"> 10-30 mg/m</w:t>
      </w:r>
      <w:r w:rsidRPr="00037DA8">
        <w:rPr>
          <w:rFonts w:ascii="Times New Roman" w:eastAsia="Times New Roman" w:hAnsi="Times New Roman"/>
          <w:snapToGrid w:val="0"/>
          <w:vertAlign w:val="superscript"/>
        </w:rPr>
        <w:t xml:space="preserve">2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dozė.</w:t>
      </w:r>
    </w:p>
    <w:p w14:paraId="07703B14" w14:textId="77777777" w:rsidR="00A86465" w:rsidRPr="00037DA8" w:rsidRDefault="00A86465" w:rsidP="00A86465">
      <w:pPr>
        <w:tabs>
          <w:tab w:val="left" w:pos="567"/>
        </w:tabs>
        <w:spacing w:after="0" w:line="260" w:lineRule="exact"/>
        <w:rPr>
          <w:rFonts w:ascii="Times New Roman" w:eastAsia="Times New Roman" w:hAnsi="Times New Roman"/>
          <w:snapToGrid w:val="0"/>
        </w:rPr>
      </w:pPr>
    </w:p>
    <w:p w14:paraId="779719F2" w14:textId="77777777" w:rsidR="00A86465" w:rsidRPr="00037DA8" w:rsidRDefault="00A86465" w:rsidP="00A8646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Absorbcija</w:t>
      </w:r>
    </w:p>
    <w:p w14:paraId="7ACB5524" w14:textId="3AB04D3A" w:rsidR="00A86465" w:rsidRPr="00830259" w:rsidRDefault="00A86465" w:rsidP="00A8646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Po 1</w:t>
      </w:r>
      <w:r w:rsidR="00802848">
        <w:rPr>
          <w:rFonts w:ascii="Times New Roman" w:eastAsia="Times New Roman" w:hAnsi="Times New Roman"/>
          <w:snapToGrid w:val="0"/>
        </w:rPr>
        <w:t> </w:t>
      </w:r>
      <w:r w:rsidRPr="00037DA8">
        <w:rPr>
          <w:rFonts w:ascii="Times New Roman" w:eastAsia="Times New Roman" w:hAnsi="Times New Roman"/>
          <w:snapToGrid w:val="0"/>
        </w:rPr>
        <w:t>valandos trukmės 25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dozės infuzijos į veną pacientams, sergantiems </w:t>
      </w:r>
      <w:proofErr w:type="spellStart"/>
      <w:r w:rsidRPr="00037DA8">
        <w:rPr>
          <w:rFonts w:ascii="Times New Roman" w:eastAsia="Times New Roman" w:hAnsi="Times New Roman"/>
          <w:snapToGrid w:val="0"/>
        </w:rPr>
        <w:t>metastazavusiu</w:t>
      </w:r>
      <w:proofErr w:type="spellEnd"/>
      <w:r w:rsidRPr="00037DA8">
        <w:rPr>
          <w:rFonts w:ascii="Times New Roman" w:eastAsia="Times New Roman" w:hAnsi="Times New Roman"/>
          <w:snapToGrid w:val="0"/>
        </w:rPr>
        <w:t xml:space="preserve"> prostatos vėžiu (n=67), </w:t>
      </w:r>
      <w:proofErr w:type="spellStart"/>
      <w:r w:rsidRPr="00037DA8">
        <w:rPr>
          <w:rFonts w:ascii="Times New Roman" w:eastAsia="Times New Roman" w:hAnsi="Times New Roman"/>
          <w:snapToGrid w:val="0"/>
        </w:rPr>
        <w:t>C</w:t>
      </w:r>
      <w:r w:rsidRPr="00037DA8">
        <w:rPr>
          <w:rFonts w:ascii="Times New Roman" w:eastAsia="Times New Roman" w:hAnsi="Times New Roman"/>
          <w:snapToGrid w:val="0"/>
          <w:vertAlign w:val="subscript"/>
        </w:rPr>
        <w:t>max</w:t>
      </w:r>
      <w:proofErr w:type="spellEnd"/>
      <w:r w:rsidRPr="00037DA8">
        <w:rPr>
          <w:rFonts w:ascii="Times New Roman" w:eastAsia="Times New Roman" w:hAnsi="Times New Roman"/>
          <w:snapToGrid w:val="0"/>
        </w:rPr>
        <w:t xml:space="preserve"> buvo 226 </w:t>
      </w:r>
      <w:proofErr w:type="spellStart"/>
      <w:r w:rsidRPr="00037DA8">
        <w:rPr>
          <w:rFonts w:ascii="Times New Roman" w:eastAsia="Times New Roman" w:hAnsi="Times New Roman"/>
          <w:snapToGrid w:val="0"/>
        </w:rPr>
        <w:t>ng</w:t>
      </w:r>
      <w:proofErr w:type="spellEnd"/>
      <w:r w:rsidRPr="00037DA8">
        <w:rPr>
          <w:rFonts w:ascii="Times New Roman" w:eastAsia="Times New Roman" w:hAnsi="Times New Roman"/>
          <w:snapToGrid w:val="0"/>
        </w:rPr>
        <w:t>/ml (variacijos koeficientas (KV) 107</w:t>
      </w:r>
      <w:r w:rsidR="00662FAD">
        <w:rPr>
          <w:rFonts w:ascii="Times New Roman" w:eastAsia="Times New Roman" w:hAnsi="Times New Roman"/>
          <w:snapToGrid w:val="0"/>
        </w:rPr>
        <w:t> </w:t>
      </w:r>
      <w:r w:rsidRPr="00830259">
        <w:rPr>
          <w:rFonts w:ascii="Times New Roman" w:eastAsia="Times New Roman" w:hAnsi="Times New Roman"/>
          <w:snapToGrid w:val="0"/>
        </w:rPr>
        <w:t>%) ir buvo pasiekta 1</w:t>
      </w:r>
      <w:r w:rsidR="00662FAD">
        <w:rPr>
          <w:rFonts w:ascii="Times New Roman" w:eastAsia="Times New Roman" w:hAnsi="Times New Roman"/>
          <w:snapToGrid w:val="0"/>
        </w:rPr>
        <w:t> </w:t>
      </w:r>
      <w:r w:rsidRPr="00830259">
        <w:rPr>
          <w:rFonts w:ascii="Times New Roman" w:eastAsia="Times New Roman" w:hAnsi="Times New Roman"/>
          <w:snapToGrid w:val="0"/>
        </w:rPr>
        <w:t>valandos trukmės infuzijos pabaigoje (</w:t>
      </w:r>
      <w:proofErr w:type="spellStart"/>
      <w:r w:rsidRPr="00830259">
        <w:rPr>
          <w:rFonts w:ascii="Times New Roman" w:eastAsia="Times New Roman" w:hAnsi="Times New Roman"/>
          <w:snapToGrid w:val="0"/>
        </w:rPr>
        <w:t>T</w:t>
      </w:r>
      <w:r w:rsidRPr="0085406C">
        <w:rPr>
          <w:rFonts w:ascii="Times New Roman" w:eastAsia="Times New Roman" w:hAnsi="Times New Roman"/>
          <w:snapToGrid w:val="0"/>
          <w:vertAlign w:val="subscript"/>
        </w:rPr>
        <w:t>max</w:t>
      </w:r>
      <w:proofErr w:type="spellEnd"/>
      <w:r w:rsidRPr="0085406C">
        <w:rPr>
          <w:rFonts w:ascii="Times New Roman" w:eastAsia="Times New Roman" w:hAnsi="Times New Roman"/>
          <w:snapToGrid w:val="0"/>
        </w:rPr>
        <w:t>). Vidutinis AUC buvo 991 </w:t>
      </w:r>
      <w:proofErr w:type="spellStart"/>
      <w:r w:rsidRPr="0085406C">
        <w:rPr>
          <w:rFonts w:ascii="Times New Roman" w:eastAsia="Times New Roman" w:hAnsi="Times New Roman"/>
          <w:snapToGrid w:val="0"/>
        </w:rPr>
        <w:t>ng</w:t>
      </w:r>
      <w:proofErr w:type="spellEnd"/>
      <w:r w:rsidRPr="0085406C">
        <w:rPr>
          <w:rFonts w:ascii="Times New Roman" w:eastAsia="Times New Roman" w:hAnsi="Times New Roman"/>
          <w:snapToGrid w:val="0"/>
        </w:rPr>
        <w:t>.</w:t>
      </w:r>
      <w:r w:rsidR="00662FAD">
        <w:rPr>
          <w:rFonts w:ascii="Times New Roman" w:eastAsia="Times New Roman" w:hAnsi="Times New Roman"/>
          <w:snapToGrid w:val="0"/>
        </w:rPr>
        <w:t> </w:t>
      </w:r>
      <w:r w:rsidRPr="0085406C">
        <w:rPr>
          <w:rFonts w:ascii="Times New Roman" w:eastAsia="Times New Roman" w:hAnsi="Times New Roman"/>
          <w:snapToGrid w:val="0"/>
        </w:rPr>
        <w:t>val./ml (KV 34</w:t>
      </w:r>
      <w:r w:rsidR="00662FAD">
        <w:rPr>
          <w:rFonts w:ascii="Times New Roman" w:eastAsia="Times New Roman" w:hAnsi="Times New Roman"/>
          <w:snapToGrid w:val="0"/>
        </w:rPr>
        <w:t> </w:t>
      </w:r>
      <w:r w:rsidRPr="00830259">
        <w:rPr>
          <w:rFonts w:ascii="Times New Roman" w:eastAsia="Times New Roman" w:hAnsi="Times New Roman"/>
          <w:snapToGrid w:val="0"/>
        </w:rPr>
        <w:t>%).</w:t>
      </w:r>
    </w:p>
    <w:p w14:paraId="658E4C93" w14:textId="3FE00493" w:rsidR="00A86465" w:rsidRPr="0085406C" w:rsidRDefault="00A86465" w:rsidP="00A86465">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 xml:space="preserve">Reikšmingo nukrypimo nuo dozės proporcingumo nuo 10 iki 30 mg/m² dozes </w:t>
      </w:r>
      <w:proofErr w:type="spellStart"/>
      <w:r w:rsidRPr="0085406C">
        <w:rPr>
          <w:rFonts w:ascii="Times New Roman" w:eastAsia="Times New Roman" w:hAnsi="Times New Roman"/>
          <w:snapToGrid w:val="0"/>
        </w:rPr>
        <w:t>infuzuojant</w:t>
      </w:r>
      <w:proofErr w:type="spellEnd"/>
      <w:r w:rsidRPr="0085406C">
        <w:rPr>
          <w:rFonts w:ascii="Times New Roman" w:eastAsia="Times New Roman" w:hAnsi="Times New Roman"/>
          <w:snapToGrid w:val="0"/>
        </w:rPr>
        <w:t xml:space="preserve"> pacientams, kuriems buvo progresavęs </w:t>
      </w:r>
      <w:proofErr w:type="spellStart"/>
      <w:r w:rsidRPr="0085406C">
        <w:rPr>
          <w:rFonts w:ascii="Times New Roman" w:eastAsia="Times New Roman" w:hAnsi="Times New Roman"/>
          <w:snapToGrid w:val="0"/>
        </w:rPr>
        <w:t>s</w:t>
      </w:r>
      <w:r w:rsidR="00B8260C">
        <w:rPr>
          <w:rFonts w:ascii="Times New Roman" w:eastAsia="Times New Roman" w:hAnsi="Times New Roman"/>
          <w:snapToGrid w:val="0"/>
        </w:rPr>
        <w:t>olidinis</w:t>
      </w:r>
      <w:proofErr w:type="spellEnd"/>
      <w:r w:rsidRPr="0085406C">
        <w:rPr>
          <w:rFonts w:ascii="Times New Roman" w:eastAsia="Times New Roman" w:hAnsi="Times New Roman"/>
          <w:snapToGrid w:val="0"/>
        </w:rPr>
        <w:t xml:space="preserve"> navikas (n=126), nebuvo.</w:t>
      </w:r>
    </w:p>
    <w:p w14:paraId="1F1C7F0B" w14:textId="77777777" w:rsidR="00A86465" w:rsidRPr="004200DB" w:rsidRDefault="00A86465" w:rsidP="00A86465">
      <w:pPr>
        <w:tabs>
          <w:tab w:val="left" w:pos="567"/>
        </w:tabs>
        <w:spacing w:after="0" w:line="260" w:lineRule="exact"/>
        <w:rPr>
          <w:rFonts w:ascii="Times New Roman" w:eastAsia="Times New Roman" w:hAnsi="Times New Roman"/>
          <w:snapToGrid w:val="0"/>
        </w:rPr>
      </w:pPr>
    </w:p>
    <w:p w14:paraId="23428218" w14:textId="77777777" w:rsidR="00A86465" w:rsidRPr="004200DB" w:rsidRDefault="00A86465" w:rsidP="00A86465">
      <w:pPr>
        <w:tabs>
          <w:tab w:val="left" w:pos="567"/>
        </w:tabs>
        <w:spacing w:after="0" w:line="260" w:lineRule="exact"/>
        <w:rPr>
          <w:rFonts w:ascii="Times New Roman" w:eastAsia="Times New Roman" w:hAnsi="Times New Roman"/>
          <w:snapToGrid w:val="0"/>
          <w:u w:val="single"/>
        </w:rPr>
      </w:pPr>
      <w:r w:rsidRPr="004200DB">
        <w:rPr>
          <w:rFonts w:ascii="Times New Roman" w:eastAsia="Times New Roman" w:hAnsi="Times New Roman"/>
          <w:snapToGrid w:val="0"/>
          <w:u w:val="single"/>
        </w:rPr>
        <w:t>Pasiskirstymas</w:t>
      </w:r>
    </w:p>
    <w:p w14:paraId="498595EE" w14:textId="1E82E48B" w:rsidR="00A86465" w:rsidRPr="00037DA8" w:rsidRDefault="00A86465" w:rsidP="00A8646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Nusistovėjus </w:t>
      </w:r>
      <w:proofErr w:type="spellStart"/>
      <w:r w:rsidRPr="00037DA8">
        <w:rPr>
          <w:rFonts w:ascii="Times New Roman" w:eastAsia="Times New Roman" w:hAnsi="Times New Roman"/>
          <w:snapToGrid w:val="0"/>
        </w:rPr>
        <w:t>pusiausvyrinei</w:t>
      </w:r>
      <w:proofErr w:type="spellEnd"/>
      <w:r w:rsidRPr="00037DA8">
        <w:rPr>
          <w:rFonts w:ascii="Times New Roman" w:eastAsia="Times New Roman" w:hAnsi="Times New Roman"/>
          <w:snapToGrid w:val="0"/>
        </w:rPr>
        <w:t xml:space="preserve"> apykaitai, pasiskirstymo tūris (</w:t>
      </w:r>
      <w:proofErr w:type="spellStart"/>
      <w:r w:rsidRPr="00037DA8">
        <w:rPr>
          <w:rFonts w:ascii="Times New Roman" w:eastAsia="Times New Roman" w:hAnsi="Times New Roman"/>
          <w:snapToGrid w:val="0"/>
        </w:rPr>
        <w:t>V</w:t>
      </w:r>
      <w:r w:rsidRPr="00037DA8">
        <w:rPr>
          <w:rFonts w:ascii="Times New Roman" w:eastAsia="Times New Roman" w:hAnsi="Times New Roman"/>
          <w:snapToGrid w:val="0"/>
          <w:vertAlign w:val="subscript"/>
        </w:rPr>
        <w:t>ss</w:t>
      </w:r>
      <w:proofErr w:type="spellEnd"/>
      <w:r w:rsidRPr="00037DA8">
        <w:rPr>
          <w:rFonts w:ascii="Times New Roman" w:eastAsia="Times New Roman" w:hAnsi="Times New Roman"/>
          <w:snapToGrid w:val="0"/>
        </w:rPr>
        <w:t>) buvo 4</w:t>
      </w:r>
      <w:r w:rsidR="00554053">
        <w:rPr>
          <w:rFonts w:ascii="Times New Roman" w:eastAsia="Times New Roman" w:hAnsi="Times New Roman"/>
          <w:snapToGrid w:val="0"/>
        </w:rPr>
        <w:t> </w:t>
      </w:r>
      <w:r w:rsidRPr="00037DA8">
        <w:rPr>
          <w:rFonts w:ascii="Times New Roman" w:eastAsia="Times New Roman" w:hAnsi="Times New Roman"/>
          <w:snapToGrid w:val="0"/>
        </w:rPr>
        <w:t>870 l (2</w:t>
      </w:r>
      <w:r w:rsidR="00554053">
        <w:rPr>
          <w:rFonts w:ascii="Times New Roman" w:eastAsia="Times New Roman" w:hAnsi="Times New Roman"/>
          <w:snapToGrid w:val="0"/>
        </w:rPr>
        <w:t> </w:t>
      </w:r>
      <w:r w:rsidRPr="00037DA8">
        <w:rPr>
          <w:rFonts w:ascii="Times New Roman" w:eastAsia="Times New Roman" w:hAnsi="Times New Roman"/>
          <w:snapToGrid w:val="0"/>
        </w:rPr>
        <w:t>640 l/m² pacientams, kurių KPP mediana 1,84</w:t>
      </w:r>
      <w:r w:rsidR="00662FAD">
        <w:rPr>
          <w:rFonts w:ascii="Times New Roman" w:eastAsia="Times New Roman" w:hAnsi="Times New Roman"/>
          <w:snapToGrid w:val="0"/>
        </w:rPr>
        <w:t> </w:t>
      </w:r>
      <w:r w:rsidRPr="00037DA8">
        <w:rPr>
          <w:rFonts w:ascii="Times New Roman" w:eastAsia="Times New Roman" w:hAnsi="Times New Roman"/>
          <w:snapToGrid w:val="0"/>
        </w:rPr>
        <w:t>m²).</w:t>
      </w:r>
    </w:p>
    <w:p w14:paraId="24D5A2AE" w14:textId="7B2B9CD1" w:rsidR="00A86465" w:rsidRPr="00830259" w:rsidRDefault="00A86465" w:rsidP="00A86465">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i/>
          <w:iCs/>
          <w:snapToGrid w:val="0"/>
        </w:rPr>
        <w:t>In</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vitro</w:t>
      </w:r>
      <w:proofErr w:type="spellEnd"/>
      <w:r w:rsidRPr="00037DA8">
        <w:rPr>
          <w:rFonts w:ascii="Times New Roman" w:eastAsia="Times New Roman" w:hAnsi="Times New Roman"/>
          <w:i/>
          <w:iCs/>
          <w:snapToGrid w:val="0"/>
        </w:rPr>
        <w:t xml:space="preserve"> </w:t>
      </w:r>
      <w:r w:rsidRPr="00037DA8">
        <w:rPr>
          <w:rFonts w:ascii="Times New Roman" w:eastAsia="Times New Roman" w:hAnsi="Times New Roman"/>
          <w:snapToGrid w:val="0"/>
        </w:rPr>
        <w:t>prie žmogaus serumo baltymų jungėsi 89-92</w:t>
      </w:r>
      <w:r w:rsidR="00662FAD">
        <w:rPr>
          <w:rFonts w:ascii="Times New Roman" w:eastAsia="Times New Roman" w:hAnsi="Times New Roman"/>
          <w:snapToGrid w:val="0"/>
        </w:rPr>
        <w:t> </w:t>
      </w:r>
      <w:r w:rsidRPr="00830259">
        <w:rPr>
          <w:rFonts w:ascii="Times New Roman" w:eastAsia="Times New Roman" w:hAnsi="Times New Roman"/>
          <w:snapToGrid w:val="0"/>
        </w:rPr>
        <w:t xml:space="preserve">% </w:t>
      </w:r>
      <w:proofErr w:type="spellStart"/>
      <w:r w:rsidRPr="00830259">
        <w:rPr>
          <w:rFonts w:ascii="Times New Roman" w:eastAsia="Times New Roman" w:hAnsi="Times New Roman"/>
          <w:snapToGrid w:val="0"/>
        </w:rPr>
        <w:t>kabazitakselio</w:t>
      </w:r>
      <w:proofErr w:type="spellEnd"/>
      <w:r w:rsidRPr="00830259">
        <w:rPr>
          <w:rFonts w:ascii="Times New Roman" w:eastAsia="Times New Roman" w:hAnsi="Times New Roman"/>
          <w:snapToGrid w:val="0"/>
        </w:rPr>
        <w:t>, procesas nebuvo įsotinamas iki 50</w:t>
      </w:r>
      <w:r w:rsidR="00554053">
        <w:rPr>
          <w:rFonts w:ascii="Times New Roman" w:eastAsia="Times New Roman" w:hAnsi="Times New Roman"/>
          <w:snapToGrid w:val="0"/>
        </w:rPr>
        <w:t> </w:t>
      </w:r>
      <w:r w:rsidRPr="00830259">
        <w:rPr>
          <w:rFonts w:ascii="Times New Roman" w:eastAsia="Times New Roman" w:hAnsi="Times New Roman"/>
          <w:snapToGrid w:val="0"/>
        </w:rPr>
        <w:t>000 </w:t>
      </w:r>
      <w:proofErr w:type="spellStart"/>
      <w:r w:rsidRPr="00830259">
        <w:rPr>
          <w:rFonts w:ascii="Times New Roman" w:eastAsia="Times New Roman" w:hAnsi="Times New Roman"/>
          <w:snapToGrid w:val="0"/>
        </w:rPr>
        <w:t>ng</w:t>
      </w:r>
      <w:proofErr w:type="spellEnd"/>
      <w:r w:rsidRPr="00830259">
        <w:rPr>
          <w:rFonts w:ascii="Times New Roman" w:eastAsia="Times New Roman" w:hAnsi="Times New Roman"/>
          <w:snapToGrid w:val="0"/>
        </w:rPr>
        <w:t xml:space="preserve">/ml koncentracijos, o tai apima maksimalią klinikinių tyrimų metu buvusią koncentraciją. </w:t>
      </w:r>
      <w:proofErr w:type="spellStart"/>
      <w:r w:rsidRPr="00830259">
        <w:rPr>
          <w:rFonts w:ascii="Times New Roman" w:eastAsia="Times New Roman" w:hAnsi="Times New Roman"/>
          <w:snapToGrid w:val="0"/>
        </w:rPr>
        <w:t>Kabazitakselis</w:t>
      </w:r>
      <w:proofErr w:type="spellEnd"/>
      <w:r w:rsidRPr="00830259">
        <w:rPr>
          <w:rFonts w:ascii="Times New Roman" w:eastAsia="Times New Roman" w:hAnsi="Times New Roman"/>
          <w:snapToGrid w:val="0"/>
        </w:rPr>
        <w:t xml:space="preserve"> daugiausia jungiasi prie žmogaus serumo </w:t>
      </w:r>
      <w:proofErr w:type="spellStart"/>
      <w:r w:rsidRPr="00830259">
        <w:rPr>
          <w:rFonts w:ascii="Times New Roman" w:eastAsia="Times New Roman" w:hAnsi="Times New Roman"/>
          <w:snapToGrid w:val="0"/>
        </w:rPr>
        <w:t>albuminų</w:t>
      </w:r>
      <w:proofErr w:type="spellEnd"/>
      <w:r w:rsidRPr="00830259">
        <w:rPr>
          <w:rFonts w:ascii="Times New Roman" w:eastAsia="Times New Roman" w:hAnsi="Times New Roman"/>
          <w:snapToGrid w:val="0"/>
        </w:rPr>
        <w:t xml:space="preserve"> (82,0</w:t>
      </w:r>
      <w:r w:rsidR="000A7749">
        <w:rPr>
          <w:rFonts w:ascii="Times New Roman" w:eastAsia="Times New Roman" w:hAnsi="Times New Roman"/>
          <w:snapToGrid w:val="0"/>
        </w:rPr>
        <w:t> </w:t>
      </w:r>
      <w:r w:rsidRPr="00830259">
        <w:rPr>
          <w:rFonts w:ascii="Times New Roman" w:eastAsia="Times New Roman" w:hAnsi="Times New Roman"/>
          <w:snapToGrid w:val="0"/>
        </w:rPr>
        <w:t>%) ir lipoproteinų (87,9</w:t>
      </w:r>
      <w:r w:rsidR="000A7749">
        <w:rPr>
          <w:rFonts w:ascii="Times New Roman" w:eastAsia="Times New Roman" w:hAnsi="Times New Roman"/>
          <w:snapToGrid w:val="0"/>
        </w:rPr>
        <w:t> </w:t>
      </w:r>
      <w:r w:rsidRPr="00830259">
        <w:rPr>
          <w:rFonts w:ascii="Times New Roman" w:eastAsia="Times New Roman" w:hAnsi="Times New Roman"/>
          <w:snapToGrid w:val="0"/>
        </w:rPr>
        <w:t>% prie DTL, 69,8</w:t>
      </w:r>
      <w:r w:rsidR="000A7749">
        <w:rPr>
          <w:rFonts w:ascii="Times New Roman" w:eastAsia="Times New Roman" w:hAnsi="Times New Roman"/>
          <w:snapToGrid w:val="0"/>
        </w:rPr>
        <w:t> </w:t>
      </w:r>
      <w:r w:rsidRPr="00830259">
        <w:rPr>
          <w:rFonts w:ascii="Times New Roman" w:eastAsia="Times New Roman" w:hAnsi="Times New Roman"/>
          <w:snapToGrid w:val="0"/>
        </w:rPr>
        <w:t>% prie MTL ir 55,8</w:t>
      </w:r>
      <w:r w:rsidR="000A7749">
        <w:rPr>
          <w:rFonts w:ascii="Times New Roman" w:eastAsia="Times New Roman" w:hAnsi="Times New Roman"/>
          <w:snapToGrid w:val="0"/>
        </w:rPr>
        <w:t> </w:t>
      </w:r>
      <w:r w:rsidRPr="00830259">
        <w:rPr>
          <w:rFonts w:ascii="Times New Roman" w:eastAsia="Times New Roman" w:hAnsi="Times New Roman"/>
          <w:snapToGrid w:val="0"/>
        </w:rPr>
        <w:t xml:space="preserve">% prie LMTL). Koncentracijos kraujyje ir plazmoje santykis </w:t>
      </w:r>
      <w:proofErr w:type="spellStart"/>
      <w:r w:rsidRPr="00830259">
        <w:rPr>
          <w:rFonts w:ascii="Times New Roman" w:eastAsia="Times New Roman" w:hAnsi="Times New Roman"/>
          <w:i/>
          <w:iCs/>
          <w:snapToGrid w:val="0"/>
        </w:rPr>
        <w:t>in</w:t>
      </w:r>
      <w:proofErr w:type="spellEnd"/>
      <w:r w:rsidRPr="00830259">
        <w:rPr>
          <w:rFonts w:ascii="Times New Roman" w:eastAsia="Times New Roman" w:hAnsi="Times New Roman"/>
          <w:i/>
          <w:iCs/>
          <w:snapToGrid w:val="0"/>
        </w:rPr>
        <w:t xml:space="preserve"> </w:t>
      </w:r>
      <w:proofErr w:type="spellStart"/>
      <w:r w:rsidRPr="00830259">
        <w:rPr>
          <w:rFonts w:ascii="Times New Roman" w:eastAsia="Times New Roman" w:hAnsi="Times New Roman"/>
          <w:i/>
          <w:iCs/>
          <w:snapToGrid w:val="0"/>
        </w:rPr>
        <w:t>vitro</w:t>
      </w:r>
      <w:proofErr w:type="spellEnd"/>
      <w:r w:rsidRPr="00830259">
        <w:rPr>
          <w:rFonts w:ascii="Times New Roman" w:eastAsia="Times New Roman" w:hAnsi="Times New Roman"/>
          <w:i/>
          <w:iCs/>
          <w:snapToGrid w:val="0"/>
        </w:rPr>
        <w:t xml:space="preserve"> </w:t>
      </w:r>
      <w:r w:rsidRPr="00830259">
        <w:rPr>
          <w:rFonts w:ascii="Times New Roman" w:eastAsia="Times New Roman" w:hAnsi="Times New Roman"/>
          <w:snapToGrid w:val="0"/>
        </w:rPr>
        <w:t xml:space="preserve">tiriant žmogaus kraują svyruoja nuo 0,90 iki 0,99; tai rodo, kad </w:t>
      </w:r>
      <w:proofErr w:type="spellStart"/>
      <w:r w:rsidRPr="00830259">
        <w:rPr>
          <w:rFonts w:ascii="Times New Roman" w:eastAsia="Times New Roman" w:hAnsi="Times New Roman"/>
          <w:snapToGrid w:val="0"/>
        </w:rPr>
        <w:t>kabazitakselis</w:t>
      </w:r>
      <w:proofErr w:type="spellEnd"/>
      <w:r w:rsidRPr="00830259">
        <w:rPr>
          <w:rFonts w:ascii="Times New Roman" w:eastAsia="Times New Roman" w:hAnsi="Times New Roman"/>
          <w:snapToGrid w:val="0"/>
        </w:rPr>
        <w:t xml:space="preserve"> tarp kraujo ir plazmos pasiskirsto tolygiai.</w:t>
      </w:r>
    </w:p>
    <w:p w14:paraId="32CEB12C" w14:textId="77777777" w:rsidR="00A86465" w:rsidRPr="0085406C" w:rsidRDefault="00A86465" w:rsidP="00A86465">
      <w:pPr>
        <w:tabs>
          <w:tab w:val="left" w:pos="567"/>
        </w:tabs>
        <w:spacing w:after="0" w:line="260" w:lineRule="exact"/>
        <w:rPr>
          <w:rFonts w:ascii="Times New Roman" w:eastAsia="Times New Roman" w:hAnsi="Times New Roman"/>
          <w:snapToGrid w:val="0"/>
        </w:rPr>
      </w:pPr>
    </w:p>
    <w:p w14:paraId="3E6FB528" w14:textId="77777777" w:rsidR="00A86465" w:rsidRPr="004200DB" w:rsidRDefault="00A86465" w:rsidP="00A86465">
      <w:pPr>
        <w:tabs>
          <w:tab w:val="left" w:pos="567"/>
        </w:tabs>
        <w:spacing w:after="0" w:line="260" w:lineRule="exact"/>
        <w:rPr>
          <w:rFonts w:ascii="Times New Roman" w:eastAsia="Times New Roman" w:hAnsi="Times New Roman"/>
          <w:snapToGrid w:val="0"/>
          <w:u w:val="single"/>
        </w:rPr>
      </w:pPr>
      <w:proofErr w:type="spellStart"/>
      <w:r w:rsidRPr="004200DB">
        <w:rPr>
          <w:rFonts w:ascii="Times New Roman" w:eastAsia="Times New Roman" w:hAnsi="Times New Roman"/>
          <w:snapToGrid w:val="0"/>
          <w:u w:val="single"/>
        </w:rPr>
        <w:t>Biotransformacija</w:t>
      </w:r>
      <w:proofErr w:type="spellEnd"/>
    </w:p>
    <w:p w14:paraId="5E85A701" w14:textId="1A7086F9" w:rsidR="00A86465" w:rsidRPr="0085406C" w:rsidRDefault="00A86465" w:rsidP="00A86465">
      <w:pPr>
        <w:tabs>
          <w:tab w:val="left" w:pos="567"/>
        </w:tabs>
        <w:spacing w:after="0" w:line="260" w:lineRule="exact"/>
        <w:rPr>
          <w:rFonts w:ascii="Times New Roman" w:eastAsia="Times New Roman" w:hAnsi="Times New Roman"/>
          <w:snapToGrid w:val="0"/>
        </w:rPr>
      </w:pPr>
      <w:proofErr w:type="spellStart"/>
      <w:r w:rsidRPr="004200DB">
        <w:rPr>
          <w:rFonts w:ascii="Times New Roman" w:eastAsia="Times New Roman" w:hAnsi="Times New Roman"/>
          <w:snapToGrid w:val="0"/>
        </w:rPr>
        <w:t>Kabazitakselis</w:t>
      </w:r>
      <w:proofErr w:type="spellEnd"/>
      <w:r w:rsidRPr="004200DB">
        <w:rPr>
          <w:rFonts w:ascii="Times New Roman" w:eastAsia="Times New Roman" w:hAnsi="Times New Roman"/>
          <w:snapToGrid w:val="0"/>
        </w:rPr>
        <w:t xml:space="preserve"> ekstensyviai </w:t>
      </w:r>
      <w:proofErr w:type="spellStart"/>
      <w:r w:rsidRPr="004200DB">
        <w:rPr>
          <w:rFonts w:ascii="Times New Roman" w:eastAsia="Times New Roman" w:hAnsi="Times New Roman"/>
          <w:snapToGrid w:val="0"/>
        </w:rPr>
        <w:t>metabolizuojamas</w:t>
      </w:r>
      <w:proofErr w:type="spellEnd"/>
      <w:r w:rsidRPr="004200DB">
        <w:rPr>
          <w:rFonts w:ascii="Times New Roman" w:eastAsia="Times New Roman" w:hAnsi="Times New Roman"/>
          <w:snapToGrid w:val="0"/>
        </w:rPr>
        <w:t xml:space="preserve"> kepenyse (&gt;</w:t>
      </w:r>
      <w:r w:rsidR="000A7749">
        <w:rPr>
          <w:rFonts w:ascii="Times New Roman" w:eastAsia="Times New Roman" w:hAnsi="Times New Roman"/>
          <w:snapToGrid w:val="0"/>
        </w:rPr>
        <w:t> </w:t>
      </w:r>
      <w:r w:rsidRPr="004200DB">
        <w:rPr>
          <w:rFonts w:ascii="Times New Roman" w:eastAsia="Times New Roman" w:hAnsi="Times New Roman"/>
          <w:snapToGrid w:val="0"/>
        </w:rPr>
        <w:t>95</w:t>
      </w:r>
      <w:r w:rsidR="000A7749">
        <w:rPr>
          <w:rFonts w:ascii="Times New Roman" w:eastAsia="Times New Roman" w:hAnsi="Times New Roman"/>
          <w:snapToGrid w:val="0"/>
        </w:rPr>
        <w:t> </w:t>
      </w:r>
      <w:r w:rsidRPr="00830259">
        <w:rPr>
          <w:rFonts w:ascii="Times New Roman" w:eastAsia="Times New Roman" w:hAnsi="Times New Roman"/>
          <w:snapToGrid w:val="0"/>
        </w:rPr>
        <w:t>%), daugiausia dalyvaujant CYP3A</w:t>
      </w:r>
      <w:r w:rsidR="00A96C64" w:rsidRPr="00830259">
        <w:rPr>
          <w:rFonts w:ascii="Times New Roman" w:eastAsia="Times New Roman" w:hAnsi="Times New Roman"/>
          <w:snapToGrid w:val="0"/>
        </w:rPr>
        <w:t xml:space="preserve"> </w:t>
      </w:r>
      <w:proofErr w:type="spellStart"/>
      <w:r w:rsidRPr="00830259">
        <w:rPr>
          <w:rFonts w:ascii="Times New Roman" w:eastAsia="Times New Roman" w:hAnsi="Times New Roman"/>
          <w:snapToGrid w:val="0"/>
        </w:rPr>
        <w:t>izofermentui</w:t>
      </w:r>
      <w:proofErr w:type="spellEnd"/>
      <w:r w:rsidRPr="00830259">
        <w:rPr>
          <w:rFonts w:ascii="Times New Roman" w:eastAsia="Times New Roman" w:hAnsi="Times New Roman"/>
          <w:snapToGrid w:val="0"/>
        </w:rPr>
        <w:t xml:space="preserve"> (80-90</w:t>
      </w:r>
      <w:r w:rsidR="000A7749">
        <w:rPr>
          <w:rFonts w:ascii="Times New Roman" w:eastAsia="Times New Roman" w:hAnsi="Times New Roman"/>
          <w:snapToGrid w:val="0"/>
        </w:rPr>
        <w:t> </w:t>
      </w:r>
      <w:r w:rsidRPr="00830259">
        <w:rPr>
          <w:rFonts w:ascii="Times New Roman" w:eastAsia="Times New Roman" w:hAnsi="Times New Roman"/>
          <w:snapToGrid w:val="0"/>
        </w:rPr>
        <w:t xml:space="preserve">%). </w:t>
      </w:r>
      <w:proofErr w:type="spellStart"/>
      <w:r w:rsidRPr="00830259">
        <w:rPr>
          <w:rFonts w:ascii="Times New Roman" w:eastAsia="Times New Roman" w:hAnsi="Times New Roman"/>
          <w:snapToGrid w:val="0"/>
        </w:rPr>
        <w:t>Kabazitakselis</w:t>
      </w:r>
      <w:proofErr w:type="spellEnd"/>
      <w:r w:rsidRPr="00830259">
        <w:rPr>
          <w:rFonts w:ascii="Times New Roman" w:eastAsia="Times New Roman" w:hAnsi="Times New Roman"/>
          <w:snapToGrid w:val="0"/>
        </w:rPr>
        <w:t xml:space="preserve"> yra pagrindinė kraujyje cirkuliuojanti medžiaga. Plazmoje</w:t>
      </w:r>
      <w:r w:rsidR="00A96C64" w:rsidRPr="00830259">
        <w:rPr>
          <w:rFonts w:ascii="Times New Roman" w:eastAsia="Times New Roman" w:hAnsi="Times New Roman"/>
          <w:snapToGrid w:val="0"/>
        </w:rPr>
        <w:t xml:space="preserve"> </w:t>
      </w:r>
      <w:r w:rsidRPr="0085406C">
        <w:rPr>
          <w:rFonts w:ascii="Times New Roman" w:eastAsia="Times New Roman" w:hAnsi="Times New Roman"/>
          <w:snapToGrid w:val="0"/>
        </w:rPr>
        <w:t>nustatyti septyni metabolitai (įskaitant 3 aktyvius metabolitus, susidarančius vykstant</w:t>
      </w:r>
      <w:r w:rsidR="00A96C64" w:rsidRPr="0085406C">
        <w:rPr>
          <w:rFonts w:ascii="Times New Roman" w:eastAsia="Times New Roman" w:hAnsi="Times New Roman"/>
          <w:snapToGrid w:val="0"/>
        </w:rPr>
        <w:t xml:space="preserve"> </w:t>
      </w:r>
      <w:r w:rsidRPr="0085406C">
        <w:rPr>
          <w:rFonts w:ascii="Times New Roman" w:eastAsia="Times New Roman" w:hAnsi="Times New Roman"/>
          <w:snapToGrid w:val="0"/>
        </w:rPr>
        <w:t>O-</w:t>
      </w:r>
      <w:proofErr w:type="spellStart"/>
      <w:r w:rsidRPr="0085406C">
        <w:rPr>
          <w:rFonts w:ascii="Times New Roman" w:eastAsia="Times New Roman" w:hAnsi="Times New Roman"/>
          <w:snapToGrid w:val="0"/>
        </w:rPr>
        <w:t>demetilinimui</w:t>
      </w:r>
      <w:proofErr w:type="spellEnd"/>
      <w:r w:rsidRPr="0085406C">
        <w:rPr>
          <w:rFonts w:ascii="Times New Roman" w:eastAsia="Times New Roman" w:hAnsi="Times New Roman"/>
          <w:snapToGrid w:val="0"/>
        </w:rPr>
        <w:t>), pagrindinis metabolitas sudaro 5</w:t>
      </w:r>
      <w:r w:rsidR="000A7749">
        <w:rPr>
          <w:rFonts w:ascii="Times New Roman" w:eastAsia="Times New Roman" w:hAnsi="Times New Roman"/>
          <w:snapToGrid w:val="0"/>
        </w:rPr>
        <w:t> </w:t>
      </w:r>
      <w:r w:rsidRPr="00830259">
        <w:rPr>
          <w:rFonts w:ascii="Times New Roman" w:eastAsia="Times New Roman" w:hAnsi="Times New Roman"/>
          <w:snapToGrid w:val="0"/>
        </w:rPr>
        <w:t>% pirminės medžiagos ekspozicijos. Su žmogaus</w:t>
      </w:r>
      <w:r w:rsidR="00A96C64" w:rsidRPr="00830259">
        <w:rPr>
          <w:rFonts w:ascii="Times New Roman" w:eastAsia="Times New Roman" w:hAnsi="Times New Roman"/>
          <w:snapToGrid w:val="0"/>
        </w:rPr>
        <w:t xml:space="preserve"> </w:t>
      </w:r>
      <w:r w:rsidRPr="0085406C">
        <w:rPr>
          <w:rFonts w:ascii="Times New Roman" w:eastAsia="Times New Roman" w:hAnsi="Times New Roman"/>
          <w:snapToGrid w:val="0"/>
        </w:rPr>
        <w:t xml:space="preserve">šlapimu ir išmatomis išsiskiria maždaug 20 </w:t>
      </w:r>
      <w:proofErr w:type="spellStart"/>
      <w:r w:rsidRPr="0085406C">
        <w:rPr>
          <w:rFonts w:ascii="Times New Roman" w:eastAsia="Times New Roman" w:hAnsi="Times New Roman"/>
          <w:snapToGrid w:val="0"/>
        </w:rPr>
        <w:t>kabazitakselio</w:t>
      </w:r>
      <w:proofErr w:type="spellEnd"/>
      <w:r w:rsidRPr="0085406C">
        <w:rPr>
          <w:rFonts w:ascii="Times New Roman" w:eastAsia="Times New Roman" w:hAnsi="Times New Roman"/>
          <w:snapToGrid w:val="0"/>
        </w:rPr>
        <w:t xml:space="preserve"> metabolitų.</w:t>
      </w:r>
    </w:p>
    <w:p w14:paraId="4864CBA5" w14:textId="69F6CD81" w:rsidR="00A86465" w:rsidRPr="00037DA8" w:rsidRDefault="00A86465" w:rsidP="00A8646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Remiantis </w:t>
      </w:r>
      <w:proofErr w:type="spellStart"/>
      <w:r w:rsidRPr="004200DB">
        <w:rPr>
          <w:rFonts w:ascii="Times New Roman" w:eastAsia="Times New Roman" w:hAnsi="Times New Roman"/>
          <w:i/>
          <w:iCs/>
          <w:snapToGrid w:val="0"/>
        </w:rPr>
        <w:t>in</w:t>
      </w:r>
      <w:proofErr w:type="spellEnd"/>
      <w:r w:rsidRPr="004200DB">
        <w:rPr>
          <w:rFonts w:ascii="Times New Roman" w:eastAsia="Times New Roman" w:hAnsi="Times New Roman"/>
          <w:i/>
          <w:iCs/>
          <w:snapToGrid w:val="0"/>
        </w:rPr>
        <w:t xml:space="preserve"> </w:t>
      </w:r>
      <w:proofErr w:type="spellStart"/>
      <w:r w:rsidRPr="004200DB">
        <w:rPr>
          <w:rFonts w:ascii="Times New Roman" w:eastAsia="Times New Roman" w:hAnsi="Times New Roman"/>
          <w:i/>
          <w:iCs/>
          <w:snapToGrid w:val="0"/>
        </w:rPr>
        <w:t>vitro</w:t>
      </w:r>
      <w:proofErr w:type="spellEnd"/>
      <w:r w:rsidRPr="004200DB">
        <w:rPr>
          <w:rFonts w:ascii="Times New Roman" w:eastAsia="Times New Roman" w:hAnsi="Times New Roman"/>
          <w:i/>
          <w:iCs/>
          <w:snapToGrid w:val="0"/>
        </w:rPr>
        <w:t xml:space="preserve"> </w:t>
      </w:r>
      <w:r w:rsidRPr="00037DA8">
        <w:rPr>
          <w:rFonts w:ascii="Times New Roman" w:eastAsia="Times New Roman" w:hAnsi="Times New Roman"/>
          <w:snapToGrid w:val="0"/>
        </w:rPr>
        <w:t xml:space="preserve">atliktais tyrimais, </w:t>
      </w: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kai koncentracija kliniškai reikšminga, gali</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kliniškai reikšmingai slopinti vaistinių preparatų, kuriuos daugiausia </w:t>
      </w:r>
      <w:proofErr w:type="spellStart"/>
      <w:r w:rsidRPr="00037DA8">
        <w:rPr>
          <w:rFonts w:ascii="Times New Roman" w:eastAsia="Times New Roman" w:hAnsi="Times New Roman"/>
          <w:snapToGrid w:val="0"/>
        </w:rPr>
        <w:t>metabolizuoja</w:t>
      </w:r>
      <w:proofErr w:type="spellEnd"/>
      <w:r w:rsidRPr="00037DA8">
        <w:rPr>
          <w:rFonts w:ascii="Times New Roman" w:eastAsia="Times New Roman" w:hAnsi="Times New Roman"/>
          <w:snapToGrid w:val="0"/>
        </w:rPr>
        <w:t xml:space="preserve"> CYP3A, poveikį.</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Vis dėlto klinikinio tyrimo metu buvo nustatyta, kad </w:t>
      </w: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xml:space="preserve"> (vienkartinė per 1</w:t>
      </w:r>
      <w:r w:rsidR="000A7749">
        <w:rPr>
          <w:rFonts w:ascii="Times New Roman" w:eastAsia="Times New Roman" w:hAnsi="Times New Roman"/>
          <w:snapToGrid w:val="0"/>
        </w:rPr>
        <w:t> </w:t>
      </w:r>
      <w:r w:rsidRPr="00037DA8">
        <w:rPr>
          <w:rFonts w:ascii="Times New Roman" w:eastAsia="Times New Roman" w:hAnsi="Times New Roman"/>
          <w:snapToGrid w:val="0"/>
        </w:rPr>
        <w:t>valandą</w:t>
      </w:r>
      <w:r w:rsidR="00A96C64"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infuzuota</w:t>
      </w:r>
      <w:proofErr w:type="spellEnd"/>
      <w:r w:rsidRPr="00037DA8">
        <w:rPr>
          <w:rFonts w:ascii="Times New Roman" w:eastAsia="Times New Roman" w:hAnsi="Times New Roman"/>
          <w:snapToGrid w:val="0"/>
        </w:rPr>
        <w:t xml:space="preserve"> 25</w:t>
      </w:r>
      <w:r w:rsidR="00A96C64" w:rsidRPr="00037DA8">
        <w:rPr>
          <w:rFonts w:ascii="Times New Roman" w:eastAsia="Times New Roman" w:hAnsi="Times New Roman"/>
          <w:snapToGrid w:val="0"/>
        </w:rPr>
        <w:t>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dozė) </w:t>
      </w:r>
      <w:r w:rsidR="00A96C64" w:rsidRPr="00037DA8">
        <w:rPr>
          <w:rFonts w:ascii="Times New Roman" w:eastAsia="Times New Roman" w:hAnsi="Times New Roman"/>
          <w:snapToGrid w:val="0"/>
        </w:rPr>
        <w:t>nedarė</w:t>
      </w:r>
      <w:r w:rsidRPr="00037DA8">
        <w:rPr>
          <w:rFonts w:ascii="Times New Roman" w:eastAsia="Times New Roman" w:hAnsi="Times New Roman"/>
          <w:snapToGrid w:val="0"/>
        </w:rPr>
        <w:t xml:space="preserve"> įtakos </w:t>
      </w:r>
      <w:proofErr w:type="spellStart"/>
      <w:r w:rsidRPr="00037DA8">
        <w:rPr>
          <w:rFonts w:ascii="Times New Roman" w:eastAsia="Times New Roman" w:hAnsi="Times New Roman"/>
          <w:snapToGrid w:val="0"/>
        </w:rPr>
        <w:t>midazolamo</w:t>
      </w:r>
      <w:proofErr w:type="spellEnd"/>
      <w:r w:rsidRPr="00037DA8">
        <w:rPr>
          <w:rFonts w:ascii="Times New Roman" w:eastAsia="Times New Roman" w:hAnsi="Times New Roman"/>
          <w:snapToGrid w:val="0"/>
        </w:rPr>
        <w:t xml:space="preserve"> (bandomojo CYP3A substrato) kiekiui</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plazmoje. Vadinasi, kartu vartojant gydomąsias CYP3A substratų ir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dozes, </w:t>
      </w:r>
      <w:r w:rsidR="00A96C64" w:rsidRPr="00037DA8">
        <w:rPr>
          <w:rFonts w:ascii="Times New Roman" w:eastAsia="Times New Roman" w:hAnsi="Times New Roman"/>
          <w:snapToGrid w:val="0"/>
        </w:rPr>
        <w:t xml:space="preserve">joks </w:t>
      </w:r>
      <w:r w:rsidRPr="00037DA8">
        <w:rPr>
          <w:rFonts w:ascii="Times New Roman" w:eastAsia="Times New Roman" w:hAnsi="Times New Roman"/>
          <w:snapToGrid w:val="0"/>
        </w:rPr>
        <w:t>klinikinio</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poveikio pokytis nėra tikėtinas.</w:t>
      </w:r>
    </w:p>
    <w:p w14:paraId="5DE56390" w14:textId="484BE7AB" w:rsidR="00A86465" w:rsidRPr="00037DA8" w:rsidRDefault="00A86465" w:rsidP="00A86465">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sukeliamo vaistinių preparatų, kurie yra kitų CYP fermentų (1A2, 2B6, 2C9, 2C8,</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2C19, 2E1 ir 2D6) substratai, poveikio slopinimo bei vaistinių preparatų, kurie yra CYP1A, CYP2C9</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ir CYP3A substratai, poveikio stiprinimo rizikos nėra. </w:t>
      </w: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i/>
          <w:iCs/>
          <w:snapToGrid w:val="0"/>
        </w:rPr>
        <w:t>in</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vitro</w:t>
      </w:r>
      <w:proofErr w:type="spellEnd"/>
      <w:r w:rsidRPr="00037DA8">
        <w:rPr>
          <w:rFonts w:ascii="Times New Roman" w:eastAsia="Times New Roman" w:hAnsi="Times New Roman"/>
          <w:i/>
          <w:iCs/>
          <w:snapToGrid w:val="0"/>
        </w:rPr>
        <w:t xml:space="preserve"> </w:t>
      </w:r>
      <w:r w:rsidRPr="00037DA8">
        <w:rPr>
          <w:rFonts w:ascii="Times New Roman" w:eastAsia="Times New Roman" w:hAnsi="Times New Roman"/>
          <w:snapToGrid w:val="0"/>
        </w:rPr>
        <w:t>neslopina svarbiausio</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varfarino </w:t>
      </w:r>
      <w:proofErr w:type="spellStart"/>
      <w:r w:rsidRPr="00037DA8">
        <w:rPr>
          <w:rFonts w:ascii="Times New Roman" w:eastAsia="Times New Roman" w:hAnsi="Times New Roman"/>
          <w:snapToGrid w:val="0"/>
        </w:rPr>
        <w:t>biotranformacijos</w:t>
      </w:r>
      <w:proofErr w:type="spellEnd"/>
      <w:r w:rsidRPr="00037DA8">
        <w:rPr>
          <w:rFonts w:ascii="Times New Roman" w:eastAsia="Times New Roman" w:hAnsi="Times New Roman"/>
          <w:snapToGrid w:val="0"/>
        </w:rPr>
        <w:t xml:space="preserve"> į 7-hidroksivarfariną mechanizmo, kurį inicijuoja CYP2C9. Dėl šios</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priežasties </w:t>
      </w:r>
      <w:proofErr w:type="spellStart"/>
      <w:r w:rsidRPr="00037DA8">
        <w:rPr>
          <w:rFonts w:ascii="Times New Roman" w:eastAsia="Times New Roman" w:hAnsi="Times New Roman"/>
          <w:snapToGrid w:val="0"/>
        </w:rPr>
        <w:t>farmakokinetinė</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ir varfarino sąveika </w:t>
      </w:r>
      <w:proofErr w:type="spellStart"/>
      <w:r w:rsidRPr="00037DA8">
        <w:rPr>
          <w:rFonts w:ascii="Times New Roman" w:eastAsia="Times New Roman" w:hAnsi="Times New Roman"/>
          <w:i/>
          <w:iCs/>
          <w:snapToGrid w:val="0"/>
        </w:rPr>
        <w:t>in</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vivo</w:t>
      </w:r>
      <w:proofErr w:type="spellEnd"/>
      <w:r w:rsidRPr="00037DA8">
        <w:rPr>
          <w:rFonts w:ascii="Times New Roman" w:eastAsia="Times New Roman" w:hAnsi="Times New Roman"/>
          <w:i/>
          <w:iCs/>
          <w:snapToGrid w:val="0"/>
        </w:rPr>
        <w:t xml:space="preserve"> </w:t>
      </w:r>
      <w:r w:rsidRPr="00037DA8">
        <w:rPr>
          <w:rFonts w:ascii="Times New Roman" w:eastAsia="Times New Roman" w:hAnsi="Times New Roman"/>
          <w:snapToGrid w:val="0"/>
        </w:rPr>
        <w:t>nėra tikėtina.</w:t>
      </w:r>
      <w:r w:rsidR="00A96C64" w:rsidRPr="00037DA8">
        <w:rPr>
          <w:rFonts w:ascii="Times New Roman" w:eastAsia="Times New Roman" w:hAnsi="Times New Roman"/>
          <w:snapToGrid w:val="0"/>
        </w:rPr>
        <w:t xml:space="preserve"> </w:t>
      </w:r>
      <w:proofErr w:type="spellStart"/>
      <w:r w:rsidRPr="00037DA8">
        <w:rPr>
          <w:rFonts w:ascii="Times New Roman" w:eastAsia="Times New Roman" w:hAnsi="Times New Roman"/>
          <w:i/>
          <w:iCs/>
          <w:snapToGrid w:val="0"/>
        </w:rPr>
        <w:t>In</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vitro</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xml:space="preserve"> neslopina atsparumo daugeliui vaistinių preparatų baltymų (</w:t>
      </w:r>
      <w:proofErr w:type="spellStart"/>
      <w:r w:rsidRPr="00037DA8">
        <w:rPr>
          <w:rFonts w:ascii="Times New Roman" w:eastAsia="Times New Roman" w:hAnsi="Times New Roman"/>
          <w:i/>
          <w:iCs/>
          <w:snapToGrid w:val="0"/>
        </w:rPr>
        <w:t>Multidrug</w:t>
      </w:r>
      <w:proofErr w:type="spellEnd"/>
      <w:r w:rsidRPr="00037DA8">
        <w:rPr>
          <w:rFonts w:ascii="Times New Roman" w:eastAsia="Times New Roman" w:hAnsi="Times New Roman"/>
          <w:i/>
          <w:iCs/>
          <w:snapToGrid w:val="0"/>
        </w:rPr>
        <w:t>-</w:t>
      </w:r>
      <w:r w:rsidR="00A96C64"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Resistant</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Proteins</w:t>
      </w:r>
      <w:proofErr w:type="spellEnd"/>
      <w:r w:rsidRPr="00037DA8">
        <w:rPr>
          <w:rFonts w:ascii="Times New Roman" w:eastAsia="Times New Roman" w:hAnsi="Times New Roman"/>
          <w:snapToGrid w:val="0"/>
        </w:rPr>
        <w:t xml:space="preserve">, MRP): MRP1 ir MRP2 arba organinių katijonų pernašų (OKP1). </w:t>
      </w:r>
      <w:proofErr w:type="spellStart"/>
      <w:r w:rsidRPr="00037DA8">
        <w:rPr>
          <w:rFonts w:ascii="Times New Roman" w:eastAsia="Times New Roman" w:hAnsi="Times New Roman"/>
          <w:snapToGrid w:val="0"/>
        </w:rPr>
        <w:t>Kabazitakselis</w:t>
      </w:r>
      <w:proofErr w:type="spellEnd"/>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slopina su </w:t>
      </w:r>
      <w:r w:rsidRPr="00037DA8">
        <w:rPr>
          <w:rFonts w:ascii="Times New Roman" w:eastAsia="Times New Roman" w:hAnsi="Times New Roman"/>
          <w:snapToGrid w:val="0"/>
        </w:rPr>
        <w:lastRenderedPageBreak/>
        <w:t>P-</w:t>
      </w:r>
      <w:proofErr w:type="spellStart"/>
      <w:r w:rsidRPr="00037DA8">
        <w:rPr>
          <w:rFonts w:ascii="Times New Roman" w:eastAsia="Times New Roman" w:hAnsi="Times New Roman"/>
          <w:snapToGrid w:val="0"/>
        </w:rPr>
        <w:t>glikoproteinu</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PgP</w:t>
      </w:r>
      <w:proofErr w:type="spellEnd"/>
      <w:r w:rsidRPr="00037DA8">
        <w:rPr>
          <w:rFonts w:ascii="Times New Roman" w:eastAsia="Times New Roman" w:hAnsi="Times New Roman"/>
          <w:snapToGrid w:val="0"/>
        </w:rPr>
        <w:t>) (</w:t>
      </w:r>
      <w:proofErr w:type="spellStart"/>
      <w:r w:rsidRPr="00037DA8">
        <w:rPr>
          <w:rFonts w:ascii="Times New Roman" w:eastAsia="Times New Roman" w:hAnsi="Times New Roman"/>
          <w:snapToGrid w:val="0"/>
        </w:rPr>
        <w:t>digoksino</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vinblastino</w:t>
      </w:r>
      <w:proofErr w:type="spellEnd"/>
      <w:r w:rsidRPr="00037DA8">
        <w:rPr>
          <w:rFonts w:ascii="Times New Roman" w:eastAsia="Times New Roman" w:hAnsi="Times New Roman"/>
          <w:snapToGrid w:val="0"/>
        </w:rPr>
        <w:t>), krūties vėžio atspariu baltymu</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w:t>
      </w:r>
      <w:proofErr w:type="spellStart"/>
      <w:r w:rsidRPr="00037DA8">
        <w:rPr>
          <w:rFonts w:ascii="Times New Roman" w:eastAsia="Times New Roman" w:hAnsi="Times New Roman"/>
          <w:i/>
          <w:iCs/>
          <w:snapToGrid w:val="0"/>
        </w:rPr>
        <w:t>Breast-Cancer-Resistant-Proteins</w:t>
      </w:r>
      <w:proofErr w:type="spellEnd"/>
      <w:r w:rsidRPr="00037DA8">
        <w:rPr>
          <w:rFonts w:ascii="Times New Roman" w:eastAsia="Times New Roman" w:hAnsi="Times New Roman"/>
          <w:snapToGrid w:val="0"/>
        </w:rPr>
        <w:t>, BCRP) (</w:t>
      </w:r>
      <w:proofErr w:type="spellStart"/>
      <w:r w:rsidRPr="00037DA8">
        <w:rPr>
          <w:rFonts w:ascii="Times New Roman" w:eastAsia="Times New Roman" w:hAnsi="Times New Roman"/>
          <w:snapToGrid w:val="0"/>
        </w:rPr>
        <w:t>metotreksato</w:t>
      </w:r>
      <w:proofErr w:type="spellEnd"/>
      <w:r w:rsidRPr="00037DA8">
        <w:rPr>
          <w:rFonts w:ascii="Times New Roman" w:eastAsia="Times New Roman" w:hAnsi="Times New Roman"/>
          <w:snapToGrid w:val="0"/>
        </w:rPr>
        <w:t>) susijusią pernašą ir organinių anijonų</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pernašos </w:t>
      </w:r>
      <w:proofErr w:type="spellStart"/>
      <w:r w:rsidRPr="00037DA8">
        <w:rPr>
          <w:rFonts w:ascii="Times New Roman" w:eastAsia="Times New Roman" w:hAnsi="Times New Roman"/>
          <w:snapToGrid w:val="0"/>
        </w:rPr>
        <w:t>polipeptidu</w:t>
      </w:r>
      <w:proofErr w:type="spellEnd"/>
      <w:r w:rsidRPr="00037DA8">
        <w:rPr>
          <w:rFonts w:ascii="Times New Roman" w:eastAsia="Times New Roman" w:hAnsi="Times New Roman"/>
          <w:snapToGrid w:val="0"/>
        </w:rPr>
        <w:t xml:space="preserve"> OAPP1B3 (CCK8), kai koncentracija būna mažiausiai 15</w:t>
      </w:r>
      <w:r w:rsidR="002620F5">
        <w:rPr>
          <w:rFonts w:ascii="Times New Roman" w:eastAsia="Times New Roman" w:hAnsi="Times New Roman"/>
          <w:snapToGrid w:val="0"/>
        </w:rPr>
        <w:t> </w:t>
      </w:r>
      <w:r w:rsidRPr="00037DA8">
        <w:rPr>
          <w:rFonts w:ascii="Times New Roman" w:eastAsia="Times New Roman" w:hAnsi="Times New Roman"/>
          <w:snapToGrid w:val="0"/>
        </w:rPr>
        <w:t>kartų didesnė nei</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klinikinio vartojimo atveju ir kai jis slopina organinių anijonų pernašos </w:t>
      </w:r>
      <w:proofErr w:type="spellStart"/>
      <w:r w:rsidRPr="00037DA8">
        <w:rPr>
          <w:rFonts w:ascii="Times New Roman" w:eastAsia="Times New Roman" w:hAnsi="Times New Roman"/>
          <w:snapToGrid w:val="0"/>
        </w:rPr>
        <w:t>polipeptidą</w:t>
      </w:r>
      <w:proofErr w:type="spellEnd"/>
      <w:r w:rsidRPr="00037DA8">
        <w:rPr>
          <w:rFonts w:ascii="Times New Roman" w:eastAsia="Times New Roman" w:hAnsi="Times New Roman"/>
          <w:snapToGrid w:val="0"/>
        </w:rPr>
        <w:t xml:space="preserve"> (estradiol-17β-</w:t>
      </w:r>
      <w:r w:rsidR="00A96C64"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gliukuronidą</w:t>
      </w:r>
      <w:proofErr w:type="spellEnd"/>
      <w:r w:rsidRPr="00037DA8">
        <w:rPr>
          <w:rFonts w:ascii="Times New Roman" w:eastAsia="Times New Roman" w:hAnsi="Times New Roman"/>
          <w:snapToGrid w:val="0"/>
        </w:rPr>
        <w:t>), kai koncentracija 5 kartus didesnė nei klinikinio vartojimo atveju. Dėl šios priežasties</w:t>
      </w:r>
      <w:r w:rsidR="00A96C64" w:rsidRPr="00037DA8">
        <w:rPr>
          <w:rFonts w:ascii="Times New Roman" w:eastAsia="Times New Roman" w:hAnsi="Times New Roman"/>
          <w:snapToGrid w:val="0"/>
        </w:rPr>
        <w:t xml:space="preserve"> </w:t>
      </w:r>
      <w:proofErr w:type="spellStart"/>
      <w:r w:rsidRPr="00037DA8">
        <w:rPr>
          <w:rFonts w:ascii="Times New Roman" w:eastAsia="Times New Roman" w:hAnsi="Times New Roman"/>
          <w:i/>
          <w:iCs/>
          <w:snapToGrid w:val="0"/>
        </w:rPr>
        <w:t>in</w:t>
      </w:r>
      <w:proofErr w:type="spellEnd"/>
      <w:r w:rsidRPr="00037DA8">
        <w:rPr>
          <w:rFonts w:ascii="Times New Roman" w:eastAsia="Times New Roman" w:hAnsi="Times New Roman"/>
          <w:i/>
          <w:iCs/>
          <w:snapToGrid w:val="0"/>
        </w:rPr>
        <w:t xml:space="preserve"> </w:t>
      </w:r>
      <w:proofErr w:type="spellStart"/>
      <w:r w:rsidRPr="00037DA8">
        <w:rPr>
          <w:rFonts w:ascii="Times New Roman" w:eastAsia="Times New Roman" w:hAnsi="Times New Roman"/>
          <w:i/>
          <w:iCs/>
          <w:snapToGrid w:val="0"/>
        </w:rPr>
        <w:t>vivo</w:t>
      </w:r>
      <w:proofErr w:type="spellEnd"/>
      <w:r w:rsidRPr="00037DA8">
        <w:rPr>
          <w:rFonts w:ascii="Times New Roman" w:eastAsia="Times New Roman" w:hAnsi="Times New Roman"/>
          <w:i/>
          <w:iCs/>
          <w:snapToGrid w:val="0"/>
        </w:rPr>
        <w:t xml:space="preserve"> </w:t>
      </w:r>
      <w:r w:rsidRPr="00037DA8">
        <w:rPr>
          <w:rFonts w:ascii="Times New Roman" w:eastAsia="Times New Roman" w:hAnsi="Times New Roman"/>
          <w:snapToGrid w:val="0"/>
        </w:rPr>
        <w:t xml:space="preserve">sąveika su MRP, OKP1, </w:t>
      </w:r>
      <w:proofErr w:type="spellStart"/>
      <w:r w:rsidRPr="00037DA8">
        <w:rPr>
          <w:rFonts w:ascii="Times New Roman" w:eastAsia="Times New Roman" w:hAnsi="Times New Roman"/>
          <w:snapToGrid w:val="0"/>
        </w:rPr>
        <w:t>PgP</w:t>
      </w:r>
      <w:proofErr w:type="spellEnd"/>
      <w:r w:rsidRPr="00037DA8">
        <w:rPr>
          <w:rFonts w:ascii="Times New Roman" w:eastAsia="Times New Roman" w:hAnsi="Times New Roman"/>
          <w:snapToGrid w:val="0"/>
        </w:rPr>
        <w:t>, BCRP ir OAPP1B3 substratais, vartojant 25</w:t>
      </w:r>
      <w:r w:rsidR="00A96C64" w:rsidRPr="00037DA8">
        <w:rPr>
          <w:rFonts w:ascii="Times New Roman" w:eastAsia="Times New Roman" w:hAnsi="Times New Roman"/>
          <w:snapToGrid w:val="0"/>
        </w:rPr>
        <w:t>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dozę nėra</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tikėtina.</w:t>
      </w:r>
    </w:p>
    <w:p w14:paraId="4429775C" w14:textId="1B6CEC4B" w:rsidR="00A86465" w:rsidRPr="00037DA8" w:rsidRDefault="00A86465" w:rsidP="00A8646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Sąveika su OAPP1B1 perneš</w:t>
      </w:r>
      <w:r w:rsidR="00A96C64" w:rsidRPr="00037DA8">
        <w:rPr>
          <w:rFonts w:ascii="Times New Roman" w:eastAsia="Times New Roman" w:hAnsi="Times New Roman"/>
          <w:snapToGrid w:val="0"/>
        </w:rPr>
        <w:t>ėju</w:t>
      </w:r>
      <w:r w:rsidRPr="00037DA8">
        <w:rPr>
          <w:rFonts w:ascii="Times New Roman" w:eastAsia="Times New Roman" w:hAnsi="Times New Roman"/>
          <w:snapToGrid w:val="0"/>
        </w:rPr>
        <w:t xml:space="preserve"> galima tik infuzijos metu (1</w:t>
      </w:r>
      <w:r w:rsidR="004D77E9">
        <w:rPr>
          <w:rFonts w:ascii="Times New Roman" w:eastAsia="Times New Roman" w:hAnsi="Times New Roman"/>
          <w:snapToGrid w:val="0"/>
        </w:rPr>
        <w:t> </w:t>
      </w:r>
      <w:r w:rsidRPr="00037DA8">
        <w:rPr>
          <w:rFonts w:ascii="Times New Roman" w:eastAsia="Times New Roman" w:hAnsi="Times New Roman"/>
          <w:snapToGrid w:val="0"/>
        </w:rPr>
        <w:t>valandą) ir ne ilgiau kaip 20</w:t>
      </w:r>
      <w:r w:rsidR="004D77E9">
        <w:rPr>
          <w:rFonts w:ascii="Times New Roman" w:eastAsia="Times New Roman" w:hAnsi="Times New Roman"/>
          <w:snapToGrid w:val="0"/>
        </w:rPr>
        <w:t> </w:t>
      </w:r>
      <w:r w:rsidRPr="00037DA8">
        <w:rPr>
          <w:rFonts w:ascii="Times New Roman" w:eastAsia="Times New Roman" w:hAnsi="Times New Roman"/>
          <w:snapToGrid w:val="0"/>
        </w:rPr>
        <w:t>minučių po</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jos pabaigos (žr. 4.5 skyrių).</w:t>
      </w:r>
    </w:p>
    <w:p w14:paraId="05D4DB6B" w14:textId="77777777" w:rsidR="00A96C64" w:rsidRPr="00037DA8" w:rsidRDefault="00A96C64" w:rsidP="00A86465">
      <w:pPr>
        <w:tabs>
          <w:tab w:val="left" w:pos="567"/>
        </w:tabs>
        <w:spacing w:after="0" w:line="260" w:lineRule="exact"/>
        <w:rPr>
          <w:rFonts w:ascii="Times New Roman" w:eastAsia="Times New Roman" w:hAnsi="Times New Roman"/>
          <w:snapToGrid w:val="0"/>
        </w:rPr>
      </w:pPr>
    </w:p>
    <w:p w14:paraId="51F246ED" w14:textId="77777777" w:rsidR="00A86465" w:rsidRPr="00037DA8" w:rsidRDefault="00A86465" w:rsidP="00A8646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Eliminacija</w:t>
      </w:r>
    </w:p>
    <w:p w14:paraId="5697CEA2" w14:textId="40B40D54" w:rsidR="00A86465" w:rsidRPr="00830259" w:rsidRDefault="00A86465" w:rsidP="00A8646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Po 1</w:t>
      </w:r>
      <w:r w:rsidR="004D77E9">
        <w:rPr>
          <w:rFonts w:ascii="Times New Roman" w:eastAsia="Times New Roman" w:hAnsi="Times New Roman"/>
          <w:snapToGrid w:val="0"/>
        </w:rPr>
        <w:t> </w:t>
      </w:r>
      <w:r w:rsidRPr="00037DA8">
        <w:rPr>
          <w:rFonts w:ascii="Times New Roman" w:eastAsia="Times New Roman" w:hAnsi="Times New Roman"/>
          <w:snapToGrid w:val="0"/>
        </w:rPr>
        <w:t>valandos trukmės intraveninės [</w:t>
      </w:r>
      <w:r w:rsidRPr="002642B8">
        <w:rPr>
          <w:rFonts w:ascii="Times New Roman" w:eastAsia="Times New Roman" w:hAnsi="Times New Roman"/>
          <w:snapToGrid w:val="0"/>
          <w:vertAlign w:val="subscript"/>
        </w:rPr>
        <w:t>14</w:t>
      </w:r>
      <w:r w:rsidRPr="00037DA8">
        <w:rPr>
          <w:rFonts w:ascii="Times New Roman" w:eastAsia="Times New Roman" w:hAnsi="Times New Roman"/>
          <w:snapToGrid w:val="0"/>
        </w:rPr>
        <w:t>C]-</w:t>
      </w:r>
      <w:proofErr w:type="spellStart"/>
      <w:r w:rsidRPr="00037DA8">
        <w:rPr>
          <w:rFonts w:ascii="Times New Roman" w:eastAsia="Times New Roman" w:hAnsi="Times New Roman"/>
          <w:snapToGrid w:val="0"/>
        </w:rPr>
        <w:t>kabazitaks</w:t>
      </w:r>
      <w:r w:rsidR="00D87BA8">
        <w:rPr>
          <w:rFonts w:ascii="Times New Roman" w:eastAsia="Times New Roman" w:hAnsi="Times New Roman"/>
          <w:snapToGrid w:val="0"/>
        </w:rPr>
        <w:t>eli</w:t>
      </w:r>
      <w:r w:rsidRPr="00037DA8">
        <w:rPr>
          <w:rFonts w:ascii="Times New Roman" w:eastAsia="Times New Roman" w:hAnsi="Times New Roman"/>
          <w:snapToGrid w:val="0"/>
        </w:rPr>
        <w:t>o</w:t>
      </w:r>
      <w:proofErr w:type="spellEnd"/>
      <w:r w:rsidRPr="00037DA8">
        <w:rPr>
          <w:rFonts w:ascii="Times New Roman" w:eastAsia="Times New Roman" w:hAnsi="Times New Roman"/>
          <w:snapToGrid w:val="0"/>
        </w:rPr>
        <w:t xml:space="preserve"> 25</w:t>
      </w:r>
      <w:r w:rsidR="004D77E9">
        <w:rPr>
          <w:rFonts w:ascii="Times New Roman" w:eastAsia="Times New Roman" w:hAnsi="Times New Roman"/>
          <w:snapToGrid w:val="0"/>
        </w:rPr>
        <w:t> </w:t>
      </w:r>
      <w:r w:rsidRPr="00037DA8">
        <w:rPr>
          <w:rFonts w:ascii="Times New Roman" w:eastAsia="Times New Roman" w:hAnsi="Times New Roman"/>
          <w:snapToGrid w:val="0"/>
        </w:rPr>
        <w:t>mg/m</w:t>
      </w:r>
      <w:r w:rsidR="00D87BA8"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dozės infuzijos maždaug 80</w:t>
      </w:r>
      <w:r w:rsidR="004D77E9">
        <w:rPr>
          <w:rFonts w:ascii="Times New Roman" w:eastAsia="Times New Roman" w:hAnsi="Times New Roman"/>
          <w:snapToGrid w:val="0"/>
        </w:rPr>
        <w:t> </w:t>
      </w:r>
      <w:r w:rsidRPr="00830259">
        <w:rPr>
          <w:rFonts w:ascii="Times New Roman" w:eastAsia="Times New Roman" w:hAnsi="Times New Roman"/>
          <w:snapToGrid w:val="0"/>
        </w:rPr>
        <w:t>%</w:t>
      </w:r>
      <w:r w:rsidR="00A96C64" w:rsidRPr="00830259">
        <w:rPr>
          <w:rFonts w:ascii="Times New Roman" w:eastAsia="Times New Roman" w:hAnsi="Times New Roman"/>
          <w:snapToGrid w:val="0"/>
        </w:rPr>
        <w:t xml:space="preserve"> </w:t>
      </w:r>
      <w:r w:rsidRPr="0085406C">
        <w:rPr>
          <w:rFonts w:ascii="Times New Roman" w:eastAsia="Times New Roman" w:hAnsi="Times New Roman"/>
          <w:snapToGrid w:val="0"/>
        </w:rPr>
        <w:t>suvartotos dozės pasišalino per 2</w:t>
      </w:r>
      <w:r w:rsidR="004D77E9">
        <w:rPr>
          <w:rFonts w:ascii="Times New Roman" w:eastAsia="Times New Roman" w:hAnsi="Times New Roman"/>
          <w:snapToGrid w:val="0"/>
        </w:rPr>
        <w:t> </w:t>
      </w:r>
      <w:r w:rsidRPr="0085406C">
        <w:rPr>
          <w:rFonts w:ascii="Times New Roman" w:eastAsia="Times New Roman" w:hAnsi="Times New Roman"/>
          <w:snapToGrid w:val="0"/>
        </w:rPr>
        <w:t xml:space="preserve">savaites. </w:t>
      </w:r>
      <w:proofErr w:type="spellStart"/>
      <w:r w:rsidRPr="0085406C">
        <w:rPr>
          <w:rFonts w:ascii="Times New Roman" w:eastAsia="Times New Roman" w:hAnsi="Times New Roman"/>
          <w:snapToGrid w:val="0"/>
        </w:rPr>
        <w:t>Kabazitakselis</w:t>
      </w:r>
      <w:proofErr w:type="spellEnd"/>
      <w:r w:rsidRPr="0085406C">
        <w:rPr>
          <w:rFonts w:ascii="Times New Roman" w:eastAsia="Times New Roman" w:hAnsi="Times New Roman"/>
          <w:snapToGrid w:val="0"/>
        </w:rPr>
        <w:t xml:space="preserve"> daugiausia šalinamas su išmatomis įvairių</w:t>
      </w:r>
      <w:r w:rsidR="00A96C64" w:rsidRPr="0085406C">
        <w:rPr>
          <w:rFonts w:ascii="Times New Roman" w:eastAsia="Times New Roman" w:hAnsi="Times New Roman"/>
          <w:snapToGrid w:val="0"/>
        </w:rPr>
        <w:t xml:space="preserve"> </w:t>
      </w:r>
      <w:r w:rsidRPr="004200DB">
        <w:rPr>
          <w:rFonts w:ascii="Times New Roman" w:eastAsia="Times New Roman" w:hAnsi="Times New Roman"/>
          <w:snapToGrid w:val="0"/>
        </w:rPr>
        <w:t>metabolitų pavidalu (76</w:t>
      </w:r>
      <w:r w:rsidR="004D77E9">
        <w:rPr>
          <w:rFonts w:ascii="Times New Roman" w:eastAsia="Times New Roman" w:hAnsi="Times New Roman"/>
          <w:snapToGrid w:val="0"/>
        </w:rPr>
        <w:t> </w:t>
      </w:r>
      <w:r w:rsidRPr="00830259">
        <w:rPr>
          <w:rFonts w:ascii="Times New Roman" w:eastAsia="Times New Roman" w:hAnsi="Times New Roman"/>
          <w:snapToGrid w:val="0"/>
        </w:rPr>
        <w:t xml:space="preserve">% dozės); pro inkstus </w:t>
      </w:r>
      <w:proofErr w:type="spellStart"/>
      <w:r w:rsidRPr="00830259">
        <w:rPr>
          <w:rFonts w:ascii="Times New Roman" w:eastAsia="Times New Roman" w:hAnsi="Times New Roman"/>
          <w:snapToGrid w:val="0"/>
        </w:rPr>
        <w:t>kabazitakselio</w:t>
      </w:r>
      <w:proofErr w:type="spellEnd"/>
      <w:r w:rsidRPr="00830259">
        <w:rPr>
          <w:rFonts w:ascii="Times New Roman" w:eastAsia="Times New Roman" w:hAnsi="Times New Roman"/>
          <w:snapToGrid w:val="0"/>
        </w:rPr>
        <w:t xml:space="preserve"> ir metabolitų pavidalu išsiskiria mažiau</w:t>
      </w:r>
      <w:r w:rsidR="00A96C64" w:rsidRPr="00830259">
        <w:rPr>
          <w:rFonts w:ascii="Times New Roman" w:eastAsia="Times New Roman" w:hAnsi="Times New Roman"/>
          <w:snapToGrid w:val="0"/>
        </w:rPr>
        <w:t xml:space="preserve"> </w:t>
      </w:r>
      <w:r w:rsidRPr="00830259">
        <w:rPr>
          <w:rFonts w:ascii="Times New Roman" w:eastAsia="Times New Roman" w:hAnsi="Times New Roman"/>
          <w:snapToGrid w:val="0"/>
        </w:rPr>
        <w:t>kaip 4</w:t>
      </w:r>
      <w:r w:rsidR="004D77E9">
        <w:rPr>
          <w:rFonts w:ascii="Times New Roman" w:eastAsia="Times New Roman" w:hAnsi="Times New Roman"/>
          <w:snapToGrid w:val="0"/>
        </w:rPr>
        <w:t> </w:t>
      </w:r>
      <w:r w:rsidRPr="00830259">
        <w:rPr>
          <w:rFonts w:ascii="Times New Roman" w:eastAsia="Times New Roman" w:hAnsi="Times New Roman"/>
          <w:snapToGrid w:val="0"/>
        </w:rPr>
        <w:t>% dozės (šlapime būna 2,3</w:t>
      </w:r>
      <w:r w:rsidR="004D77E9">
        <w:rPr>
          <w:rFonts w:ascii="Times New Roman" w:eastAsia="Times New Roman" w:hAnsi="Times New Roman"/>
          <w:snapToGrid w:val="0"/>
        </w:rPr>
        <w:t> </w:t>
      </w:r>
      <w:r w:rsidRPr="00830259">
        <w:rPr>
          <w:rFonts w:ascii="Times New Roman" w:eastAsia="Times New Roman" w:hAnsi="Times New Roman"/>
          <w:snapToGrid w:val="0"/>
        </w:rPr>
        <w:t>% nepakitusio vaistinio preparato).</w:t>
      </w:r>
    </w:p>
    <w:p w14:paraId="18DF0335" w14:textId="77777777" w:rsidR="00A96C64" w:rsidRPr="0085406C" w:rsidRDefault="00A96C64" w:rsidP="00A86465">
      <w:pPr>
        <w:tabs>
          <w:tab w:val="left" w:pos="567"/>
        </w:tabs>
        <w:spacing w:after="0" w:line="260" w:lineRule="exact"/>
        <w:rPr>
          <w:rFonts w:ascii="Times New Roman" w:eastAsia="Times New Roman" w:hAnsi="Times New Roman"/>
          <w:snapToGrid w:val="0"/>
        </w:rPr>
      </w:pPr>
    </w:p>
    <w:p w14:paraId="3E8AC060" w14:textId="24E73CA7" w:rsidR="00A86465" w:rsidRPr="00037DA8" w:rsidRDefault="00A86465" w:rsidP="00A86465">
      <w:pPr>
        <w:tabs>
          <w:tab w:val="left" w:pos="567"/>
        </w:tabs>
        <w:spacing w:after="0" w:line="260" w:lineRule="exact"/>
        <w:rPr>
          <w:rFonts w:ascii="Times New Roman" w:eastAsia="Times New Roman" w:hAnsi="Times New Roman"/>
          <w:snapToGrid w:val="0"/>
        </w:rPr>
      </w:pPr>
      <w:proofErr w:type="spellStart"/>
      <w:r w:rsidRPr="004200DB">
        <w:rPr>
          <w:rFonts w:ascii="Times New Roman" w:eastAsia="Times New Roman" w:hAnsi="Times New Roman"/>
          <w:snapToGrid w:val="0"/>
        </w:rPr>
        <w:t>Kabazitakselio</w:t>
      </w:r>
      <w:proofErr w:type="spellEnd"/>
      <w:r w:rsidRPr="004200DB">
        <w:rPr>
          <w:rFonts w:ascii="Times New Roman" w:eastAsia="Times New Roman" w:hAnsi="Times New Roman"/>
          <w:snapToGrid w:val="0"/>
        </w:rPr>
        <w:t xml:space="preserve"> plazmos klirensas yra didelis, t. y. 48,5</w:t>
      </w:r>
      <w:r w:rsidR="00A96C64" w:rsidRPr="004200DB">
        <w:rPr>
          <w:rFonts w:ascii="Times New Roman" w:eastAsia="Times New Roman" w:hAnsi="Times New Roman"/>
          <w:snapToGrid w:val="0"/>
        </w:rPr>
        <w:t> </w:t>
      </w:r>
      <w:r w:rsidRPr="004200DB">
        <w:rPr>
          <w:rFonts w:ascii="Times New Roman" w:eastAsia="Times New Roman" w:hAnsi="Times New Roman"/>
          <w:snapToGrid w:val="0"/>
        </w:rPr>
        <w:t>l/val. (26,4</w:t>
      </w:r>
      <w:r w:rsidR="00A96C64" w:rsidRPr="00037DA8">
        <w:rPr>
          <w:rFonts w:ascii="Times New Roman" w:eastAsia="Times New Roman" w:hAnsi="Times New Roman"/>
          <w:snapToGrid w:val="0"/>
        </w:rPr>
        <w:t> </w:t>
      </w:r>
      <w:r w:rsidRPr="00037DA8">
        <w:rPr>
          <w:rFonts w:ascii="Times New Roman" w:eastAsia="Times New Roman" w:hAnsi="Times New Roman"/>
          <w:snapToGrid w:val="0"/>
        </w:rPr>
        <w:t>l/val./m² pacientams, kurių KPP</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mediana 1,84</w:t>
      </w:r>
      <w:r w:rsidR="004D77E9">
        <w:rPr>
          <w:rFonts w:ascii="Times New Roman" w:eastAsia="Times New Roman" w:hAnsi="Times New Roman"/>
          <w:snapToGrid w:val="0"/>
        </w:rPr>
        <w:t> </w:t>
      </w:r>
      <w:r w:rsidRPr="00037DA8">
        <w:rPr>
          <w:rFonts w:ascii="Times New Roman" w:eastAsia="Times New Roman" w:hAnsi="Times New Roman"/>
          <w:snapToGrid w:val="0"/>
        </w:rPr>
        <w:t>m²), galutinės pusinės eliminacijos laikas ilgas, t. y. 95</w:t>
      </w:r>
      <w:r w:rsidR="004D77E9">
        <w:rPr>
          <w:rFonts w:ascii="Times New Roman" w:eastAsia="Times New Roman" w:hAnsi="Times New Roman"/>
          <w:snapToGrid w:val="0"/>
        </w:rPr>
        <w:t> </w:t>
      </w:r>
      <w:r w:rsidRPr="00037DA8">
        <w:rPr>
          <w:rFonts w:ascii="Times New Roman" w:eastAsia="Times New Roman" w:hAnsi="Times New Roman"/>
          <w:snapToGrid w:val="0"/>
        </w:rPr>
        <w:t>valandos.</w:t>
      </w:r>
    </w:p>
    <w:p w14:paraId="6C02FE96" w14:textId="77777777" w:rsidR="00A96C64" w:rsidRPr="00037DA8" w:rsidRDefault="00A96C64" w:rsidP="00A86465">
      <w:pPr>
        <w:tabs>
          <w:tab w:val="left" w:pos="567"/>
        </w:tabs>
        <w:spacing w:after="0" w:line="260" w:lineRule="exact"/>
        <w:rPr>
          <w:rFonts w:ascii="Times New Roman" w:eastAsia="Times New Roman" w:hAnsi="Times New Roman"/>
          <w:snapToGrid w:val="0"/>
        </w:rPr>
      </w:pPr>
    </w:p>
    <w:p w14:paraId="49EDA6EB" w14:textId="77777777" w:rsidR="00A86465" w:rsidRPr="00037DA8" w:rsidRDefault="00A96C64" w:rsidP="00A8646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Ypatingos populiacijos</w:t>
      </w:r>
    </w:p>
    <w:p w14:paraId="3D296AE6" w14:textId="77777777" w:rsidR="00A86465" w:rsidRPr="00037DA8" w:rsidRDefault="00A86465" w:rsidP="00A86465">
      <w:pPr>
        <w:tabs>
          <w:tab w:val="left" w:pos="567"/>
        </w:tabs>
        <w:spacing w:after="0" w:line="260" w:lineRule="exact"/>
        <w:rPr>
          <w:rFonts w:ascii="Times New Roman" w:eastAsia="Times New Roman" w:hAnsi="Times New Roman"/>
          <w:i/>
          <w:iCs/>
          <w:snapToGrid w:val="0"/>
        </w:rPr>
      </w:pPr>
      <w:r w:rsidRPr="00037DA8">
        <w:rPr>
          <w:rFonts w:ascii="Times New Roman" w:eastAsia="Times New Roman" w:hAnsi="Times New Roman"/>
          <w:i/>
          <w:iCs/>
          <w:snapToGrid w:val="0"/>
        </w:rPr>
        <w:t>Senyvi pacientai</w:t>
      </w:r>
    </w:p>
    <w:p w14:paraId="78F6D81C" w14:textId="2BBF325A" w:rsidR="00A86465" w:rsidRPr="00037DA8" w:rsidRDefault="00A86465" w:rsidP="00A86465">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Populiacinės</w:t>
      </w:r>
      <w:proofErr w:type="spellEnd"/>
      <w:r w:rsidRPr="00037DA8">
        <w:rPr>
          <w:rFonts w:ascii="Times New Roman" w:eastAsia="Times New Roman" w:hAnsi="Times New Roman"/>
          <w:snapToGrid w:val="0"/>
        </w:rPr>
        <w:t xml:space="preserve"> farmakokinetikos analizės metu tirti 70</w:t>
      </w:r>
      <w:r w:rsidR="00C14A3B">
        <w:rPr>
          <w:rFonts w:ascii="Times New Roman" w:eastAsia="Times New Roman" w:hAnsi="Times New Roman"/>
          <w:snapToGrid w:val="0"/>
        </w:rPr>
        <w:t> </w:t>
      </w:r>
      <w:r w:rsidRPr="00037DA8">
        <w:rPr>
          <w:rFonts w:ascii="Times New Roman" w:eastAsia="Times New Roman" w:hAnsi="Times New Roman"/>
          <w:snapToGrid w:val="0"/>
        </w:rPr>
        <w:t>pacientų, kurie buvo 65</w:t>
      </w:r>
      <w:r w:rsidR="004D77E9">
        <w:rPr>
          <w:rFonts w:ascii="Times New Roman" w:eastAsia="Times New Roman" w:hAnsi="Times New Roman"/>
          <w:snapToGrid w:val="0"/>
        </w:rPr>
        <w:t> </w:t>
      </w:r>
      <w:r w:rsidRPr="00037DA8">
        <w:rPr>
          <w:rFonts w:ascii="Times New Roman" w:eastAsia="Times New Roman" w:hAnsi="Times New Roman"/>
          <w:snapToGrid w:val="0"/>
        </w:rPr>
        <w:t>metų ar vyresni</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(57</w:t>
      </w:r>
      <w:r w:rsidR="00C14A3B">
        <w:rPr>
          <w:rFonts w:ascii="Times New Roman" w:eastAsia="Times New Roman" w:hAnsi="Times New Roman"/>
          <w:snapToGrid w:val="0"/>
        </w:rPr>
        <w:t> </w:t>
      </w:r>
      <w:r w:rsidRPr="00037DA8">
        <w:rPr>
          <w:rFonts w:ascii="Times New Roman" w:eastAsia="Times New Roman" w:hAnsi="Times New Roman"/>
          <w:snapToGrid w:val="0"/>
        </w:rPr>
        <w:t>pacientai 65-75</w:t>
      </w:r>
      <w:r w:rsidR="004D77E9">
        <w:rPr>
          <w:rFonts w:ascii="Times New Roman" w:eastAsia="Times New Roman" w:hAnsi="Times New Roman"/>
          <w:snapToGrid w:val="0"/>
        </w:rPr>
        <w:t> </w:t>
      </w:r>
      <w:r w:rsidRPr="00037DA8">
        <w:rPr>
          <w:rFonts w:ascii="Times New Roman" w:eastAsia="Times New Roman" w:hAnsi="Times New Roman"/>
          <w:snapToGrid w:val="0"/>
        </w:rPr>
        <w:t>metų ir 13</w:t>
      </w:r>
      <w:r w:rsidR="00C14A3B">
        <w:rPr>
          <w:rFonts w:ascii="Times New Roman" w:eastAsia="Times New Roman" w:hAnsi="Times New Roman"/>
          <w:snapToGrid w:val="0"/>
        </w:rPr>
        <w:t> </w:t>
      </w:r>
      <w:r w:rsidRPr="00037DA8">
        <w:rPr>
          <w:rFonts w:ascii="Times New Roman" w:eastAsia="Times New Roman" w:hAnsi="Times New Roman"/>
          <w:snapToGrid w:val="0"/>
        </w:rPr>
        <w:t>pacientų vyresni kaip 75</w:t>
      </w:r>
      <w:r w:rsidR="004D77E9">
        <w:rPr>
          <w:rFonts w:ascii="Times New Roman" w:eastAsia="Times New Roman" w:hAnsi="Times New Roman"/>
          <w:snapToGrid w:val="0"/>
        </w:rPr>
        <w:t> </w:t>
      </w:r>
      <w:r w:rsidRPr="00037DA8">
        <w:rPr>
          <w:rFonts w:ascii="Times New Roman" w:eastAsia="Times New Roman" w:hAnsi="Times New Roman"/>
          <w:snapToGrid w:val="0"/>
        </w:rPr>
        <w:t xml:space="preserve">metų). Amžius </w:t>
      </w:r>
      <w:r w:rsidR="00A96C64" w:rsidRPr="00037DA8">
        <w:rPr>
          <w:rFonts w:ascii="Times New Roman" w:eastAsia="Times New Roman" w:hAnsi="Times New Roman"/>
          <w:snapToGrid w:val="0"/>
        </w:rPr>
        <w:t>įtakos</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kabazitakselio</w:t>
      </w:r>
      <w:proofErr w:type="spellEnd"/>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farmakokinetikai nedarė.</w:t>
      </w:r>
    </w:p>
    <w:p w14:paraId="30CDB338" w14:textId="77777777" w:rsidR="00A96C64" w:rsidRPr="00037DA8" w:rsidRDefault="00A96C64" w:rsidP="00A86465">
      <w:pPr>
        <w:tabs>
          <w:tab w:val="left" w:pos="567"/>
        </w:tabs>
        <w:spacing w:after="0" w:line="260" w:lineRule="exact"/>
        <w:rPr>
          <w:rFonts w:ascii="Times New Roman" w:eastAsia="Times New Roman" w:hAnsi="Times New Roman"/>
          <w:i/>
          <w:iCs/>
          <w:snapToGrid w:val="0"/>
        </w:rPr>
      </w:pPr>
    </w:p>
    <w:p w14:paraId="5E61275C" w14:textId="77777777" w:rsidR="00A86465" w:rsidRPr="00037DA8" w:rsidRDefault="00A86465" w:rsidP="00A86465">
      <w:pPr>
        <w:tabs>
          <w:tab w:val="left" w:pos="567"/>
        </w:tabs>
        <w:spacing w:after="0" w:line="260" w:lineRule="exact"/>
        <w:rPr>
          <w:rFonts w:ascii="Times New Roman" w:eastAsia="Times New Roman" w:hAnsi="Times New Roman"/>
          <w:i/>
          <w:iCs/>
          <w:snapToGrid w:val="0"/>
        </w:rPr>
      </w:pPr>
      <w:r w:rsidRPr="00037DA8">
        <w:rPr>
          <w:rFonts w:ascii="Times New Roman" w:eastAsia="Times New Roman" w:hAnsi="Times New Roman"/>
          <w:i/>
          <w:iCs/>
          <w:snapToGrid w:val="0"/>
        </w:rPr>
        <w:t>Vaikų populiacija</w:t>
      </w:r>
    </w:p>
    <w:p w14:paraId="502FE138" w14:textId="1C908184" w:rsidR="00A86465" w:rsidRPr="00037DA8" w:rsidRDefault="00A86465" w:rsidP="00A8646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Vaikų ir jaunesnių kaip 18</w:t>
      </w:r>
      <w:r w:rsidR="004D77E9">
        <w:rPr>
          <w:rFonts w:ascii="Times New Roman" w:eastAsia="Times New Roman" w:hAnsi="Times New Roman"/>
          <w:snapToGrid w:val="0"/>
        </w:rPr>
        <w:t> </w:t>
      </w:r>
      <w:r w:rsidRPr="00037DA8">
        <w:rPr>
          <w:rFonts w:ascii="Times New Roman" w:eastAsia="Times New Roman" w:hAnsi="Times New Roman"/>
          <w:snapToGrid w:val="0"/>
        </w:rPr>
        <w:t xml:space="preserve">metų paauglių gydymo </w:t>
      </w:r>
      <w:proofErr w:type="spellStart"/>
      <w:r w:rsidR="00A96C64" w:rsidRPr="00037DA8">
        <w:rPr>
          <w:rFonts w:ascii="Times New Roman" w:eastAsia="Times New Roman" w:hAnsi="Times New Roman"/>
          <w:snapToGrid w:val="0"/>
        </w:rPr>
        <w:t>kabazitakseliu</w:t>
      </w:r>
      <w:proofErr w:type="spellEnd"/>
      <w:r w:rsidRPr="00037DA8">
        <w:rPr>
          <w:rFonts w:ascii="Times New Roman" w:eastAsia="Times New Roman" w:hAnsi="Times New Roman"/>
          <w:snapToGrid w:val="0"/>
        </w:rPr>
        <w:t xml:space="preserve"> saugumas ir </w:t>
      </w:r>
      <w:r w:rsidR="00A96C64" w:rsidRPr="00037DA8">
        <w:rPr>
          <w:rFonts w:ascii="Times New Roman" w:eastAsia="Times New Roman" w:hAnsi="Times New Roman"/>
          <w:snapToGrid w:val="0"/>
        </w:rPr>
        <w:t>veiksmingumas</w:t>
      </w:r>
      <w:r w:rsidRPr="00037DA8">
        <w:rPr>
          <w:rFonts w:ascii="Times New Roman" w:eastAsia="Times New Roman" w:hAnsi="Times New Roman"/>
          <w:snapToGrid w:val="0"/>
        </w:rPr>
        <w:t xml:space="preserve"> nenustatyti.</w:t>
      </w:r>
    </w:p>
    <w:p w14:paraId="57DFF14B" w14:textId="77777777" w:rsidR="00A96C64" w:rsidRPr="00037DA8" w:rsidRDefault="00A96C64" w:rsidP="00A86465">
      <w:pPr>
        <w:tabs>
          <w:tab w:val="left" w:pos="567"/>
        </w:tabs>
        <w:spacing w:after="0" w:line="260" w:lineRule="exact"/>
        <w:rPr>
          <w:rFonts w:ascii="Times New Roman" w:eastAsia="Times New Roman" w:hAnsi="Times New Roman"/>
          <w:i/>
          <w:iCs/>
          <w:snapToGrid w:val="0"/>
        </w:rPr>
      </w:pPr>
    </w:p>
    <w:p w14:paraId="45389CD1" w14:textId="77777777" w:rsidR="00A86465" w:rsidRPr="00037DA8" w:rsidRDefault="00830259" w:rsidP="00A86465">
      <w:pPr>
        <w:tabs>
          <w:tab w:val="left" w:pos="567"/>
        </w:tabs>
        <w:spacing w:after="0" w:line="260" w:lineRule="exact"/>
        <w:rPr>
          <w:rFonts w:ascii="Times New Roman" w:eastAsia="Times New Roman" w:hAnsi="Times New Roman"/>
          <w:iCs/>
          <w:snapToGrid w:val="0"/>
          <w:u w:val="single"/>
        </w:rPr>
      </w:pPr>
      <w:r w:rsidRPr="00037DA8">
        <w:rPr>
          <w:rFonts w:ascii="Times New Roman" w:eastAsia="Times New Roman" w:hAnsi="Times New Roman"/>
          <w:iCs/>
          <w:snapToGrid w:val="0"/>
          <w:u w:val="single"/>
        </w:rPr>
        <w:t>Sutrikusi k</w:t>
      </w:r>
      <w:r w:rsidR="00A86465" w:rsidRPr="00037DA8">
        <w:rPr>
          <w:rFonts w:ascii="Times New Roman" w:eastAsia="Times New Roman" w:hAnsi="Times New Roman"/>
          <w:iCs/>
          <w:snapToGrid w:val="0"/>
          <w:u w:val="single"/>
        </w:rPr>
        <w:t>epenų funkcij</w:t>
      </w:r>
      <w:r w:rsidRPr="00037DA8">
        <w:rPr>
          <w:rFonts w:ascii="Times New Roman" w:eastAsia="Times New Roman" w:hAnsi="Times New Roman"/>
          <w:iCs/>
          <w:snapToGrid w:val="0"/>
          <w:u w:val="single"/>
        </w:rPr>
        <w:t>a</w:t>
      </w:r>
    </w:p>
    <w:p w14:paraId="27E4DE36" w14:textId="77777777" w:rsidR="00A86465" w:rsidRPr="004200DB" w:rsidRDefault="00A86465" w:rsidP="00A86465">
      <w:pPr>
        <w:tabs>
          <w:tab w:val="left" w:pos="567"/>
        </w:tabs>
        <w:spacing w:after="0" w:line="260" w:lineRule="exact"/>
        <w:rPr>
          <w:rFonts w:ascii="Times New Roman" w:eastAsia="Times New Roman" w:hAnsi="Times New Roman"/>
          <w:snapToGrid w:val="0"/>
        </w:rPr>
      </w:pPr>
      <w:proofErr w:type="spellStart"/>
      <w:r w:rsidRPr="0085406C">
        <w:rPr>
          <w:rFonts w:ascii="Times New Roman" w:eastAsia="Times New Roman" w:hAnsi="Times New Roman"/>
          <w:snapToGrid w:val="0"/>
        </w:rPr>
        <w:t>Kabazitakselis</w:t>
      </w:r>
      <w:proofErr w:type="spellEnd"/>
      <w:r w:rsidRPr="0085406C">
        <w:rPr>
          <w:rFonts w:ascii="Times New Roman" w:eastAsia="Times New Roman" w:hAnsi="Times New Roman"/>
          <w:snapToGrid w:val="0"/>
        </w:rPr>
        <w:t xml:space="preserve"> daugiausia šalinamas metabolizm</w:t>
      </w:r>
      <w:r w:rsidR="00A96C64" w:rsidRPr="0085406C">
        <w:rPr>
          <w:rFonts w:ascii="Times New Roman" w:eastAsia="Times New Roman" w:hAnsi="Times New Roman"/>
          <w:snapToGrid w:val="0"/>
        </w:rPr>
        <w:t>o kepenyse būdu</w:t>
      </w:r>
      <w:r w:rsidRPr="004200DB">
        <w:rPr>
          <w:rFonts w:ascii="Times New Roman" w:eastAsia="Times New Roman" w:hAnsi="Times New Roman"/>
          <w:snapToGrid w:val="0"/>
        </w:rPr>
        <w:t>.</w:t>
      </w:r>
    </w:p>
    <w:p w14:paraId="122D80C2" w14:textId="4FDC59D9" w:rsidR="00A86465" w:rsidRPr="00037DA8" w:rsidRDefault="00A86465" w:rsidP="00A8646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Tikslinio tyrimo, kuriame dalyvavo 43 vėžiu ir kepenų funkcijos sutrikimu sergantys pacientai, metu</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duomenų apie lengvo (bendras </w:t>
      </w:r>
      <w:proofErr w:type="spellStart"/>
      <w:r w:rsidRPr="00037DA8">
        <w:rPr>
          <w:rFonts w:ascii="Times New Roman" w:eastAsia="Times New Roman" w:hAnsi="Times New Roman"/>
          <w:snapToGrid w:val="0"/>
        </w:rPr>
        <w:t>bilirubino</w:t>
      </w:r>
      <w:proofErr w:type="spellEnd"/>
      <w:r w:rsidRPr="00037DA8">
        <w:rPr>
          <w:rFonts w:ascii="Times New Roman" w:eastAsia="Times New Roman" w:hAnsi="Times New Roman"/>
          <w:snapToGrid w:val="0"/>
        </w:rPr>
        <w:t xml:space="preserve"> kiekis nuo &gt;</w:t>
      </w:r>
      <w:r w:rsidR="00C14A3B">
        <w:rPr>
          <w:rFonts w:ascii="Times New Roman" w:eastAsia="Times New Roman" w:hAnsi="Times New Roman"/>
          <w:snapToGrid w:val="0"/>
        </w:rPr>
        <w:t> </w:t>
      </w:r>
      <w:r w:rsidRPr="00037DA8">
        <w:rPr>
          <w:rFonts w:ascii="Times New Roman" w:eastAsia="Times New Roman" w:hAnsi="Times New Roman"/>
          <w:snapToGrid w:val="0"/>
        </w:rPr>
        <w:t>1 iki ≤</w:t>
      </w:r>
      <w:r w:rsidR="00C14A3B">
        <w:rPr>
          <w:rFonts w:ascii="Times New Roman" w:eastAsia="Times New Roman" w:hAnsi="Times New Roman"/>
          <w:snapToGrid w:val="0"/>
        </w:rPr>
        <w:t> </w:t>
      </w:r>
      <w:r w:rsidRPr="00037DA8">
        <w:rPr>
          <w:rFonts w:ascii="Times New Roman" w:eastAsia="Times New Roman" w:hAnsi="Times New Roman"/>
          <w:snapToGrid w:val="0"/>
        </w:rPr>
        <w:t>1,5</w:t>
      </w:r>
      <w:r w:rsidR="00C14A3B">
        <w:rPr>
          <w:rFonts w:ascii="Times New Roman" w:eastAsia="Times New Roman" w:hAnsi="Times New Roman"/>
          <w:snapToGrid w:val="0"/>
        </w:rPr>
        <w:t> </w:t>
      </w:r>
      <w:r w:rsidRPr="00037DA8">
        <w:rPr>
          <w:rFonts w:ascii="Times New Roman" w:eastAsia="Times New Roman" w:hAnsi="Times New Roman"/>
          <w:snapToGrid w:val="0"/>
        </w:rPr>
        <w:t>x</w:t>
      </w:r>
      <w:r w:rsidR="00C14A3B">
        <w:rPr>
          <w:rFonts w:ascii="Times New Roman" w:eastAsia="Times New Roman" w:hAnsi="Times New Roman"/>
          <w:snapToGrid w:val="0"/>
        </w:rPr>
        <w:t> </w:t>
      </w:r>
      <w:r w:rsidRPr="00037DA8">
        <w:rPr>
          <w:rFonts w:ascii="Times New Roman" w:eastAsia="Times New Roman" w:hAnsi="Times New Roman"/>
          <w:snapToGrid w:val="0"/>
        </w:rPr>
        <w:t>VNR arba AST</w:t>
      </w:r>
      <w:r w:rsidR="00C14A3B">
        <w:rPr>
          <w:rFonts w:ascii="Times New Roman" w:eastAsia="Times New Roman" w:hAnsi="Times New Roman"/>
          <w:snapToGrid w:val="0"/>
        </w:rPr>
        <w:t> </w:t>
      </w:r>
      <w:r w:rsidRPr="00037DA8">
        <w:rPr>
          <w:rFonts w:ascii="Times New Roman" w:eastAsia="Times New Roman" w:hAnsi="Times New Roman"/>
          <w:snapToGrid w:val="0"/>
        </w:rPr>
        <w:t>&gt;</w:t>
      </w:r>
      <w:r w:rsidR="00C14A3B">
        <w:rPr>
          <w:rFonts w:ascii="Times New Roman" w:eastAsia="Times New Roman" w:hAnsi="Times New Roman"/>
          <w:snapToGrid w:val="0"/>
        </w:rPr>
        <w:t> </w:t>
      </w:r>
      <w:r w:rsidRPr="00037DA8">
        <w:rPr>
          <w:rFonts w:ascii="Times New Roman" w:eastAsia="Times New Roman" w:hAnsi="Times New Roman"/>
          <w:snapToGrid w:val="0"/>
        </w:rPr>
        <w:t>1,5</w:t>
      </w:r>
      <w:r w:rsidR="00C14A3B">
        <w:rPr>
          <w:rFonts w:ascii="Times New Roman" w:eastAsia="Times New Roman" w:hAnsi="Times New Roman"/>
          <w:snapToGrid w:val="0"/>
        </w:rPr>
        <w:t> </w:t>
      </w:r>
      <w:r w:rsidRPr="00037DA8">
        <w:rPr>
          <w:rFonts w:ascii="Times New Roman" w:eastAsia="Times New Roman" w:hAnsi="Times New Roman"/>
          <w:snapToGrid w:val="0"/>
        </w:rPr>
        <w:t>x</w:t>
      </w:r>
      <w:r w:rsidR="00C14A3B">
        <w:rPr>
          <w:rFonts w:ascii="Times New Roman" w:eastAsia="Times New Roman" w:hAnsi="Times New Roman"/>
          <w:snapToGrid w:val="0"/>
        </w:rPr>
        <w:t> </w:t>
      </w:r>
      <w:r w:rsidRPr="00037DA8">
        <w:rPr>
          <w:rFonts w:ascii="Times New Roman" w:eastAsia="Times New Roman" w:hAnsi="Times New Roman"/>
          <w:snapToGrid w:val="0"/>
        </w:rPr>
        <w:t>VNR) ar</w:t>
      </w:r>
      <w:r w:rsidR="00A96C64"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vidutinio sunkumo (bendras </w:t>
      </w:r>
      <w:proofErr w:type="spellStart"/>
      <w:r w:rsidRPr="00037DA8">
        <w:rPr>
          <w:rFonts w:ascii="Times New Roman" w:eastAsia="Times New Roman" w:hAnsi="Times New Roman"/>
          <w:snapToGrid w:val="0"/>
        </w:rPr>
        <w:t>bilirubino</w:t>
      </w:r>
      <w:proofErr w:type="spellEnd"/>
      <w:r w:rsidRPr="00037DA8">
        <w:rPr>
          <w:rFonts w:ascii="Times New Roman" w:eastAsia="Times New Roman" w:hAnsi="Times New Roman"/>
          <w:snapToGrid w:val="0"/>
        </w:rPr>
        <w:t xml:space="preserve"> kiekis nuo &gt;</w:t>
      </w:r>
      <w:r w:rsidR="00C14A3B">
        <w:rPr>
          <w:rFonts w:ascii="Times New Roman" w:eastAsia="Times New Roman" w:hAnsi="Times New Roman"/>
          <w:snapToGrid w:val="0"/>
        </w:rPr>
        <w:t> </w:t>
      </w:r>
      <w:r w:rsidRPr="00037DA8">
        <w:rPr>
          <w:rFonts w:ascii="Times New Roman" w:eastAsia="Times New Roman" w:hAnsi="Times New Roman"/>
          <w:snapToGrid w:val="0"/>
        </w:rPr>
        <w:t>1,5 iki ≤</w:t>
      </w:r>
      <w:r w:rsidR="00C14A3B">
        <w:rPr>
          <w:rFonts w:ascii="Times New Roman" w:eastAsia="Times New Roman" w:hAnsi="Times New Roman"/>
          <w:snapToGrid w:val="0"/>
        </w:rPr>
        <w:t> </w:t>
      </w:r>
      <w:r w:rsidRPr="00037DA8">
        <w:rPr>
          <w:rFonts w:ascii="Times New Roman" w:eastAsia="Times New Roman" w:hAnsi="Times New Roman"/>
          <w:snapToGrid w:val="0"/>
        </w:rPr>
        <w:t>3,0</w:t>
      </w:r>
      <w:r w:rsidR="00C14A3B">
        <w:rPr>
          <w:rFonts w:ascii="Times New Roman" w:eastAsia="Times New Roman" w:hAnsi="Times New Roman"/>
          <w:snapToGrid w:val="0"/>
        </w:rPr>
        <w:t> </w:t>
      </w:r>
      <w:r w:rsidRPr="00037DA8">
        <w:rPr>
          <w:rFonts w:ascii="Times New Roman" w:eastAsia="Times New Roman" w:hAnsi="Times New Roman"/>
          <w:snapToGrid w:val="0"/>
        </w:rPr>
        <w:t>x</w:t>
      </w:r>
      <w:r w:rsidR="00C14A3B">
        <w:rPr>
          <w:rFonts w:ascii="Times New Roman" w:eastAsia="Times New Roman" w:hAnsi="Times New Roman"/>
          <w:snapToGrid w:val="0"/>
        </w:rPr>
        <w:t> </w:t>
      </w:r>
      <w:r w:rsidRPr="00037DA8">
        <w:rPr>
          <w:rFonts w:ascii="Times New Roman" w:eastAsia="Times New Roman" w:hAnsi="Times New Roman"/>
          <w:snapToGrid w:val="0"/>
        </w:rPr>
        <w:t>VNR) kepenų funkcijos sutrikimo</w:t>
      </w:r>
      <w:r w:rsidR="00A96C64" w:rsidRPr="00037DA8">
        <w:rPr>
          <w:rFonts w:ascii="Times New Roman" w:eastAsia="Times New Roman" w:hAnsi="Times New Roman"/>
          <w:snapToGrid w:val="0"/>
        </w:rPr>
        <w:t xml:space="preserve"> įtaką</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farmakokinetikai negauta.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maksimali toleruojama dozė (MTD)</w:t>
      </w:r>
      <w:r w:rsidR="0079121B" w:rsidRPr="00037DA8">
        <w:rPr>
          <w:rFonts w:ascii="Times New Roman" w:eastAsia="Times New Roman" w:hAnsi="Times New Roman"/>
          <w:snapToGrid w:val="0"/>
        </w:rPr>
        <w:t xml:space="preserve"> </w:t>
      </w:r>
      <w:r w:rsidRPr="00037DA8">
        <w:rPr>
          <w:rFonts w:ascii="Times New Roman" w:eastAsia="Times New Roman" w:hAnsi="Times New Roman"/>
          <w:snapToGrid w:val="0"/>
        </w:rPr>
        <w:t>buvo atitinkamai 20</w:t>
      </w:r>
      <w:r w:rsidR="000754E6">
        <w:rPr>
          <w:rFonts w:ascii="Times New Roman" w:eastAsia="Times New Roman" w:hAnsi="Times New Roman"/>
          <w:snapToGrid w:val="0"/>
        </w:rPr>
        <w:t> </w:t>
      </w:r>
      <w:r w:rsidRPr="00037DA8">
        <w:rPr>
          <w:rFonts w:ascii="Times New Roman" w:eastAsia="Times New Roman" w:hAnsi="Times New Roman"/>
          <w:snapToGrid w:val="0"/>
        </w:rPr>
        <w:t>mg/m</w:t>
      </w:r>
      <w:r w:rsidR="00D87BA8"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ir 15</w:t>
      </w:r>
      <w:r w:rsidR="000754E6">
        <w:rPr>
          <w:rFonts w:ascii="Times New Roman" w:eastAsia="Times New Roman" w:hAnsi="Times New Roman"/>
          <w:snapToGrid w:val="0"/>
        </w:rPr>
        <w:t>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w:t>
      </w:r>
    </w:p>
    <w:p w14:paraId="76B13C5C" w14:textId="2FA2CF48" w:rsidR="00A86465" w:rsidRPr="00037DA8" w:rsidRDefault="00A86465" w:rsidP="00A8646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3</w:t>
      </w:r>
      <w:r w:rsidR="00A02078">
        <w:rPr>
          <w:rFonts w:ascii="Times New Roman" w:eastAsia="Times New Roman" w:hAnsi="Times New Roman"/>
          <w:snapToGrid w:val="0"/>
        </w:rPr>
        <w:t> </w:t>
      </w:r>
      <w:r w:rsidRPr="00037DA8">
        <w:rPr>
          <w:rFonts w:ascii="Times New Roman" w:eastAsia="Times New Roman" w:hAnsi="Times New Roman"/>
          <w:snapToGrid w:val="0"/>
        </w:rPr>
        <w:t xml:space="preserve">pacientams, kuriems buvo sunkus kepenų funkcijos sutrikimas (bendras </w:t>
      </w:r>
      <w:proofErr w:type="spellStart"/>
      <w:r w:rsidRPr="00037DA8">
        <w:rPr>
          <w:rFonts w:ascii="Times New Roman" w:eastAsia="Times New Roman" w:hAnsi="Times New Roman"/>
          <w:snapToGrid w:val="0"/>
        </w:rPr>
        <w:t>bilirubino</w:t>
      </w:r>
      <w:proofErr w:type="spellEnd"/>
      <w:r w:rsidRPr="00037DA8">
        <w:rPr>
          <w:rFonts w:ascii="Times New Roman" w:eastAsia="Times New Roman" w:hAnsi="Times New Roman"/>
          <w:snapToGrid w:val="0"/>
        </w:rPr>
        <w:t xml:space="preserve"> kiekis &gt;</w:t>
      </w:r>
      <w:r w:rsidR="00A02078">
        <w:rPr>
          <w:rFonts w:ascii="Times New Roman" w:eastAsia="Times New Roman" w:hAnsi="Times New Roman"/>
          <w:snapToGrid w:val="0"/>
        </w:rPr>
        <w:t> </w:t>
      </w:r>
      <w:r w:rsidRPr="00037DA8">
        <w:rPr>
          <w:rFonts w:ascii="Times New Roman" w:eastAsia="Times New Roman" w:hAnsi="Times New Roman"/>
          <w:snapToGrid w:val="0"/>
        </w:rPr>
        <w:t>3</w:t>
      </w:r>
      <w:r w:rsidR="00A02078">
        <w:rPr>
          <w:rFonts w:ascii="Times New Roman" w:eastAsia="Times New Roman" w:hAnsi="Times New Roman"/>
          <w:snapToGrid w:val="0"/>
        </w:rPr>
        <w:t> </w:t>
      </w:r>
      <w:r w:rsidRPr="00037DA8">
        <w:rPr>
          <w:rFonts w:ascii="Times New Roman" w:eastAsia="Times New Roman" w:hAnsi="Times New Roman"/>
          <w:snapToGrid w:val="0"/>
        </w:rPr>
        <w:t>VNR),</w:t>
      </w:r>
      <w:r w:rsidR="0079121B" w:rsidRPr="00037DA8">
        <w:rPr>
          <w:rFonts w:ascii="Times New Roman" w:eastAsia="Times New Roman" w:hAnsi="Times New Roman"/>
          <w:snapToGrid w:val="0"/>
        </w:rPr>
        <w:t xml:space="preserve"> </w:t>
      </w:r>
      <w:r w:rsidRPr="00037DA8">
        <w:rPr>
          <w:rFonts w:ascii="Times New Roman" w:eastAsia="Times New Roman" w:hAnsi="Times New Roman"/>
          <w:snapToGrid w:val="0"/>
        </w:rPr>
        <w:t>buvo nustatytas klirenso sumažėjimas 39</w:t>
      </w:r>
      <w:r w:rsidR="000754E6">
        <w:rPr>
          <w:rFonts w:ascii="Times New Roman" w:eastAsia="Times New Roman" w:hAnsi="Times New Roman"/>
          <w:snapToGrid w:val="0"/>
        </w:rPr>
        <w:t> </w:t>
      </w:r>
      <w:r w:rsidRPr="00830259">
        <w:rPr>
          <w:rFonts w:ascii="Times New Roman" w:eastAsia="Times New Roman" w:hAnsi="Times New Roman"/>
          <w:snapToGrid w:val="0"/>
        </w:rPr>
        <w:t>%, palyginti su rodmeniu pacientų, kuriems buvo lengvas</w:t>
      </w:r>
      <w:r w:rsidR="0079121B" w:rsidRPr="00830259">
        <w:rPr>
          <w:rFonts w:ascii="Times New Roman" w:eastAsia="Times New Roman" w:hAnsi="Times New Roman"/>
          <w:snapToGrid w:val="0"/>
        </w:rPr>
        <w:t xml:space="preserve"> </w:t>
      </w:r>
      <w:r w:rsidRPr="0085406C">
        <w:rPr>
          <w:rFonts w:ascii="Times New Roman" w:eastAsia="Times New Roman" w:hAnsi="Times New Roman"/>
          <w:snapToGrid w:val="0"/>
        </w:rPr>
        <w:t xml:space="preserve">kepenų funkcijos sutrikimas, organizme, tai rodo, kad sunkus kepenų funkcijos sutrikimas </w:t>
      </w:r>
      <w:r w:rsidR="0079121B" w:rsidRPr="0085406C">
        <w:rPr>
          <w:rFonts w:ascii="Times New Roman" w:eastAsia="Times New Roman" w:hAnsi="Times New Roman"/>
          <w:snapToGrid w:val="0"/>
        </w:rPr>
        <w:t>daro</w:t>
      </w:r>
      <w:r w:rsidRPr="004200DB">
        <w:rPr>
          <w:rFonts w:ascii="Times New Roman" w:eastAsia="Times New Roman" w:hAnsi="Times New Roman"/>
          <w:snapToGrid w:val="0"/>
        </w:rPr>
        <w:t xml:space="preserve"> tam</w:t>
      </w:r>
      <w:r w:rsidR="0079121B" w:rsidRPr="004200DB">
        <w:rPr>
          <w:rFonts w:ascii="Times New Roman" w:eastAsia="Times New Roman" w:hAnsi="Times New Roman"/>
          <w:snapToGrid w:val="0"/>
        </w:rPr>
        <w:t xml:space="preserve"> </w:t>
      </w:r>
      <w:r w:rsidRPr="004200DB">
        <w:rPr>
          <w:rFonts w:ascii="Times New Roman" w:eastAsia="Times New Roman" w:hAnsi="Times New Roman"/>
          <w:snapToGrid w:val="0"/>
        </w:rPr>
        <w:t xml:space="preserve">tikrą </w:t>
      </w:r>
      <w:r w:rsidR="0079121B" w:rsidRPr="00037DA8">
        <w:rPr>
          <w:rFonts w:ascii="Times New Roman" w:eastAsia="Times New Roman" w:hAnsi="Times New Roman"/>
          <w:snapToGrid w:val="0"/>
        </w:rPr>
        <w:t>įtaką</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farmakokinetikai.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MTD pacientams, kuriems yra sunkus</w:t>
      </w:r>
      <w:r w:rsidR="0079121B" w:rsidRPr="00037DA8">
        <w:rPr>
          <w:rFonts w:ascii="Times New Roman" w:eastAsia="Times New Roman" w:hAnsi="Times New Roman"/>
          <w:snapToGrid w:val="0"/>
        </w:rPr>
        <w:t xml:space="preserve"> </w:t>
      </w:r>
      <w:r w:rsidRPr="00037DA8">
        <w:rPr>
          <w:rFonts w:ascii="Times New Roman" w:eastAsia="Times New Roman" w:hAnsi="Times New Roman"/>
          <w:snapToGrid w:val="0"/>
        </w:rPr>
        <w:t>kepenų funkcijos sutrikimas, nenustatyta.</w:t>
      </w:r>
    </w:p>
    <w:p w14:paraId="086583DF" w14:textId="2C9D86D6" w:rsidR="00A86465" w:rsidRPr="00037DA8" w:rsidRDefault="00A86465" w:rsidP="00A8646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Remianti</w:t>
      </w:r>
      <w:r w:rsidR="000069E9">
        <w:rPr>
          <w:rFonts w:ascii="Times New Roman" w:eastAsia="Times New Roman" w:hAnsi="Times New Roman"/>
          <w:snapToGrid w:val="0"/>
        </w:rPr>
        <w:t>s</w:t>
      </w:r>
      <w:r w:rsidRPr="00037DA8">
        <w:rPr>
          <w:rFonts w:ascii="Times New Roman" w:eastAsia="Times New Roman" w:hAnsi="Times New Roman"/>
          <w:snapToGrid w:val="0"/>
        </w:rPr>
        <w:t xml:space="preserve"> saugumo ir toleravimo duomenimis, pacientams, kuriems yra lengvas kepenų funkcijos</w:t>
      </w:r>
      <w:r w:rsidR="0079121B"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sutrikimas,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dozę reikia sumažinti (žr. 4.2 ir 4.4</w:t>
      </w:r>
      <w:r w:rsidR="0053063D">
        <w:rPr>
          <w:rFonts w:ascii="Times New Roman" w:eastAsia="Times New Roman" w:hAnsi="Times New Roman"/>
          <w:snapToGrid w:val="0"/>
        </w:rPr>
        <w:t> </w:t>
      </w:r>
      <w:r w:rsidRPr="00037DA8">
        <w:rPr>
          <w:rFonts w:ascii="Times New Roman" w:eastAsia="Times New Roman" w:hAnsi="Times New Roman"/>
          <w:snapToGrid w:val="0"/>
        </w:rPr>
        <w:t xml:space="preserve">skyrius). </w:t>
      </w:r>
      <w:proofErr w:type="spellStart"/>
      <w:r w:rsidR="0079121B"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negalima vartoti</w:t>
      </w:r>
      <w:r w:rsidR="0079121B" w:rsidRPr="00037DA8">
        <w:rPr>
          <w:rFonts w:ascii="Times New Roman" w:eastAsia="Times New Roman" w:hAnsi="Times New Roman"/>
          <w:snapToGrid w:val="0"/>
        </w:rPr>
        <w:t xml:space="preserve"> </w:t>
      </w:r>
      <w:r w:rsidRPr="00037DA8">
        <w:rPr>
          <w:rFonts w:ascii="Times New Roman" w:eastAsia="Times New Roman" w:hAnsi="Times New Roman"/>
          <w:snapToGrid w:val="0"/>
        </w:rPr>
        <w:t>pacientams, kuriems yra sunkus kepenų funkcijos sutrikimas (žr.</w:t>
      </w:r>
      <w:r w:rsidR="0053063D">
        <w:rPr>
          <w:rFonts w:ascii="Times New Roman" w:eastAsia="Times New Roman" w:hAnsi="Times New Roman"/>
          <w:snapToGrid w:val="0"/>
        </w:rPr>
        <w:t> </w:t>
      </w:r>
      <w:r w:rsidRPr="00037DA8">
        <w:rPr>
          <w:rFonts w:ascii="Times New Roman" w:eastAsia="Times New Roman" w:hAnsi="Times New Roman"/>
          <w:snapToGrid w:val="0"/>
        </w:rPr>
        <w:t>4.3</w:t>
      </w:r>
      <w:r w:rsidR="0053063D">
        <w:rPr>
          <w:rFonts w:ascii="Times New Roman" w:eastAsia="Times New Roman" w:hAnsi="Times New Roman"/>
          <w:snapToGrid w:val="0"/>
        </w:rPr>
        <w:t> </w:t>
      </w:r>
      <w:r w:rsidRPr="00037DA8">
        <w:rPr>
          <w:rFonts w:ascii="Times New Roman" w:eastAsia="Times New Roman" w:hAnsi="Times New Roman"/>
          <w:snapToGrid w:val="0"/>
        </w:rPr>
        <w:t>skyrių).</w:t>
      </w:r>
    </w:p>
    <w:p w14:paraId="3980AB99" w14:textId="77777777" w:rsidR="0079121B" w:rsidRPr="00037DA8" w:rsidRDefault="0079121B" w:rsidP="00A86465">
      <w:pPr>
        <w:tabs>
          <w:tab w:val="left" w:pos="567"/>
        </w:tabs>
        <w:spacing w:after="0" w:line="260" w:lineRule="exact"/>
        <w:rPr>
          <w:rFonts w:ascii="Times New Roman" w:eastAsia="Times New Roman" w:hAnsi="Times New Roman"/>
          <w:i/>
          <w:iCs/>
          <w:snapToGrid w:val="0"/>
        </w:rPr>
      </w:pPr>
    </w:p>
    <w:p w14:paraId="1843DF28" w14:textId="77777777" w:rsidR="00A86465" w:rsidRPr="00037DA8" w:rsidRDefault="00830259" w:rsidP="00A86465">
      <w:pPr>
        <w:tabs>
          <w:tab w:val="left" w:pos="567"/>
        </w:tabs>
        <w:spacing w:after="0" w:line="260" w:lineRule="exact"/>
        <w:rPr>
          <w:rFonts w:ascii="Times New Roman" w:eastAsia="Times New Roman" w:hAnsi="Times New Roman"/>
          <w:iCs/>
          <w:snapToGrid w:val="0"/>
          <w:u w:val="single"/>
        </w:rPr>
      </w:pPr>
      <w:r w:rsidRPr="00037DA8">
        <w:rPr>
          <w:rFonts w:ascii="Times New Roman" w:eastAsia="Times New Roman" w:hAnsi="Times New Roman"/>
          <w:iCs/>
          <w:snapToGrid w:val="0"/>
          <w:u w:val="single"/>
        </w:rPr>
        <w:t>Sutrikusi i</w:t>
      </w:r>
      <w:r w:rsidR="00A86465" w:rsidRPr="00037DA8">
        <w:rPr>
          <w:rFonts w:ascii="Times New Roman" w:eastAsia="Times New Roman" w:hAnsi="Times New Roman"/>
          <w:iCs/>
          <w:snapToGrid w:val="0"/>
          <w:u w:val="single"/>
        </w:rPr>
        <w:t>nkstų funkcij</w:t>
      </w:r>
      <w:r w:rsidRPr="00037DA8">
        <w:rPr>
          <w:rFonts w:ascii="Times New Roman" w:eastAsia="Times New Roman" w:hAnsi="Times New Roman"/>
          <w:iCs/>
          <w:snapToGrid w:val="0"/>
          <w:u w:val="single"/>
        </w:rPr>
        <w:t>a</w:t>
      </w:r>
    </w:p>
    <w:p w14:paraId="7ED4BB73" w14:textId="11C62EB8" w:rsidR="00A86465" w:rsidRPr="00037DA8" w:rsidRDefault="00A86465" w:rsidP="00A86465">
      <w:pPr>
        <w:tabs>
          <w:tab w:val="left" w:pos="567"/>
        </w:tabs>
        <w:spacing w:after="0" w:line="260" w:lineRule="exact"/>
        <w:rPr>
          <w:rFonts w:ascii="Times New Roman" w:eastAsia="Times New Roman" w:hAnsi="Times New Roman"/>
          <w:snapToGrid w:val="0"/>
        </w:rPr>
      </w:pPr>
      <w:r w:rsidRPr="00830259">
        <w:rPr>
          <w:rFonts w:ascii="Times New Roman" w:eastAsia="Times New Roman" w:hAnsi="Times New Roman"/>
          <w:snapToGrid w:val="0"/>
        </w:rPr>
        <w:t xml:space="preserve">Pro inkstus </w:t>
      </w:r>
      <w:proofErr w:type="spellStart"/>
      <w:r w:rsidRPr="00830259">
        <w:rPr>
          <w:rFonts w:ascii="Times New Roman" w:eastAsia="Times New Roman" w:hAnsi="Times New Roman"/>
          <w:snapToGrid w:val="0"/>
        </w:rPr>
        <w:t>kabazita</w:t>
      </w:r>
      <w:r w:rsidRPr="00BC3E54">
        <w:rPr>
          <w:rFonts w:ascii="Times New Roman" w:eastAsia="Times New Roman" w:hAnsi="Times New Roman"/>
          <w:snapToGrid w:val="0"/>
        </w:rPr>
        <w:t>kselio</w:t>
      </w:r>
      <w:proofErr w:type="spellEnd"/>
      <w:r w:rsidRPr="00BC3E54">
        <w:rPr>
          <w:rFonts w:ascii="Times New Roman" w:eastAsia="Times New Roman" w:hAnsi="Times New Roman"/>
          <w:snapToGrid w:val="0"/>
        </w:rPr>
        <w:t xml:space="preserve"> išskiriama labai mažai (2,3</w:t>
      </w:r>
      <w:r w:rsidR="000754E6">
        <w:rPr>
          <w:rFonts w:ascii="Times New Roman" w:eastAsia="Times New Roman" w:hAnsi="Times New Roman"/>
          <w:snapToGrid w:val="0"/>
        </w:rPr>
        <w:t> </w:t>
      </w:r>
      <w:r w:rsidRPr="00830259">
        <w:rPr>
          <w:rFonts w:ascii="Times New Roman" w:eastAsia="Times New Roman" w:hAnsi="Times New Roman"/>
          <w:snapToGrid w:val="0"/>
        </w:rPr>
        <w:t xml:space="preserve">% dozės). Į </w:t>
      </w:r>
      <w:proofErr w:type="spellStart"/>
      <w:r w:rsidRPr="00830259">
        <w:rPr>
          <w:rFonts w:ascii="Times New Roman" w:eastAsia="Times New Roman" w:hAnsi="Times New Roman"/>
          <w:snapToGrid w:val="0"/>
        </w:rPr>
        <w:t>populiacinę</w:t>
      </w:r>
      <w:proofErr w:type="spellEnd"/>
      <w:r w:rsidRPr="00830259">
        <w:rPr>
          <w:rFonts w:ascii="Times New Roman" w:eastAsia="Times New Roman" w:hAnsi="Times New Roman"/>
          <w:snapToGrid w:val="0"/>
        </w:rPr>
        <w:t xml:space="preserve"> </w:t>
      </w:r>
      <w:proofErr w:type="spellStart"/>
      <w:r w:rsidRPr="00830259">
        <w:rPr>
          <w:rFonts w:ascii="Times New Roman" w:eastAsia="Times New Roman" w:hAnsi="Times New Roman"/>
          <w:snapToGrid w:val="0"/>
        </w:rPr>
        <w:t>farmakokinetinę</w:t>
      </w:r>
      <w:proofErr w:type="spellEnd"/>
      <w:r w:rsidRPr="00830259">
        <w:rPr>
          <w:rFonts w:ascii="Times New Roman" w:eastAsia="Times New Roman" w:hAnsi="Times New Roman"/>
          <w:snapToGrid w:val="0"/>
        </w:rPr>
        <w:t xml:space="preserve"> analizę</w:t>
      </w:r>
      <w:r w:rsidR="0079121B" w:rsidRPr="00BC3E54">
        <w:rPr>
          <w:rFonts w:ascii="Times New Roman" w:eastAsia="Times New Roman" w:hAnsi="Times New Roman"/>
          <w:snapToGrid w:val="0"/>
        </w:rPr>
        <w:t xml:space="preserve"> </w:t>
      </w:r>
      <w:r w:rsidRPr="0085406C">
        <w:rPr>
          <w:rFonts w:ascii="Times New Roman" w:eastAsia="Times New Roman" w:hAnsi="Times New Roman"/>
          <w:snapToGrid w:val="0"/>
        </w:rPr>
        <w:t>(iš viso išanalizuoti 170 pacientų duomenys) buvo įtraukti ir 14</w:t>
      </w:r>
      <w:r w:rsidR="0053063D">
        <w:rPr>
          <w:rFonts w:ascii="Times New Roman" w:eastAsia="Times New Roman" w:hAnsi="Times New Roman"/>
          <w:snapToGrid w:val="0"/>
        </w:rPr>
        <w:t> </w:t>
      </w:r>
      <w:r w:rsidRPr="0085406C">
        <w:rPr>
          <w:rFonts w:ascii="Times New Roman" w:eastAsia="Times New Roman" w:hAnsi="Times New Roman"/>
          <w:snapToGrid w:val="0"/>
        </w:rPr>
        <w:t>pacientų, kuriems buvo vidutinio</w:t>
      </w:r>
      <w:r w:rsidR="0079121B" w:rsidRPr="004200DB">
        <w:rPr>
          <w:rFonts w:ascii="Times New Roman" w:eastAsia="Times New Roman" w:hAnsi="Times New Roman"/>
          <w:snapToGrid w:val="0"/>
        </w:rPr>
        <w:t xml:space="preserve"> </w:t>
      </w:r>
      <w:r w:rsidRPr="004200DB">
        <w:rPr>
          <w:rFonts w:ascii="Times New Roman" w:eastAsia="Times New Roman" w:hAnsi="Times New Roman"/>
          <w:snapToGrid w:val="0"/>
        </w:rPr>
        <w:t xml:space="preserve">sunkumo inkstų funkcijos sutrikimas </w:t>
      </w:r>
      <w:r w:rsidRPr="00037DA8">
        <w:rPr>
          <w:rFonts w:ascii="Times New Roman" w:eastAsia="Times New Roman" w:hAnsi="Times New Roman"/>
          <w:snapToGrid w:val="0"/>
        </w:rPr>
        <w:t>(kreatinino klirensas 30-50</w:t>
      </w:r>
      <w:r w:rsidR="000754E6">
        <w:rPr>
          <w:rFonts w:ascii="Times New Roman" w:eastAsia="Times New Roman" w:hAnsi="Times New Roman"/>
          <w:snapToGrid w:val="0"/>
        </w:rPr>
        <w:t> </w:t>
      </w:r>
      <w:r w:rsidRPr="00037DA8">
        <w:rPr>
          <w:rFonts w:ascii="Times New Roman" w:eastAsia="Times New Roman" w:hAnsi="Times New Roman"/>
          <w:snapToGrid w:val="0"/>
        </w:rPr>
        <w:t>ml/min.), ir 59</w:t>
      </w:r>
      <w:r w:rsidR="0053063D">
        <w:rPr>
          <w:rFonts w:ascii="Times New Roman" w:eastAsia="Times New Roman" w:hAnsi="Times New Roman"/>
          <w:snapToGrid w:val="0"/>
        </w:rPr>
        <w:t> </w:t>
      </w:r>
      <w:r w:rsidRPr="00037DA8">
        <w:rPr>
          <w:rFonts w:ascii="Times New Roman" w:eastAsia="Times New Roman" w:hAnsi="Times New Roman"/>
          <w:snapToGrid w:val="0"/>
        </w:rPr>
        <w:t>pacientai, kuriems</w:t>
      </w:r>
      <w:r w:rsidR="0079121B" w:rsidRPr="00037DA8">
        <w:rPr>
          <w:rFonts w:ascii="Times New Roman" w:eastAsia="Times New Roman" w:hAnsi="Times New Roman"/>
          <w:snapToGrid w:val="0"/>
        </w:rPr>
        <w:t xml:space="preserve"> </w:t>
      </w:r>
      <w:r w:rsidRPr="00037DA8">
        <w:rPr>
          <w:rFonts w:ascii="Times New Roman" w:eastAsia="Times New Roman" w:hAnsi="Times New Roman"/>
          <w:snapToGrid w:val="0"/>
        </w:rPr>
        <w:t>buvo lengvas inkstų funkcijos sutrikimas (kreatinino klirensas 50-80</w:t>
      </w:r>
      <w:r w:rsidR="000754E6">
        <w:rPr>
          <w:rFonts w:ascii="Times New Roman" w:eastAsia="Times New Roman" w:hAnsi="Times New Roman"/>
          <w:snapToGrid w:val="0"/>
        </w:rPr>
        <w:t> </w:t>
      </w:r>
      <w:r w:rsidRPr="00037DA8">
        <w:rPr>
          <w:rFonts w:ascii="Times New Roman" w:eastAsia="Times New Roman" w:hAnsi="Times New Roman"/>
          <w:snapToGrid w:val="0"/>
        </w:rPr>
        <w:t>ml/min.). Nustatyta, kad lengvas</w:t>
      </w:r>
      <w:r w:rsidR="0079121B" w:rsidRPr="00037DA8">
        <w:rPr>
          <w:rFonts w:ascii="Times New Roman" w:eastAsia="Times New Roman" w:hAnsi="Times New Roman"/>
          <w:snapToGrid w:val="0"/>
        </w:rPr>
        <w:t xml:space="preserve"> </w:t>
      </w:r>
      <w:r w:rsidRPr="00037DA8">
        <w:rPr>
          <w:rFonts w:ascii="Times New Roman" w:eastAsia="Times New Roman" w:hAnsi="Times New Roman"/>
          <w:snapToGrid w:val="0"/>
        </w:rPr>
        <w:t>ar vidutinio sunkumo inkstų funkcijos sutrikimas reikšming</w:t>
      </w:r>
      <w:r w:rsidR="0079121B" w:rsidRPr="00037DA8">
        <w:rPr>
          <w:rFonts w:ascii="Times New Roman" w:eastAsia="Times New Roman" w:hAnsi="Times New Roman"/>
          <w:snapToGrid w:val="0"/>
        </w:rPr>
        <w:t>os įtakos</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kabazitakselio</w:t>
      </w:r>
      <w:proofErr w:type="spellEnd"/>
      <w:r w:rsidR="0079121B" w:rsidRPr="00037DA8">
        <w:rPr>
          <w:rFonts w:ascii="Times New Roman" w:eastAsia="Times New Roman" w:hAnsi="Times New Roman"/>
          <w:snapToGrid w:val="0"/>
        </w:rPr>
        <w:t xml:space="preserve"> </w:t>
      </w:r>
      <w:r w:rsidRPr="00037DA8">
        <w:rPr>
          <w:rFonts w:ascii="Times New Roman" w:eastAsia="Times New Roman" w:hAnsi="Times New Roman"/>
          <w:snapToGrid w:val="0"/>
        </w:rPr>
        <w:t>farmakokinetikai ne</w:t>
      </w:r>
      <w:r w:rsidR="0079121B" w:rsidRPr="00037DA8">
        <w:rPr>
          <w:rFonts w:ascii="Times New Roman" w:eastAsia="Times New Roman" w:hAnsi="Times New Roman"/>
          <w:snapToGrid w:val="0"/>
        </w:rPr>
        <w:t>daro</w:t>
      </w:r>
      <w:r w:rsidRPr="00037DA8">
        <w:rPr>
          <w:rFonts w:ascii="Times New Roman" w:eastAsia="Times New Roman" w:hAnsi="Times New Roman"/>
          <w:snapToGrid w:val="0"/>
        </w:rPr>
        <w:t>. Tai buvo patvirtinta atlikus tam skirtą palyginamąjį farmakokinetikos</w:t>
      </w:r>
      <w:r w:rsidR="0079121B"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tyrimą, kuriame dalyvavusiems </w:t>
      </w:r>
      <w:proofErr w:type="spellStart"/>
      <w:r w:rsidRPr="00037DA8">
        <w:rPr>
          <w:rFonts w:ascii="Times New Roman" w:eastAsia="Times New Roman" w:hAnsi="Times New Roman"/>
          <w:snapToGrid w:val="0"/>
        </w:rPr>
        <w:t>solidiniu</w:t>
      </w:r>
      <w:proofErr w:type="spellEnd"/>
      <w:r w:rsidRPr="00037DA8">
        <w:rPr>
          <w:rFonts w:ascii="Times New Roman" w:eastAsia="Times New Roman" w:hAnsi="Times New Roman"/>
          <w:snapToGrid w:val="0"/>
        </w:rPr>
        <w:t xml:space="preserve"> vėžiu sergantiems pacientams, kurių inkstų funkcija buvo</w:t>
      </w:r>
      <w:r w:rsidR="0079121B" w:rsidRPr="00037DA8">
        <w:rPr>
          <w:rFonts w:ascii="Times New Roman" w:eastAsia="Times New Roman" w:hAnsi="Times New Roman"/>
          <w:snapToGrid w:val="0"/>
        </w:rPr>
        <w:t xml:space="preserve"> </w:t>
      </w:r>
      <w:r w:rsidRPr="00037DA8">
        <w:rPr>
          <w:rFonts w:ascii="Times New Roman" w:eastAsia="Times New Roman" w:hAnsi="Times New Roman"/>
          <w:snapToGrid w:val="0"/>
        </w:rPr>
        <w:t>normali (8</w:t>
      </w:r>
      <w:r w:rsidR="0053063D">
        <w:rPr>
          <w:rFonts w:ascii="Times New Roman" w:eastAsia="Times New Roman" w:hAnsi="Times New Roman"/>
          <w:snapToGrid w:val="0"/>
        </w:rPr>
        <w:t> </w:t>
      </w:r>
      <w:r w:rsidRPr="00037DA8">
        <w:rPr>
          <w:rFonts w:ascii="Times New Roman" w:eastAsia="Times New Roman" w:hAnsi="Times New Roman"/>
          <w:snapToGrid w:val="0"/>
        </w:rPr>
        <w:t>pacientai) arba kuriems buvo vidutinio sunkumo (8</w:t>
      </w:r>
      <w:r w:rsidR="0053063D">
        <w:rPr>
          <w:rFonts w:ascii="Times New Roman" w:eastAsia="Times New Roman" w:hAnsi="Times New Roman"/>
          <w:snapToGrid w:val="0"/>
        </w:rPr>
        <w:t> </w:t>
      </w:r>
      <w:r w:rsidRPr="00037DA8">
        <w:rPr>
          <w:rFonts w:ascii="Times New Roman" w:eastAsia="Times New Roman" w:hAnsi="Times New Roman"/>
          <w:snapToGrid w:val="0"/>
        </w:rPr>
        <w:t>pacientai) ar sunkus (9</w:t>
      </w:r>
      <w:r w:rsidR="0053063D">
        <w:rPr>
          <w:rFonts w:ascii="Times New Roman" w:eastAsia="Times New Roman" w:hAnsi="Times New Roman"/>
          <w:snapToGrid w:val="0"/>
        </w:rPr>
        <w:t> </w:t>
      </w:r>
      <w:r w:rsidRPr="00037DA8">
        <w:rPr>
          <w:rFonts w:ascii="Times New Roman" w:eastAsia="Times New Roman" w:hAnsi="Times New Roman"/>
          <w:snapToGrid w:val="0"/>
        </w:rPr>
        <w:t>pacientai)</w:t>
      </w:r>
      <w:r w:rsidR="0079121B"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inkstų funkcijos sutrikimas, buvo atlikti keli gydymo </w:t>
      </w:r>
      <w:proofErr w:type="spellStart"/>
      <w:r w:rsidRPr="00037DA8">
        <w:rPr>
          <w:rFonts w:ascii="Times New Roman" w:eastAsia="Times New Roman" w:hAnsi="Times New Roman"/>
          <w:snapToGrid w:val="0"/>
        </w:rPr>
        <w:t>kabazitakseliu</w:t>
      </w:r>
      <w:proofErr w:type="spellEnd"/>
      <w:r w:rsidRPr="00037DA8">
        <w:rPr>
          <w:rFonts w:ascii="Times New Roman" w:eastAsia="Times New Roman" w:hAnsi="Times New Roman"/>
          <w:snapToGrid w:val="0"/>
        </w:rPr>
        <w:t xml:space="preserve"> (vienkartinės iki 25</w:t>
      </w:r>
      <w:r w:rsidR="0079121B" w:rsidRPr="00037DA8">
        <w:rPr>
          <w:rFonts w:ascii="Times New Roman" w:eastAsia="Times New Roman" w:hAnsi="Times New Roman"/>
          <w:snapToGrid w:val="0"/>
        </w:rPr>
        <w:t>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dozės</w:t>
      </w:r>
      <w:r w:rsidR="0079121B" w:rsidRPr="00037DA8">
        <w:rPr>
          <w:rFonts w:ascii="Times New Roman" w:eastAsia="Times New Roman" w:hAnsi="Times New Roman"/>
          <w:snapToGrid w:val="0"/>
        </w:rPr>
        <w:t xml:space="preserve"> </w:t>
      </w:r>
      <w:r w:rsidRPr="00037DA8">
        <w:rPr>
          <w:rFonts w:ascii="Times New Roman" w:eastAsia="Times New Roman" w:hAnsi="Times New Roman"/>
          <w:snapToGrid w:val="0"/>
        </w:rPr>
        <w:t>infuzija į veną) ciklai.</w:t>
      </w:r>
    </w:p>
    <w:p w14:paraId="42281447" w14:textId="77777777" w:rsidR="0079121B" w:rsidRPr="00037DA8" w:rsidRDefault="0079121B" w:rsidP="00A86465">
      <w:pPr>
        <w:tabs>
          <w:tab w:val="left" w:pos="567"/>
        </w:tabs>
        <w:spacing w:after="0" w:line="260" w:lineRule="exact"/>
        <w:rPr>
          <w:rFonts w:ascii="Times New Roman" w:eastAsia="Times New Roman" w:hAnsi="Times New Roman"/>
          <w:b/>
          <w:bCs/>
          <w:snapToGrid w:val="0"/>
        </w:rPr>
      </w:pPr>
    </w:p>
    <w:p w14:paraId="169EB80B" w14:textId="77777777" w:rsidR="00A86465" w:rsidRPr="00037DA8" w:rsidRDefault="00A86465" w:rsidP="00A86465">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5.3</w:t>
      </w:r>
      <w:r w:rsidR="0079121B" w:rsidRPr="00037DA8">
        <w:rPr>
          <w:rFonts w:ascii="Times New Roman" w:eastAsia="Times New Roman" w:hAnsi="Times New Roman"/>
          <w:b/>
          <w:bCs/>
          <w:snapToGrid w:val="0"/>
        </w:rPr>
        <w:tab/>
      </w:r>
      <w:proofErr w:type="spellStart"/>
      <w:r w:rsidRPr="00037DA8">
        <w:rPr>
          <w:rFonts w:ascii="Times New Roman" w:eastAsia="Times New Roman" w:hAnsi="Times New Roman"/>
          <w:b/>
          <w:bCs/>
          <w:snapToGrid w:val="0"/>
        </w:rPr>
        <w:t>Ikiklinikinių</w:t>
      </w:r>
      <w:proofErr w:type="spellEnd"/>
      <w:r w:rsidRPr="00037DA8">
        <w:rPr>
          <w:rFonts w:ascii="Times New Roman" w:eastAsia="Times New Roman" w:hAnsi="Times New Roman"/>
          <w:b/>
          <w:bCs/>
          <w:snapToGrid w:val="0"/>
        </w:rPr>
        <w:t xml:space="preserve"> saugumo tyrimų duomenys</w:t>
      </w:r>
    </w:p>
    <w:p w14:paraId="62074613" w14:textId="77777777" w:rsidR="0079121B" w:rsidRPr="00037DA8" w:rsidRDefault="0079121B" w:rsidP="00A86465">
      <w:pPr>
        <w:tabs>
          <w:tab w:val="left" w:pos="567"/>
        </w:tabs>
        <w:spacing w:after="0" w:line="260" w:lineRule="exact"/>
        <w:rPr>
          <w:rFonts w:ascii="Times New Roman" w:eastAsia="Times New Roman" w:hAnsi="Times New Roman"/>
          <w:snapToGrid w:val="0"/>
        </w:rPr>
      </w:pPr>
    </w:p>
    <w:p w14:paraId="4C183D10" w14:textId="0A32E184" w:rsidR="00A86465" w:rsidRPr="00037DA8" w:rsidRDefault="00A86465" w:rsidP="00A8646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Nepageidaujamos reakcijos, nepastebėtos klinikinių tyrimų metu, tačiau pasireiškusios šunims po</w:t>
      </w:r>
      <w:r w:rsidR="0079121B" w:rsidRPr="00037DA8">
        <w:rPr>
          <w:rFonts w:ascii="Times New Roman" w:eastAsia="Times New Roman" w:hAnsi="Times New Roman"/>
          <w:snapToGrid w:val="0"/>
        </w:rPr>
        <w:t xml:space="preserve"> </w:t>
      </w:r>
      <w:r w:rsidRPr="00037DA8">
        <w:rPr>
          <w:rFonts w:ascii="Times New Roman" w:eastAsia="Times New Roman" w:hAnsi="Times New Roman"/>
          <w:snapToGrid w:val="0"/>
        </w:rPr>
        <w:t>vienkartinės dozės, 5</w:t>
      </w:r>
      <w:r w:rsidR="000754E6">
        <w:rPr>
          <w:rFonts w:ascii="Times New Roman" w:eastAsia="Times New Roman" w:hAnsi="Times New Roman"/>
          <w:snapToGrid w:val="0"/>
        </w:rPr>
        <w:t> </w:t>
      </w:r>
      <w:r w:rsidRPr="00037DA8">
        <w:rPr>
          <w:rFonts w:ascii="Times New Roman" w:eastAsia="Times New Roman" w:hAnsi="Times New Roman"/>
          <w:snapToGrid w:val="0"/>
        </w:rPr>
        <w:t xml:space="preserve">dienų ir savaitės trukmės </w:t>
      </w:r>
      <w:r w:rsidR="0079121B" w:rsidRPr="00037DA8">
        <w:rPr>
          <w:rFonts w:ascii="Times New Roman" w:eastAsia="Times New Roman" w:hAnsi="Times New Roman"/>
          <w:snapToGrid w:val="0"/>
        </w:rPr>
        <w:t>veikliosios medžiagos</w:t>
      </w:r>
      <w:r w:rsidRPr="00037DA8">
        <w:rPr>
          <w:rFonts w:ascii="Times New Roman" w:eastAsia="Times New Roman" w:hAnsi="Times New Roman"/>
          <w:snapToGrid w:val="0"/>
        </w:rPr>
        <w:t xml:space="preserve"> vartojimo, kai ekspozicija buvo mažesnė nei</w:t>
      </w:r>
      <w:r w:rsidR="0079121B"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klinikinio vartojimo atveju, ir galinčios turėti reikšmės klinikiniam vartojimui, buvo </w:t>
      </w:r>
      <w:proofErr w:type="spellStart"/>
      <w:r w:rsidRPr="00037DA8">
        <w:rPr>
          <w:rFonts w:ascii="Times New Roman" w:eastAsia="Times New Roman" w:hAnsi="Times New Roman"/>
          <w:snapToGrid w:val="0"/>
        </w:rPr>
        <w:t>arteriolinė</w:t>
      </w:r>
      <w:proofErr w:type="spellEnd"/>
      <w:r w:rsidRPr="00037DA8">
        <w:rPr>
          <w:rFonts w:ascii="Times New Roman" w:eastAsia="Times New Roman" w:hAnsi="Times New Roman"/>
          <w:snapToGrid w:val="0"/>
        </w:rPr>
        <w:t xml:space="preserve"> ar</w:t>
      </w:r>
      <w:r w:rsidR="0079121B"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periarteriolinė</w:t>
      </w:r>
      <w:proofErr w:type="spellEnd"/>
      <w:r w:rsidRPr="00037DA8">
        <w:rPr>
          <w:rFonts w:ascii="Times New Roman" w:eastAsia="Times New Roman" w:hAnsi="Times New Roman"/>
          <w:snapToGrid w:val="0"/>
        </w:rPr>
        <w:t xml:space="preserve"> kepenų nekrozė, tulžies latakų </w:t>
      </w:r>
      <w:proofErr w:type="spellStart"/>
      <w:r w:rsidRPr="00037DA8">
        <w:rPr>
          <w:rFonts w:ascii="Times New Roman" w:eastAsia="Times New Roman" w:hAnsi="Times New Roman"/>
          <w:snapToGrid w:val="0"/>
        </w:rPr>
        <w:t>hiperplazija</w:t>
      </w:r>
      <w:proofErr w:type="spellEnd"/>
      <w:r w:rsidRPr="00037DA8">
        <w:rPr>
          <w:rFonts w:ascii="Times New Roman" w:eastAsia="Times New Roman" w:hAnsi="Times New Roman"/>
          <w:snapToGrid w:val="0"/>
        </w:rPr>
        <w:t xml:space="preserve"> ir (arba) </w:t>
      </w:r>
      <w:proofErr w:type="spellStart"/>
      <w:r w:rsidRPr="00037DA8">
        <w:rPr>
          <w:rFonts w:ascii="Times New Roman" w:eastAsia="Times New Roman" w:hAnsi="Times New Roman"/>
          <w:snapToGrid w:val="0"/>
        </w:rPr>
        <w:t>hepatoceliulinė</w:t>
      </w:r>
      <w:proofErr w:type="spellEnd"/>
      <w:r w:rsidRPr="00037DA8">
        <w:rPr>
          <w:rFonts w:ascii="Times New Roman" w:eastAsia="Times New Roman" w:hAnsi="Times New Roman"/>
          <w:snapToGrid w:val="0"/>
        </w:rPr>
        <w:t xml:space="preserve"> nekrozė (žr.</w:t>
      </w:r>
      <w:r w:rsidR="00E73503">
        <w:rPr>
          <w:rFonts w:ascii="Times New Roman" w:eastAsia="Times New Roman" w:hAnsi="Times New Roman"/>
          <w:snapToGrid w:val="0"/>
        </w:rPr>
        <w:t> </w:t>
      </w:r>
      <w:r w:rsidRPr="00037DA8">
        <w:rPr>
          <w:rFonts w:ascii="Times New Roman" w:eastAsia="Times New Roman" w:hAnsi="Times New Roman"/>
          <w:snapToGrid w:val="0"/>
        </w:rPr>
        <w:t>4.2</w:t>
      </w:r>
      <w:r w:rsidR="00E73503">
        <w:rPr>
          <w:rFonts w:ascii="Times New Roman" w:eastAsia="Times New Roman" w:hAnsi="Times New Roman"/>
          <w:snapToGrid w:val="0"/>
        </w:rPr>
        <w:t> </w:t>
      </w:r>
      <w:r w:rsidRPr="00037DA8">
        <w:rPr>
          <w:rFonts w:ascii="Times New Roman" w:eastAsia="Times New Roman" w:hAnsi="Times New Roman"/>
          <w:snapToGrid w:val="0"/>
        </w:rPr>
        <w:t>skyrių).</w:t>
      </w:r>
    </w:p>
    <w:p w14:paraId="58EB79CF" w14:textId="77777777" w:rsidR="00A86465" w:rsidRPr="00037DA8" w:rsidRDefault="00A86465" w:rsidP="008F71CF">
      <w:pPr>
        <w:tabs>
          <w:tab w:val="left" w:pos="567"/>
        </w:tabs>
        <w:spacing w:after="0" w:line="260" w:lineRule="exact"/>
        <w:rPr>
          <w:rFonts w:ascii="Times New Roman" w:eastAsia="Times New Roman" w:hAnsi="Times New Roman"/>
          <w:snapToGrid w:val="0"/>
        </w:rPr>
      </w:pPr>
    </w:p>
    <w:p w14:paraId="5CACE2B9" w14:textId="5D023A3A" w:rsidR="0079121B" w:rsidRPr="00037DA8" w:rsidRDefault="0079121B" w:rsidP="0079121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Nepageidaujamos reakcijos, nepastebėtos klinikinių tyrimų metu, tačiau pasireiškusios žiurkėms kartotinių dozių toksinio poveikio tyrimų metu, kai ekspozicija buvo didesnė nei klinikinio vartojimo atveju, ir galinčios turėti reikšmės klinikiniam vartojimui, buvo akių sutrikimai, pasireiškiantys </w:t>
      </w:r>
      <w:proofErr w:type="spellStart"/>
      <w:r w:rsidRPr="00037DA8">
        <w:rPr>
          <w:rFonts w:ascii="Times New Roman" w:eastAsia="Times New Roman" w:hAnsi="Times New Roman"/>
          <w:snapToGrid w:val="0"/>
        </w:rPr>
        <w:t>subkapsuline</w:t>
      </w:r>
      <w:proofErr w:type="spellEnd"/>
      <w:r w:rsidRPr="00037DA8">
        <w:rPr>
          <w:rFonts w:ascii="Times New Roman" w:eastAsia="Times New Roman" w:hAnsi="Times New Roman"/>
          <w:snapToGrid w:val="0"/>
        </w:rPr>
        <w:t xml:space="preserve"> lęšiuko skaidulų edema ir degeneracija. Toks poveikis iš dalies išnyko po 8</w:t>
      </w:r>
      <w:r w:rsidR="00E73503">
        <w:rPr>
          <w:rFonts w:ascii="Times New Roman" w:eastAsia="Times New Roman" w:hAnsi="Times New Roman"/>
          <w:snapToGrid w:val="0"/>
        </w:rPr>
        <w:t> </w:t>
      </w:r>
      <w:r w:rsidRPr="00037DA8">
        <w:rPr>
          <w:rFonts w:ascii="Times New Roman" w:eastAsia="Times New Roman" w:hAnsi="Times New Roman"/>
          <w:snapToGrid w:val="0"/>
        </w:rPr>
        <w:t>savaičių.</w:t>
      </w:r>
    </w:p>
    <w:p w14:paraId="6F82BBF4" w14:textId="77777777" w:rsidR="0079121B" w:rsidRPr="00037DA8" w:rsidRDefault="0079121B" w:rsidP="0079121B">
      <w:pPr>
        <w:tabs>
          <w:tab w:val="left" w:pos="567"/>
        </w:tabs>
        <w:spacing w:after="0" w:line="260" w:lineRule="exact"/>
        <w:rPr>
          <w:rFonts w:ascii="Times New Roman" w:eastAsia="Times New Roman" w:hAnsi="Times New Roman"/>
          <w:snapToGrid w:val="0"/>
        </w:rPr>
      </w:pPr>
    </w:p>
    <w:p w14:paraId="05717D4D" w14:textId="77777777" w:rsidR="0079121B" w:rsidRPr="00037DA8" w:rsidRDefault="0079121B" w:rsidP="0079121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Kancerogeninio poveikio tyrimų su </w:t>
      </w:r>
      <w:proofErr w:type="spellStart"/>
      <w:r w:rsidRPr="00037DA8">
        <w:rPr>
          <w:rFonts w:ascii="Times New Roman" w:eastAsia="Times New Roman" w:hAnsi="Times New Roman"/>
          <w:snapToGrid w:val="0"/>
        </w:rPr>
        <w:t>kabazitakseliu</w:t>
      </w:r>
      <w:proofErr w:type="spellEnd"/>
      <w:r w:rsidRPr="00037DA8">
        <w:rPr>
          <w:rFonts w:ascii="Times New Roman" w:eastAsia="Times New Roman" w:hAnsi="Times New Roman"/>
          <w:snapToGrid w:val="0"/>
        </w:rPr>
        <w:t xml:space="preserve"> neatlikta.</w:t>
      </w:r>
    </w:p>
    <w:p w14:paraId="6DE0979C" w14:textId="3CB7E4DD" w:rsidR="0079121B" w:rsidRPr="00037DA8" w:rsidRDefault="0079121B" w:rsidP="00AE42B2">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xml:space="preserve"> bakterijų </w:t>
      </w:r>
      <w:r w:rsidR="00354DD9" w:rsidRPr="00037DA8">
        <w:rPr>
          <w:rFonts w:ascii="Times New Roman" w:eastAsia="Times New Roman" w:hAnsi="Times New Roman"/>
          <w:snapToGrid w:val="0"/>
        </w:rPr>
        <w:t>atvirkštinės</w:t>
      </w:r>
      <w:r w:rsidRPr="00037DA8">
        <w:rPr>
          <w:rFonts w:ascii="Times New Roman" w:eastAsia="Times New Roman" w:hAnsi="Times New Roman"/>
          <w:snapToGrid w:val="0"/>
        </w:rPr>
        <w:t xml:space="preserve"> mutacijos (</w:t>
      </w:r>
      <w:proofErr w:type="spellStart"/>
      <w:r w:rsidRPr="00037DA8">
        <w:rPr>
          <w:rFonts w:ascii="Times New Roman" w:eastAsia="Times New Roman" w:hAnsi="Times New Roman"/>
          <w:snapToGrid w:val="0"/>
        </w:rPr>
        <w:t>Ames</w:t>
      </w:r>
      <w:proofErr w:type="spellEnd"/>
      <w:r w:rsidRPr="00037DA8">
        <w:rPr>
          <w:rFonts w:ascii="Times New Roman" w:eastAsia="Times New Roman" w:hAnsi="Times New Roman"/>
          <w:snapToGrid w:val="0"/>
        </w:rPr>
        <w:t xml:space="preserve">) testo metu mutacijų nesukėlė. </w:t>
      </w:r>
      <w:proofErr w:type="spellStart"/>
      <w:r w:rsidRPr="00037DA8">
        <w:rPr>
          <w:rFonts w:ascii="Times New Roman" w:eastAsia="Times New Roman" w:hAnsi="Times New Roman"/>
          <w:snapToGrid w:val="0"/>
        </w:rPr>
        <w:t>Klastogeninio</w:t>
      </w:r>
      <w:proofErr w:type="spellEnd"/>
      <w:r w:rsidR="00354DD9"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poveikio </w:t>
      </w:r>
      <w:proofErr w:type="spellStart"/>
      <w:r w:rsidRPr="00037DA8">
        <w:rPr>
          <w:rFonts w:ascii="Times New Roman" w:eastAsia="Times New Roman" w:hAnsi="Times New Roman"/>
          <w:i/>
          <w:snapToGrid w:val="0"/>
        </w:rPr>
        <w:t>in</w:t>
      </w:r>
      <w:proofErr w:type="spellEnd"/>
      <w:r w:rsidRPr="00037DA8">
        <w:rPr>
          <w:rFonts w:ascii="Times New Roman" w:eastAsia="Times New Roman" w:hAnsi="Times New Roman"/>
          <w:i/>
          <w:snapToGrid w:val="0"/>
        </w:rPr>
        <w:t xml:space="preserve"> </w:t>
      </w:r>
      <w:proofErr w:type="spellStart"/>
      <w:r w:rsidRPr="00037DA8">
        <w:rPr>
          <w:rFonts w:ascii="Times New Roman" w:eastAsia="Times New Roman" w:hAnsi="Times New Roman"/>
          <w:i/>
          <w:snapToGrid w:val="0"/>
        </w:rPr>
        <w:t>vitro</w:t>
      </w:r>
      <w:proofErr w:type="spellEnd"/>
      <w:r w:rsidRPr="00037DA8">
        <w:rPr>
          <w:rFonts w:ascii="Times New Roman" w:eastAsia="Times New Roman" w:hAnsi="Times New Roman"/>
          <w:snapToGrid w:val="0"/>
        </w:rPr>
        <w:t xml:space="preserve"> tyrimų su žmogaus limfocitais metu neatsirado (struktūrinės chromosominės</w:t>
      </w:r>
      <w:r w:rsidR="00354DD9"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aberacijos</w:t>
      </w:r>
      <w:proofErr w:type="spellEnd"/>
      <w:r w:rsidRPr="00037DA8">
        <w:rPr>
          <w:rFonts w:ascii="Times New Roman" w:eastAsia="Times New Roman" w:hAnsi="Times New Roman"/>
          <w:snapToGrid w:val="0"/>
        </w:rPr>
        <w:t xml:space="preserve"> nebuvo, tačiau padaugėjo </w:t>
      </w:r>
      <w:proofErr w:type="spellStart"/>
      <w:r w:rsidRPr="00037DA8">
        <w:rPr>
          <w:rFonts w:ascii="Times New Roman" w:eastAsia="Times New Roman" w:hAnsi="Times New Roman"/>
          <w:snapToGrid w:val="0"/>
        </w:rPr>
        <w:t>poliploidinių</w:t>
      </w:r>
      <w:proofErr w:type="spellEnd"/>
      <w:r w:rsidRPr="00037DA8">
        <w:rPr>
          <w:rFonts w:ascii="Times New Roman" w:eastAsia="Times New Roman" w:hAnsi="Times New Roman"/>
          <w:snapToGrid w:val="0"/>
        </w:rPr>
        <w:t xml:space="preserve"> ląstelių), o </w:t>
      </w:r>
      <w:proofErr w:type="spellStart"/>
      <w:r w:rsidRPr="00037DA8">
        <w:rPr>
          <w:rFonts w:ascii="Times New Roman" w:eastAsia="Times New Roman" w:hAnsi="Times New Roman"/>
          <w:i/>
          <w:snapToGrid w:val="0"/>
        </w:rPr>
        <w:t>in</w:t>
      </w:r>
      <w:proofErr w:type="spellEnd"/>
      <w:r w:rsidRPr="00037DA8">
        <w:rPr>
          <w:rFonts w:ascii="Times New Roman" w:eastAsia="Times New Roman" w:hAnsi="Times New Roman"/>
          <w:i/>
          <w:snapToGrid w:val="0"/>
        </w:rPr>
        <w:t xml:space="preserve"> </w:t>
      </w:r>
      <w:proofErr w:type="spellStart"/>
      <w:r w:rsidRPr="00037DA8">
        <w:rPr>
          <w:rFonts w:ascii="Times New Roman" w:eastAsia="Times New Roman" w:hAnsi="Times New Roman"/>
          <w:i/>
          <w:snapToGrid w:val="0"/>
        </w:rPr>
        <w:t>vivo</w:t>
      </w:r>
      <w:proofErr w:type="spellEnd"/>
      <w:r w:rsidRPr="00037DA8">
        <w:rPr>
          <w:rFonts w:ascii="Times New Roman" w:eastAsia="Times New Roman" w:hAnsi="Times New Roman"/>
          <w:snapToGrid w:val="0"/>
        </w:rPr>
        <w:t xml:space="preserve"> tyrimų su žiurkėmis metu</w:t>
      </w:r>
      <w:r w:rsidR="00354DD9"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pastebėtas </w:t>
      </w:r>
      <w:proofErr w:type="spellStart"/>
      <w:r w:rsidRPr="00037DA8">
        <w:rPr>
          <w:rFonts w:ascii="Times New Roman" w:eastAsia="Times New Roman" w:hAnsi="Times New Roman"/>
          <w:snapToGrid w:val="0"/>
        </w:rPr>
        <w:t>mikrobranduolių</w:t>
      </w:r>
      <w:proofErr w:type="spellEnd"/>
      <w:r w:rsidRPr="00037DA8">
        <w:rPr>
          <w:rFonts w:ascii="Times New Roman" w:eastAsia="Times New Roman" w:hAnsi="Times New Roman"/>
          <w:snapToGrid w:val="0"/>
        </w:rPr>
        <w:t xml:space="preserve"> skaičiaus padidėjimas. </w:t>
      </w:r>
      <w:r w:rsidR="00307A91">
        <w:rPr>
          <w:rFonts w:ascii="Times New Roman" w:eastAsia="Times New Roman" w:hAnsi="Times New Roman"/>
          <w:snapToGrid w:val="0"/>
        </w:rPr>
        <w:t>T</w:t>
      </w:r>
      <w:r w:rsidRPr="00037DA8">
        <w:rPr>
          <w:rFonts w:ascii="Times New Roman" w:eastAsia="Times New Roman" w:hAnsi="Times New Roman"/>
          <w:snapToGrid w:val="0"/>
        </w:rPr>
        <w:t>ok</w:t>
      </w:r>
      <w:r w:rsidR="00307A91">
        <w:rPr>
          <w:rFonts w:ascii="Times New Roman" w:eastAsia="Times New Roman" w:hAnsi="Times New Roman"/>
          <w:snapToGrid w:val="0"/>
        </w:rPr>
        <w:t>ie</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genotoksini</w:t>
      </w:r>
      <w:r w:rsidR="00307A91">
        <w:rPr>
          <w:rFonts w:ascii="Times New Roman" w:eastAsia="Times New Roman" w:hAnsi="Times New Roman"/>
          <w:snapToGrid w:val="0"/>
        </w:rPr>
        <w:t>ai</w:t>
      </w:r>
      <w:proofErr w:type="spellEnd"/>
      <w:r w:rsidRPr="00037DA8">
        <w:rPr>
          <w:rFonts w:ascii="Times New Roman" w:eastAsia="Times New Roman" w:hAnsi="Times New Roman"/>
          <w:snapToGrid w:val="0"/>
        </w:rPr>
        <w:t xml:space="preserve"> poveiki</w:t>
      </w:r>
      <w:r w:rsidR="00307A91">
        <w:rPr>
          <w:rFonts w:ascii="Times New Roman" w:eastAsia="Times New Roman" w:hAnsi="Times New Roman"/>
          <w:snapToGrid w:val="0"/>
        </w:rPr>
        <w:t xml:space="preserve">ai </w:t>
      </w:r>
      <w:r w:rsidR="00307A91" w:rsidRPr="00A1477B">
        <w:rPr>
          <w:rFonts w:ascii="Times New Roman" w:eastAsia="Times New Roman" w:hAnsi="Times New Roman"/>
          <w:snapToGrid w:val="0"/>
        </w:rPr>
        <w:t xml:space="preserve">(pasireiškiantys </w:t>
      </w:r>
      <w:proofErr w:type="spellStart"/>
      <w:r w:rsidR="00307A91" w:rsidRPr="00A1477B">
        <w:rPr>
          <w:rFonts w:ascii="Times New Roman" w:eastAsia="Times New Roman" w:hAnsi="Times New Roman"/>
          <w:snapToGrid w:val="0"/>
        </w:rPr>
        <w:t>aneugeniniu</w:t>
      </w:r>
      <w:proofErr w:type="spellEnd"/>
      <w:r w:rsidR="00307A91" w:rsidRPr="00A1477B">
        <w:rPr>
          <w:rFonts w:ascii="Times New Roman" w:eastAsia="Times New Roman" w:hAnsi="Times New Roman"/>
          <w:snapToGrid w:val="0"/>
        </w:rPr>
        <w:t xml:space="preserve"> mechanizmu)</w:t>
      </w:r>
      <w:r w:rsidRPr="00121114">
        <w:rPr>
          <w:rFonts w:ascii="Times New Roman" w:eastAsia="Times New Roman" w:hAnsi="Times New Roman"/>
          <w:snapToGrid w:val="0"/>
        </w:rPr>
        <w:t xml:space="preserve"> </w:t>
      </w:r>
      <w:r w:rsidRPr="00037DA8">
        <w:rPr>
          <w:rFonts w:ascii="Times New Roman" w:eastAsia="Times New Roman" w:hAnsi="Times New Roman"/>
          <w:snapToGrid w:val="0"/>
        </w:rPr>
        <w:t>yra susiję su</w:t>
      </w:r>
      <w:r w:rsidR="00354DD9" w:rsidRPr="00037DA8">
        <w:rPr>
          <w:rFonts w:ascii="Times New Roman" w:eastAsia="Times New Roman" w:hAnsi="Times New Roman"/>
          <w:snapToGrid w:val="0"/>
        </w:rPr>
        <w:t xml:space="preserve"> </w:t>
      </w:r>
      <w:r w:rsidR="00307A91">
        <w:rPr>
          <w:rFonts w:ascii="Times New Roman" w:eastAsia="Times New Roman" w:hAnsi="Times New Roman"/>
          <w:snapToGrid w:val="0"/>
        </w:rPr>
        <w:t>farmakologiniu</w:t>
      </w:r>
      <w:r w:rsidR="00307A91" w:rsidRPr="00037DA8">
        <w:rPr>
          <w:rFonts w:ascii="Times New Roman" w:eastAsia="Times New Roman" w:hAnsi="Times New Roman"/>
          <w:snapToGrid w:val="0"/>
        </w:rPr>
        <w:t xml:space="preserve"> </w:t>
      </w:r>
      <w:r w:rsidRPr="00037DA8">
        <w:rPr>
          <w:rFonts w:ascii="Times New Roman" w:eastAsia="Times New Roman" w:hAnsi="Times New Roman"/>
          <w:snapToGrid w:val="0"/>
        </w:rPr>
        <w:t>medžiagos aktyvumu (</w:t>
      </w:r>
      <w:proofErr w:type="spellStart"/>
      <w:r w:rsidRPr="00037DA8">
        <w:rPr>
          <w:rFonts w:ascii="Times New Roman" w:eastAsia="Times New Roman" w:hAnsi="Times New Roman"/>
          <w:snapToGrid w:val="0"/>
        </w:rPr>
        <w:t>tubulino</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depolimerizacijos</w:t>
      </w:r>
      <w:proofErr w:type="spellEnd"/>
      <w:r w:rsidRPr="00037DA8">
        <w:rPr>
          <w:rFonts w:ascii="Times New Roman" w:eastAsia="Times New Roman" w:hAnsi="Times New Roman"/>
          <w:snapToGrid w:val="0"/>
        </w:rPr>
        <w:t xml:space="preserve"> slopinimu).</w:t>
      </w:r>
    </w:p>
    <w:p w14:paraId="5C25350E" w14:textId="77777777" w:rsidR="00354DD9" w:rsidRPr="00037DA8" w:rsidRDefault="00354DD9" w:rsidP="0079121B">
      <w:pPr>
        <w:tabs>
          <w:tab w:val="left" w:pos="567"/>
        </w:tabs>
        <w:spacing w:after="0" w:line="260" w:lineRule="exact"/>
        <w:rPr>
          <w:rFonts w:ascii="Times New Roman" w:eastAsia="Times New Roman" w:hAnsi="Times New Roman"/>
          <w:snapToGrid w:val="0"/>
        </w:rPr>
      </w:pPr>
    </w:p>
    <w:p w14:paraId="1A713DD1" w14:textId="77777777" w:rsidR="0079121B" w:rsidRPr="00037DA8" w:rsidRDefault="0079121B" w:rsidP="0079121B">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xml:space="preserve"> </w:t>
      </w:r>
      <w:r w:rsidR="00354DD9" w:rsidRPr="00037DA8">
        <w:rPr>
          <w:rFonts w:ascii="Times New Roman" w:eastAsia="Times New Roman" w:hAnsi="Times New Roman"/>
          <w:snapToGrid w:val="0"/>
        </w:rPr>
        <w:t>nedarė</w:t>
      </w:r>
      <w:r w:rsidRPr="00037DA8">
        <w:rPr>
          <w:rFonts w:ascii="Times New Roman" w:eastAsia="Times New Roman" w:hAnsi="Times New Roman"/>
          <w:snapToGrid w:val="0"/>
        </w:rPr>
        <w:t xml:space="preserve"> įtakos žiurkių patinų poravimuisi ar vaisingumui. Vis dėlto kartotinių dozių</w:t>
      </w:r>
      <w:r w:rsidR="00354DD9" w:rsidRPr="00037DA8">
        <w:rPr>
          <w:rFonts w:ascii="Times New Roman" w:eastAsia="Times New Roman" w:hAnsi="Times New Roman"/>
          <w:snapToGrid w:val="0"/>
        </w:rPr>
        <w:t xml:space="preserve"> </w:t>
      </w:r>
      <w:r w:rsidRPr="00037DA8">
        <w:rPr>
          <w:rFonts w:ascii="Times New Roman" w:eastAsia="Times New Roman" w:hAnsi="Times New Roman"/>
          <w:snapToGrid w:val="0"/>
        </w:rPr>
        <w:t>toksinio poveikio tyrimo metu pasireiškė žiurkių sėklidžių sėklinių pūslelių degeneracija ir sėklinių</w:t>
      </w:r>
      <w:r w:rsidR="00354DD9"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kanalėlių atrofija bei šunų sėklidžių degeneracija (minimali pavienių </w:t>
      </w:r>
      <w:proofErr w:type="spellStart"/>
      <w:r w:rsidRPr="00037DA8">
        <w:rPr>
          <w:rFonts w:ascii="Times New Roman" w:eastAsia="Times New Roman" w:hAnsi="Times New Roman"/>
          <w:snapToGrid w:val="0"/>
        </w:rPr>
        <w:t>epitelinių</w:t>
      </w:r>
      <w:proofErr w:type="spellEnd"/>
      <w:r w:rsidRPr="00037DA8">
        <w:rPr>
          <w:rFonts w:ascii="Times New Roman" w:eastAsia="Times New Roman" w:hAnsi="Times New Roman"/>
          <w:snapToGrid w:val="0"/>
        </w:rPr>
        <w:t xml:space="preserve"> ląstelių nekrozė</w:t>
      </w:r>
      <w:r w:rsidR="00354DD9" w:rsidRPr="00037DA8">
        <w:rPr>
          <w:rFonts w:ascii="Times New Roman" w:eastAsia="Times New Roman" w:hAnsi="Times New Roman"/>
          <w:snapToGrid w:val="0"/>
        </w:rPr>
        <w:t xml:space="preserve"> </w:t>
      </w:r>
      <w:r w:rsidRPr="00037DA8">
        <w:rPr>
          <w:rFonts w:ascii="Times New Roman" w:eastAsia="Times New Roman" w:hAnsi="Times New Roman"/>
          <w:snapToGrid w:val="0"/>
        </w:rPr>
        <w:t>sėklidžių prielipe). Ekspozicija gyvūnų organizme buvo panaši ar mažesnė nei būna žmonėms</w:t>
      </w:r>
      <w:r w:rsidR="00354DD9"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vartojant kliniškai reikšmingas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dozes.</w:t>
      </w:r>
    </w:p>
    <w:p w14:paraId="055D4BB4" w14:textId="77777777" w:rsidR="00354DD9" w:rsidRPr="00037DA8" w:rsidRDefault="00354DD9" w:rsidP="0079121B">
      <w:pPr>
        <w:tabs>
          <w:tab w:val="left" w:pos="567"/>
        </w:tabs>
        <w:spacing w:after="0" w:line="260" w:lineRule="exact"/>
        <w:rPr>
          <w:rFonts w:ascii="Times New Roman" w:eastAsia="Times New Roman" w:hAnsi="Times New Roman"/>
          <w:snapToGrid w:val="0"/>
        </w:rPr>
      </w:pPr>
    </w:p>
    <w:p w14:paraId="672DE485" w14:textId="604F93C2" w:rsidR="0079121B" w:rsidRPr="00037DA8" w:rsidRDefault="0079121B" w:rsidP="0079121B">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xml:space="preserve"> suk</w:t>
      </w:r>
      <w:r w:rsidR="00354DD9" w:rsidRPr="00037DA8">
        <w:rPr>
          <w:rFonts w:ascii="Times New Roman" w:eastAsia="Times New Roman" w:hAnsi="Times New Roman"/>
          <w:snapToGrid w:val="0"/>
        </w:rPr>
        <w:t>eltas</w:t>
      </w:r>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embriofetotoksin</w:t>
      </w:r>
      <w:r w:rsidR="00354DD9" w:rsidRPr="00037DA8">
        <w:rPr>
          <w:rFonts w:ascii="Times New Roman" w:eastAsia="Times New Roman" w:hAnsi="Times New Roman"/>
          <w:snapToGrid w:val="0"/>
        </w:rPr>
        <w:t>is</w:t>
      </w:r>
      <w:proofErr w:type="spellEnd"/>
      <w:r w:rsidRPr="00037DA8">
        <w:rPr>
          <w:rFonts w:ascii="Times New Roman" w:eastAsia="Times New Roman" w:hAnsi="Times New Roman"/>
          <w:snapToGrid w:val="0"/>
        </w:rPr>
        <w:t xml:space="preserve"> poveik</w:t>
      </w:r>
      <w:r w:rsidR="00354DD9" w:rsidRPr="00037DA8">
        <w:rPr>
          <w:rFonts w:ascii="Times New Roman" w:eastAsia="Times New Roman" w:hAnsi="Times New Roman"/>
          <w:snapToGrid w:val="0"/>
        </w:rPr>
        <w:t>is</w:t>
      </w:r>
      <w:r w:rsidRPr="00037DA8">
        <w:rPr>
          <w:rFonts w:ascii="Times New Roman" w:eastAsia="Times New Roman" w:hAnsi="Times New Roman"/>
          <w:snapToGrid w:val="0"/>
        </w:rPr>
        <w:t xml:space="preserve"> žiurkių patel</w:t>
      </w:r>
      <w:r w:rsidR="00354DD9" w:rsidRPr="00037DA8">
        <w:rPr>
          <w:rFonts w:ascii="Times New Roman" w:eastAsia="Times New Roman" w:hAnsi="Times New Roman"/>
          <w:snapToGrid w:val="0"/>
        </w:rPr>
        <w:t>ėms</w:t>
      </w:r>
      <w:r w:rsidRPr="00037DA8">
        <w:rPr>
          <w:rFonts w:ascii="Times New Roman" w:eastAsia="Times New Roman" w:hAnsi="Times New Roman"/>
          <w:snapToGrid w:val="0"/>
        </w:rPr>
        <w:t xml:space="preserve">, kurioms </w:t>
      </w:r>
      <w:r w:rsidR="00354DD9" w:rsidRPr="00037DA8">
        <w:rPr>
          <w:rFonts w:ascii="Times New Roman" w:eastAsia="Times New Roman" w:hAnsi="Times New Roman"/>
          <w:snapToGrid w:val="0"/>
        </w:rPr>
        <w:t>veikliosios medžiagos</w:t>
      </w:r>
      <w:r w:rsidRPr="00037DA8">
        <w:rPr>
          <w:rFonts w:ascii="Times New Roman" w:eastAsia="Times New Roman" w:hAnsi="Times New Roman"/>
          <w:snapToGrid w:val="0"/>
        </w:rPr>
        <w:t xml:space="preserve"> </w:t>
      </w:r>
      <w:r w:rsidR="00354DD9" w:rsidRPr="00037DA8">
        <w:rPr>
          <w:rFonts w:ascii="Times New Roman" w:eastAsia="Times New Roman" w:hAnsi="Times New Roman"/>
          <w:snapToGrid w:val="0"/>
        </w:rPr>
        <w:t>leista</w:t>
      </w:r>
      <w:r w:rsidRPr="00037DA8">
        <w:rPr>
          <w:rFonts w:ascii="Times New Roman" w:eastAsia="Times New Roman" w:hAnsi="Times New Roman"/>
          <w:snapToGrid w:val="0"/>
        </w:rPr>
        <w:t xml:space="preserve"> į veną</w:t>
      </w:r>
      <w:r w:rsidR="00354DD9"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kartą per parą 6-17 </w:t>
      </w:r>
      <w:r w:rsidR="004F528A">
        <w:rPr>
          <w:rFonts w:ascii="Times New Roman" w:eastAsia="Times New Roman" w:hAnsi="Times New Roman"/>
          <w:snapToGrid w:val="0"/>
        </w:rPr>
        <w:t>nėštumo</w:t>
      </w:r>
      <w:r w:rsidRPr="00037DA8">
        <w:rPr>
          <w:rFonts w:ascii="Times New Roman" w:eastAsia="Times New Roman" w:hAnsi="Times New Roman"/>
          <w:snapToGrid w:val="0"/>
        </w:rPr>
        <w:t xml:space="preserve"> dienomis,</w:t>
      </w:r>
      <w:r w:rsidR="00354DD9" w:rsidRPr="00037DA8">
        <w:rPr>
          <w:rFonts w:ascii="Times New Roman" w:eastAsia="Times New Roman" w:hAnsi="Times New Roman"/>
          <w:snapToGrid w:val="0"/>
        </w:rPr>
        <w:t xml:space="preserve"> buvo susijęs su toksiniu poveikiu patelei</w:t>
      </w:r>
      <w:r w:rsidRPr="00037DA8">
        <w:rPr>
          <w:rFonts w:ascii="Times New Roman" w:eastAsia="Times New Roman" w:hAnsi="Times New Roman"/>
          <w:snapToGrid w:val="0"/>
        </w:rPr>
        <w:t>: daugiau vaisių žuvo bei sumažėjo vidutinis vaisiaus svoris (toks poveikis buvo susijęs su</w:t>
      </w:r>
    </w:p>
    <w:p w14:paraId="66A4C1FE" w14:textId="77777777" w:rsidR="0079121B" w:rsidRPr="00037DA8" w:rsidRDefault="0079121B" w:rsidP="0079121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griaučių kaulėjimo lėtėjimu). Ekspozicija gyvūnų organizme buvo mažesnė nei būna žmonėms</w:t>
      </w:r>
      <w:r w:rsidR="00354DD9"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vartojant kliniškai reikšmingas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dozes. </w:t>
      </w:r>
      <w:proofErr w:type="spellStart"/>
      <w:r w:rsidRPr="00037DA8">
        <w:rPr>
          <w:rFonts w:ascii="Times New Roman" w:eastAsia="Times New Roman" w:hAnsi="Times New Roman"/>
          <w:snapToGrid w:val="0"/>
        </w:rPr>
        <w:t>Kabazitakselis</w:t>
      </w:r>
      <w:proofErr w:type="spellEnd"/>
      <w:r w:rsidRPr="00037DA8">
        <w:rPr>
          <w:rFonts w:ascii="Times New Roman" w:eastAsia="Times New Roman" w:hAnsi="Times New Roman"/>
          <w:snapToGrid w:val="0"/>
        </w:rPr>
        <w:t xml:space="preserve"> prasiskverbė per žiurkių</w:t>
      </w:r>
      <w:r w:rsidR="00354DD9" w:rsidRPr="00037DA8">
        <w:rPr>
          <w:rFonts w:ascii="Times New Roman" w:eastAsia="Times New Roman" w:hAnsi="Times New Roman"/>
          <w:snapToGrid w:val="0"/>
        </w:rPr>
        <w:t xml:space="preserve"> </w:t>
      </w:r>
      <w:r w:rsidRPr="00037DA8">
        <w:rPr>
          <w:rFonts w:ascii="Times New Roman" w:eastAsia="Times New Roman" w:hAnsi="Times New Roman"/>
          <w:snapToGrid w:val="0"/>
        </w:rPr>
        <w:t>placentos barjerą.</w:t>
      </w:r>
    </w:p>
    <w:p w14:paraId="59B31AE4" w14:textId="77777777" w:rsidR="00354DD9" w:rsidRPr="00037DA8" w:rsidRDefault="00354DD9" w:rsidP="0079121B">
      <w:pPr>
        <w:tabs>
          <w:tab w:val="left" w:pos="567"/>
        </w:tabs>
        <w:spacing w:after="0" w:line="260" w:lineRule="exact"/>
        <w:rPr>
          <w:rFonts w:ascii="Times New Roman" w:eastAsia="Times New Roman" w:hAnsi="Times New Roman"/>
          <w:snapToGrid w:val="0"/>
        </w:rPr>
      </w:pPr>
    </w:p>
    <w:p w14:paraId="471B9311" w14:textId="212BB211" w:rsidR="0079121B" w:rsidRPr="0085406C" w:rsidRDefault="0079121B" w:rsidP="0079121B">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ir jo metabolitų </w:t>
      </w:r>
      <w:r w:rsidR="00354DD9" w:rsidRPr="00037DA8">
        <w:rPr>
          <w:rFonts w:ascii="Times New Roman" w:eastAsia="Times New Roman" w:hAnsi="Times New Roman"/>
          <w:snapToGrid w:val="0"/>
        </w:rPr>
        <w:t>patenka į</w:t>
      </w:r>
      <w:r w:rsidRPr="00037DA8">
        <w:rPr>
          <w:rFonts w:ascii="Times New Roman" w:eastAsia="Times New Roman" w:hAnsi="Times New Roman"/>
          <w:snapToGrid w:val="0"/>
        </w:rPr>
        <w:t xml:space="preserve"> žiurk</w:t>
      </w:r>
      <w:r w:rsidR="00354DD9" w:rsidRPr="00037DA8">
        <w:rPr>
          <w:rFonts w:ascii="Times New Roman" w:eastAsia="Times New Roman" w:hAnsi="Times New Roman"/>
          <w:snapToGrid w:val="0"/>
        </w:rPr>
        <w:t>ės</w:t>
      </w:r>
      <w:r w:rsidRPr="00037DA8">
        <w:rPr>
          <w:rFonts w:ascii="Times New Roman" w:eastAsia="Times New Roman" w:hAnsi="Times New Roman"/>
          <w:snapToGrid w:val="0"/>
        </w:rPr>
        <w:t xml:space="preserve"> pien</w:t>
      </w:r>
      <w:r w:rsidR="00354DD9" w:rsidRPr="00037DA8">
        <w:rPr>
          <w:rFonts w:ascii="Times New Roman" w:eastAsia="Times New Roman" w:hAnsi="Times New Roman"/>
          <w:snapToGrid w:val="0"/>
        </w:rPr>
        <w:t>ą</w:t>
      </w:r>
      <w:r w:rsidRPr="00037DA8">
        <w:rPr>
          <w:rFonts w:ascii="Times New Roman" w:eastAsia="Times New Roman" w:hAnsi="Times New Roman"/>
          <w:snapToGrid w:val="0"/>
        </w:rPr>
        <w:t>: per 24</w:t>
      </w:r>
      <w:r w:rsidR="000754E6">
        <w:rPr>
          <w:rFonts w:ascii="Times New Roman" w:eastAsia="Times New Roman" w:hAnsi="Times New Roman"/>
          <w:snapToGrid w:val="0"/>
        </w:rPr>
        <w:t> </w:t>
      </w:r>
      <w:r w:rsidRPr="00037DA8">
        <w:rPr>
          <w:rFonts w:ascii="Times New Roman" w:eastAsia="Times New Roman" w:hAnsi="Times New Roman"/>
          <w:snapToGrid w:val="0"/>
        </w:rPr>
        <w:t xml:space="preserve">val. </w:t>
      </w:r>
      <w:r w:rsidR="00354DD9" w:rsidRPr="00037DA8">
        <w:rPr>
          <w:rFonts w:ascii="Times New Roman" w:eastAsia="Times New Roman" w:hAnsi="Times New Roman"/>
          <w:snapToGrid w:val="0"/>
        </w:rPr>
        <w:t>buvo išskirta</w:t>
      </w:r>
      <w:r w:rsidRPr="00037DA8">
        <w:rPr>
          <w:rFonts w:ascii="Times New Roman" w:eastAsia="Times New Roman" w:hAnsi="Times New Roman"/>
          <w:snapToGrid w:val="0"/>
        </w:rPr>
        <w:t xml:space="preserve"> iki 1,5</w:t>
      </w:r>
      <w:r w:rsidR="000754E6">
        <w:rPr>
          <w:rFonts w:ascii="Times New Roman" w:eastAsia="Times New Roman" w:hAnsi="Times New Roman"/>
          <w:snapToGrid w:val="0"/>
        </w:rPr>
        <w:t> </w:t>
      </w:r>
      <w:r w:rsidRPr="00B16106">
        <w:rPr>
          <w:rFonts w:ascii="Times New Roman" w:eastAsia="Times New Roman" w:hAnsi="Times New Roman"/>
          <w:snapToGrid w:val="0"/>
        </w:rPr>
        <w:t>% suvartotos</w:t>
      </w:r>
      <w:r w:rsidR="00354DD9" w:rsidRPr="00B16106">
        <w:rPr>
          <w:rFonts w:ascii="Times New Roman" w:eastAsia="Times New Roman" w:hAnsi="Times New Roman"/>
          <w:snapToGrid w:val="0"/>
        </w:rPr>
        <w:t xml:space="preserve"> </w:t>
      </w:r>
      <w:r w:rsidRPr="0085406C">
        <w:rPr>
          <w:rFonts w:ascii="Times New Roman" w:eastAsia="Times New Roman" w:hAnsi="Times New Roman"/>
          <w:snapToGrid w:val="0"/>
        </w:rPr>
        <w:t>dozės.</w:t>
      </w:r>
    </w:p>
    <w:p w14:paraId="07E5BEC8" w14:textId="77777777" w:rsidR="00354DD9" w:rsidRPr="004200DB" w:rsidRDefault="00354DD9" w:rsidP="0079121B">
      <w:pPr>
        <w:tabs>
          <w:tab w:val="left" w:pos="567"/>
        </w:tabs>
        <w:spacing w:after="0" w:line="260" w:lineRule="exact"/>
        <w:rPr>
          <w:rFonts w:ascii="Times New Roman" w:eastAsia="Times New Roman" w:hAnsi="Times New Roman"/>
          <w:snapToGrid w:val="0"/>
        </w:rPr>
      </w:pPr>
    </w:p>
    <w:p w14:paraId="13D4BCB3" w14:textId="4F1B9955" w:rsidR="0079121B" w:rsidRPr="004200DB" w:rsidRDefault="0079121B" w:rsidP="0079121B">
      <w:pPr>
        <w:tabs>
          <w:tab w:val="left" w:pos="567"/>
        </w:tabs>
        <w:spacing w:after="0" w:line="260" w:lineRule="exact"/>
        <w:rPr>
          <w:rFonts w:ascii="Times New Roman" w:eastAsia="Times New Roman" w:hAnsi="Times New Roman"/>
          <w:snapToGrid w:val="0"/>
          <w:u w:val="single"/>
        </w:rPr>
      </w:pPr>
      <w:r w:rsidRPr="004200DB">
        <w:rPr>
          <w:rFonts w:ascii="Times New Roman" w:eastAsia="Times New Roman" w:hAnsi="Times New Roman"/>
          <w:snapToGrid w:val="0"/>
          <w:u w:val="single"/>
        </w:rPr>
        <w:t>Pavojaus aplinkai vertinimas (PA</w:t>
      </w:r>
      <w:r w:rsidR="00823C0A">
        <w:rPr>
          <w:rFonts w:ascii="Times New Roman" w:eastAsia="Times New Roman" w:hAnsi="Times New Roman"/>
          <w:snapToGrid w:val="0"/>
          <w:u w:val="single"/>
        </w:rPr>
        <w:t>V</w:t>
      </w:r>
      <w:r w:rsidRPr="004200DB">
        <w:rPr>
          <w:rFonts w:ascii="Times New Roman" w:eastAsia="Times New Roman" w:hAnsi="Times New Roman"/>
          <w:snapToGrid w:val="0"/>
          <w:u w:val="single"/>
        </w:rPr>
        <w:t>)</w:t>
      </w:r>
    </w:p>
    <w:p w14:paraId="6357E1C9" w14:textId="59B234A4" w:rsidR="0079121B" w:rsidRPr="00B16106" w:rsidRDefault="0079121B" w:rsidP="0079121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Pavojaus aplinkai vertinimo tyrimų rezultatai rodo, kad </w:t>
      </w:r>
      <w:proofErr w:type="spellStart"/>
      <w:r w:rsidR="00354DD9"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vartojimas reikšmingo pavojaus</w:t>
      </w:r>
      <w:r w:rsidR="00354DD9" w:rsidRPr="00037DA8">
        <w:rPr>
          <w:rFonts w:ascii="Times New Roman" w:eastAsia="Times New Roman" w:hAnsi="Times New Roman"/>
          <w:snapToGrid w:val="0"/>
        </w:rPr>
        <w:t xml:space="preserve"> </w:t>
      </w:r>
      <w:r w:rsidRPr="00037DA8">
        <w:rPr>
          <w:rFonts w:ascii="Times New Roman" w:eastAsia="Times New Roman" w:hAnsi="Times New Roman"/>
          <w:snapToGrid w:val="0"/>
        </w:rPr>
        <w:t xml:space="preserve">vandens aplinkai nesukelia (kaip naikinti nesuvartotą </w:t>
      </w:r>
      <w:r w:rsidR="00B16106">
        <w:rPr>
          <w:rFonts w:ascii="Times New Roman" w:eastAsia="Times New Roman" w:hAnsi="Times New Roman"/>
          <w:snapToGrid w:val="0"/>
        </w:rPr>
        <w:t xml:space="preserve">vaistinį </w:t>
      </w:r>
      <w:r w:rsidRPr="00B16106">
        <w:rPr>
          <w:rFonts w:ascii="Times New Roman" w:eastAsia="Times New Roman" w:hAnsi="Times New Roman"/>
          <w:snapToGrid w:val="0"/>
        </w:rPr>
        <w:t>preparatą, žr.</w:t>
      </w:r>
      <w:r w:rsidR="002C38E1">
        <w:rPr>
          <w:rFonts w:ascii="Times New Roman" w:eastAsia="Times New Roman" w:hAnsi="Times New Roman"/>
          <w:snapToGrid w:val="0"/>
        </w:rPr>
        <w:t> </w:t>
      </w:r>
      <w:r w:rsidRPr="00B16106">
        <w:rPr>
          <w:rFonts w:ascii="Times New Roman" w:eastAsia="Times New Roman" w:hAnsi="Times New Roman"/>
          <w:snapToGrid w:val="0"/>
        </w:rPr>
        <w:t>6.6</w:t>
      </w:r>
      <w:r w:rsidR="002C38E1">
        <w:rPr>
          <w:rFonts w:ascii="Times New Roman" w:eastAsia="Times New Roman" w:hAnsi="Times New Roman"/>
          <w:snapToGrid w:val="0"/>
        </w:rPr>
        <w:t> </w:t>
      </w:r>
      <w:r w:rsidRPr="00B16106">
        <w:rPr>
          <w:rFonts w:ascii="Times New Roman" w:eastAsia="Times New Roman" w:hAnsi="Times New Roman"/>
          <w:snapToGrid w:val="0"/>
        </w:rPr>
        <w:t>skyriuje).</w:t>
      </w:r>
    </w:p>
    <w:p w14:paraId="3D7DD627" w14:textId="77777777" w:rsidR="00354DD9" w:rsidRPr="00B16106" w:rsidRDefault="00354DD9" w:rsidP="0079121B">
      <w:pPr>
        <w:tabs>
          <w:tab w:val="left" w:pos="567"/>
        </w:tabs>
        <w:spacing w:after="0" w:line="260" w:lineRule="exact"/>
        <w:rPr>
          <w:rFonts w:ascii="Times New Roman" w:eastAsia="Times New Roman" w:hAnsi="Times New Roman"/>
          <w:snapToGrid w:val="0"/>
        </w:rPr>
      </w:pPr>
    </w:p>
    <w:p w14:paraId="1F8D72DB" w14:textId="77777777" w:rsidR="00354DD9" w:rsidRPr="0085406C" w:rsidRDefault="00354DD9" w:rsidP="0079121B">
      <w:pPr>
        <w:tabs>
          <w:tab w:val="left" w:pos="567"/>
        </w:tabs>
        <w:spacing w:after="0" w:line="260" w:lineRule="exact"/>
        <w:rPr>
          <w:rFonts w:ascii="Times New Roman" w:eastAsia="Times New Roman" w:hAnsi="Times New Roman"/>
          <w:snapToGrid w:val="0"/>
        </w:rPr>
      </w:pPr>
    </w:p>
    <w:p w14:paraId="107C097D" w14:textId="77777777" w:rsidR="0079121B" w:rsidRPr="004200DB" w:rsidRDefault="0079121B" w:rsidP="0079121B">
      <w:pPr>
        <w:tabs>
          <w:tab w:val="left" w:pos="567"/>
        </w:tabs>
        <w:spacing w:after="0" w:line="260" w:lineRule="exact"/>
        <w:rPr>
          <w:rFonts w:ascii="Times New Roman" w:eastAsia="Times New Roman" w:hAnsi="Times New Roman"/>
          <w:b/>
          <w:snapToGrid w:val="0"/>
        </w:rPr>
      </w:pPr>
      <w:r w:rsidRPr="004200DB">
        <w:rPr>
          <w:rFonts w:ascii="Times New Roman" w:eastAsia="Times New Roman" w:hAnsi="Times New Roman"/>
          <w:b/>
          <w:snapToGrid w:val="0"/>
        </w:rPr>
        <w:t>6.</w:t>
      </w:r>
      <w:r w:rsidR="00354DD9" w:rsidRPr="004200DB">
        <w:rPr>
          <w:rFonts w:ascii="Times New Roman" w:eastAsia="Times New Roman" w:hAnsi="Times New Roman"/>
          <w:b/>
          <w:snapToGrid w:val="0"/>
        </w:rPr>
        <w:tab/>
      </w:r>
      <w:r w:rsidRPr="004200DB">
        <w:rPr>
          <w:rFonts w:ascii="Times New Roman" w:eastAsia="Times New Roman" w:hAnsi="Times New Roman"/>
          <w:b/>
          <w:snapToGrid w:val="0"/>
        </w:rPr>
        <w:t>FARMACINĖ INFORMACIJA</w:t>
      </w:r>
    </w:p>
    <w:p w14:paraId="0184B04B" w14:textId="77777777" w:rsidR="00354DD9" w:rsidRPr="00037DA8" w:rsidRDefault="00354DD9" w:rsidP="0079121B">
      <w:pPr>
        <w:tabs>
          <w:tab w:val="left" w:pos="567"/>
        </w:tabs>
        <w:spacing w:after="0" w:line="260" w:lineRule="exact"/>
        <w:rPr>
          <w:rFonts w:ascii="Times New Roman" w:eastAsia="Times New Roman" w:hAnsi="Times New Roman"/>
          <w:b/>
          <w:snapToGrid w:val="0"/>
        </w:rPr>
      </w:pPr>
    </w:p>
    <w:p w14:paraId="5A6BE358" w14:textId="77777777" w:rsidR="00A86465" w:rsidRPr="00037DA8" w:rsidRDefault="0079121B" w:rsidP="0079121B">
      <w:pPr>
        <w:tabs>
          <w:tab w:val="left" w:pos="567"/>
        </w:tabs>
        <w:spacing w:after="0" w:line="260" w:lineRule="exact"/>
        <w:rPr>
          <w:rFonts w:ascii="Times New Roman" w:eastAsia="Times New Roman" w:hAnsi="Times New Roman"/>
          <w:b/>
          <w:snapToGrid w:val="0"/>
        </w:rPr>
      </w:pPr>
      <w:r w:rsidRPr="00037DA8">
        <w:rPr>
          <w:rFonts w:ascii="Times New Roman" w:eastAsia="Times New Roman" w:hAnsi="Times New Roman"/>
          <w:b/>
          <w:snapToGrid w:val="0"/>
        </w:rPr>
        <w:t>6.1</w:t>
      </w:r>
      <w:r w:rsidR="00354DD9" w:rsidRPr="00037DA8">
        <w:rPr>
          <w:rFonts w:ascii="Times New Roman" w:eastAsia="Times New Roman" w:hAnsi="Times New Roman"/>
          <w:b/>
          <w:snapToGrid w:val="0"/>
        </w:rPr>
        <w:tab/>
      </w:r>
      <w:r w:rsidRPr="00037DA8">
        <w:rPr>
          <w:rFonts w:ascii="Times New Roman" w:eastAsia="Times New Roman" w:hAnsi="Times New Roman"/>
          <w:b/>
          <w:snapToGrid w:val="0"/>
        </w:rPr>
        <w:t>Pagalbinių medžiagų sąrašas</w:t>
      </w:r>
    </w:p>
    <w:p w14:paraId="77FD865A" w14:textId="77777777" w:rsidR="00A86465" w:rsidRPr="00037DA8" w:rsidRDefault="00A86465" w:rsidP="008F71CF">
      <w:pPr>
        <w:tabs>
          <w:tab w:val="left" w:pos="567"/>
        </w:tabs>
        <w:spacing w:after="0" w:line="260" w:lineRule="exact"/>
        <w:rPr>
          <w:rFonts w:ascii="Times New Roman" w:eastAsia="Times New Roman" w:hAnsi="Times New Roman"/>
          <w:snapToGrid w:val="0"/>
        </w:rPr>
      </w:pPr>
    </w:p>
    <w:p w14:paraId="541818C4" w14:textId="77777777" w:rsidR="0024548A" w:rsidRPr="00037DA8" w:rsidRDefault="0024548A" w:rsidP="0024548A">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Polisorbatas</w:t>
      </w:r>
      <w:proofErr w:type="spellEnd"/>
      <w:r w:rsidRPr="00037DA8">
        <w:rPr>
          <w:rFonts w:ascii="Times New Roman" w:eastAsia="Times New Roman" w:hAnsi="Times New Roman"/>
          <w:snapToGrid w:val="0"/>
        </w:rPr>
        <w:t xml:space="preserve"> 80</w:t>
      </w:r>
    </w:p>
    <w:p w14:paraId="3B7AEA99" w14:textId="77777777" w:rsidR="0024548A" w:rsidRPr="00037DA8" w:rsidRDefault="0024548A" w:rsidP="0024548A">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Bevandenė citrinų rūgštis (pH koregavimui)</w:t>
      </w:r>
    </w:p>
    <w:p w14:paraId="7586CFC9" w14:textId="77777777" w:rsidR="0024548A" w:rsidRPr="00037DA8" w:rsidRDefault="0024548A" w:rsidP="0024548A">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Bevandenis etanolis</w:t>
      </w:r>
    </w:p>
    <w:p w14:paraId="4FDE5AEA" w14:textId="77777777" w:rsidR="00A86465" w:rsidRPr="00037DA8" w:rsidRDefault="0024548A" w:rsidP="0024548A">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Makrogolis 300</w:t>
      </w:r>
    </w:p>
    <w:p w14:paraId="20529774" w14:textId="77777777" w:rsidR="00A86465" w:rsidRPr="00037DA8" w:rsidRDefault="00A86465" w:rsidP="008F71CF">
      <w:pPr>
        <w:tabs>
          <w:tab w:val="left" w:pos="567"/>
        </w:tabs>
        <w:spacing w:after="0" w:line="260" w:lineRule="exact"/>
        <w:rPr>
          <w:rFonts w:ascii="Times New Roman" w:eastAsia="Times New Roman" w:hAnsi="Times New Roman"/>
          <w:snapToGrid w:val="0"/>
        </w:rPr>
      </w:pPr>
    </w:p>
    <w:p w14:paraId="1B890BD1" w14:textId="77777777" w:rsidR="0024548A" w:rsidRPr="00037DA8" w:rsidRDefault="0024548A" w:rsidP="0024548A">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6.2</w:t>
      </w:r>
      <w:r w:rsidRPr="00037DA8">
        <w:rPr>
          <w:rFonts w:ascii="Times New Roman" w:eastAsia="Times New Roman" w:hAnsi="Times New Roman"/>
          <w:b/>
          <w:bCs/>
          <w:snapToGrid w:val="0"/>
        </w:rPr>
        <w:tab/>
        <w:t>Nesuderinamumas</w:t>
      </w:r>
    </w:p>
    <w:p w14:paraId="7397201F" w14:textId="77777777" w:rsidR="0024548A" w:rsidRPr="00037DA8" w:rsidRDefault="0024548A" w:rsidP="0024548A">
      <w:pPr>
        <w:tabs>
          <w:tab w:val="left" w:pos="567"/>
        </w:tabs>
        <w:spacing w:after="0" w:line="260" w:lineRule="exact"/>
        <w:rPr>
          <w:rFonts w:ascii="Times New Roman" w:eastAsia="Times New Roman" w:hAnsi="Times New Roman"/>
          <w:snapToGrid w:val="0"/>
        </w:rPr>
      </w:pPr>
    </w:p>
    <w:p w14:paraId="07B8453E" w14:textId="249A5637" w:rsidR="0024548A" w:rsidRPr="00037DA8" w:rsidRDefault="0024548A" w:rsidP="0024548A">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Šio vaistinio preparato negalima maišyti su kitais, išskyrus nurodytus 6.6</w:t>
      </w:r>
      <w:r w:rsidR="002C38E1">
        <w:rPr>
          <w:rFonts w:ascii="Times New Roman" w:eastAsia="Times New Roman" w:hAnsi="Times New Roman"/>
          <w:snapToGrid w:val="0"/>
        </w:rPr>
        <w:t> </w:t>
      </w:r>
      <w:r w:rsidRPr="00037DA8">
        <w:rPr>
          <w:rFonts w:ascii="Times New Roman" w:eastAsia="Times New Roman" w:hAnsi="Times New Roman"/>
          <w:snapToGrid w:val="0"/>
        </w:rPr>
        <w:t>skyriuje.</w:t>
      </w:r>
    </w:p>
    <w:p w14:paraId="44ACED34" w14:textId="77777777" w:rsidR="002C38E1" w:rsidRDefault="002C38E1" w:rsidP="0024548A">
      <w:pPr>
        <w:tabs>
          <w:tab w:val="left" w:pos="567"/>
        </w:tabs>
        <w:spacing w:after="0" w:line="260" w:lineRule="exact"/>
        <w:rPr>
          <w:rFonts w:ascii="Times New Roman" w:eastAsia="Times New Roman" w:hAnsi="Times New Roman"/>
          <w:snapToGrid w:val="0"/>
        </w:rPr>
      </w:pPr>
    </w:p>
    <w:p w14:paraId="4345184A" w14:textId="2B53B0A8" w:rsidR="0024548A" w:rsidRPr="00037DA8" w:rsidRDefault="0024548A" w:rsidP="0024548A">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Infuziniam tirpalui ruošti ir </w:t>
      </w:r>
      <w:proofErr w:type="spellStart"/>
      <w:r w:rsidRPr="00037DA8">
        <w:rPr>
          <w:rFonts w:ascii="Times New Roman" w:eastAsia="Times New Roman" w:hAnsi="Times New Roman"/>
          <w:snapToGrid w:val="0"/>
        </w:rPr>
        <w:t>infuzuoti</w:t>
      </w:r>
      <w:proofErr w:type="spellEnd"/>
      <w:r w:rsidRPr="00037DA8">
        <w:rPr>
          <w:rFonts w:ascii="Times New Roman" w:eastAsia="Times New Roman" w:hAnsi="Times New Roman"/>
          <w:snapToGrid w:val="0"/>
        </w:rPr>
        <w:t xml:space="preserve"> negalima naudoti PVC infuzinių </w:t>
      </w:r>
      <w:proofErr w:type="spellStart"/>
      <w:r w:rsidRPr="00037DA8">
        <w:rPr>
          <w:rFonts w:ascii="Times New Roman" w:eastAsia="Times New Roman" w:hAnsi="Times New Roman"/>
          <w:snapToGrid w:val="0"/>
        </w:rPr>
        <w:t>talpyklių</w:t>
      </w:r>
      <w:proofErr w:type="spellEnd"/>
      <w:r w:rsidRPr="00037DA8">
        <w:rPr>
          <w:rFonts w:ascii="Times New Roman" w:eastAsia="Times New Roman" w:hAnsi="Times New Roman"/>
          <w:snapToGrid w:val="0"/>
        </w:rPr>
        <w:t xml:space="preserve"> arba poliuretano infuzinių komplektų.</w:t>
      </w:r>
    </w:p>
    <w:p w14:paraId="4CC1B4A3" w14:textId="77777777" w:rsidR="0024548A" w:rsidRPr="00037DA8" w:rsidRDefault="0024548A" w:rsidP="008F71CF">
      <w:pPr>
        <w:tabs>
          <w:tab w:val="left" w:pos="567"/>
        </w:tabs>
        <w:spacing w:after="0" w:line="260" w:lineRule="exact"/>
        <w:rPr>
          <w:rFonts w:ascii="Times New Roman" w:eastAsia="Times New Roman" w:hAnsi="Times New Roman"/>
          <w:snapToGrid w:val="0"/>
        </w:rPr>
      </w:pPr>
    </w:p>
    <w:p w14:paraId="3E3B9E51" w14:textId="77777777" w:rsidR="0024548A" w:rsidRPr="00037DA8" w:rsidRDefault="0024548A" w:rsidP="0024548A">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6.3</w:t>
      </w:r>
      <w:r w:rsidRPr="00037DA8">
        <w:rPr>
          <w:rFonts w:ascii="Times New Roman" w:eastAsia="Times New Roman" w:hAnsi="Times New Roman"/>
          <w:b/>
          <w:bCs/>
          <w:snapToGrid w:val="0"/>
        </w:rPr>
        <w:tab/>
        <w:t>Tinkamumo laikas</w:t>
      </w:r>
    </w:p>
    <w:p w14:paraId="10355FBF" w14:textId="77777777" w:rsidR="0024548A" w:rsidRPr="00037DA8" w:rsidRDefault="0024548A" w:rsidP="0024548A">
      <w:pPr>
        <w:tabs>
          <w:tab w:val="left" w:pos="567"/>
        </w:tabs>
        <w:spacing w:after="0" w:line="260" w:lineRule="exact"/>
        <w:rPr>
          <w:rFonts w:ascii="Times New Roman" w:eastAsia="Times New Roman" w:hAnsi="Times New Roman"/>
          <w:snapToGrid w:val="0"/>
        </w:rPr>
      </w:pPr>
    </w:p>
    <w:p w14:paraId="6AA6DF73" w14:textId="77777777" w:rsidR="0024548A" w:rsidRPr="00037DA8" w:rsidRDefault="0024548A" w:rsidP="0024548A">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 xml:space="preserve">Neatidarytas flakonas </w:t>
      </w:r>
    </w:p>
    <w:p w14:paraId="1ED74068" w14:textId="4FEA3F44" w:rsidR="0024548A" w:rsidRPr="00037DA8" w:rsidRDefault="0024548A" w:rsidP="0024548A">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3</w:t>
      </w:r>
      <w:r w:rsidR="002C38E1">
        <w:rPr>
          <w:rFonts w:ascii="Times New Roman" w:eastAsia="Times New Roman" w:hAnsi="Times New Roman"/>
          <w:snapToGrid w:val="0"/>
        </w:rPr>
        <w:t> </w:t>
      </w:r>
      <w:r w:rsidRPr="00037DA8">
        <w:rPr>
          <w:rFonts w:ascii="Times New Roman" w:eastAsia="Times New Roman" w:hAnsi="Times New Roman"/>
          <w:snapToGrid w:val="0"/>
        </w:rPr>
        <w:t>metai</w:t>
      </w:r>
    </w:p>
    <w:p w14:paraId="42CE9266" w14:textId="77777777" w:rsidR="0024548A" w:rsidRPr="00037DA8" w:rsidRDefault="0024548A" w:rsidP="0024548A">
      <w:pPr>
        <w:tabs>
          <w:tab w:val="left" w:pos="567"/>
        </w:tabs>
        <w:spacing w:after="0" w:line="260" w:lineRule="exact"/>
        <w:rPr>
          <w:rFonts w:ascii="Times New Roman" w:eastAsia="Times New Roman" w:hAnsi="Times New Roman"/>
          <w:snapToGrid w:val="0"/>
        </w:rPr>
      </w:pPr>
    </w:p>
    <w:p w14:paraId="09D32AE0" w14:textId="77777777" w:rsidR="0024548A" w:rsidRPr="00037DA8" w:rsidRDefault="0024548A" w:rsidP="0024548A">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Po pirmojo atidarymo</w:t>
      </w:r>
    </w:p>
    <w:p w14:paraId="0520825C" w14:textId="77777777" w:rsidR="0024548A" w:rsidRPr="00037DA8" w:rsidRDefault="0024548A" w:rsidP="0024548A">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Daugkartinio vartojimo flakonas.</w:t>
      </w:r>
    </w:p>
    <w:p w14:paraId="4B35B2A0" w14:textId="6E4C498D" w:rsidR="008F053E" w:rsidRPr="00074768" w:rsidRDefault="0024548A" w:rsidP="0024548A">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Po pirmojo atidarymo flakonai yra stabilūs</w:t>
      </w:r>
      <w:r w:rsidR="00610EBF">
        <w:rPr>
          <w:rFonts w:ascii="Times New Roman" w:eastAsia="Times New Roman" w:hAnsi="Times New Roman"/>
          <w:snapToGrid w:val="0"/>
        </w:rPr>
        <w:t xml:space="preserve"> iki 28</w:t>
      </w:r>
      <w:r w:rsidR="000754E6">
        <w:rPr>
          <w:rFonts w:ascii="Times New Roman" w:eastAsia="Times New Roman" w:hAnsi="Times New Roman"/>
          <w:snapToGrid w:val="0"/>
        </w:rPr>
        <w:t> </w:t>
      </w:r>
      <w:r w:rsidR="00610EBF">
        <w:rPr>
          <w:rFonts w:ascii="Times New Roman" w:eastAsia="Times New Roman" w:hAnsi="Times New Roman"/>
          <w:snapToGrid w:val="0"/>
        </w:rPr>
        <w:t>parų</w:t>
      </w:r>
      <w:r w:rsidRPr="00037DA8">
        <w:rPr>
          <w:rFonts w:ascii="Times New Roman" w:eastAsia="Times New Roman" w:hAnsi="Times New Roman"/>
          <w:snapToGrid w:val="0"/>
        </w:rPr>
        <w:t>, jeigu laikomi kambario temperatūroje (20</w:t>
      </w:r>
      <w:r w:rsidR="000754E6">
        <w:rPr>
          <w:rFonts w:ascii="Times New Roman" w:eastAsia="Times New Roman" w:hAnsi="Times New Roman"/>
          <w:snapToGrid w:val="0"/>
        </w:rPr>
        <w:t> </w:t>
      </w:r>
      <w:r w:rsidR="008F053E" w:rsidRPr="00830259">
        <w:rPr>
          <w:rFonts w:ascii="Times New Roman" w:eastAsia="Times New Roman" w:hAnsi="Times New Roman"/>
          <w:snapToGrid w:val="0"/>
        </w:rPr>
        <w:t>°C</w:t>
      </w:r>
      <w:r w:rsidR="000754E6">
        <w:rPr>
          <w:rFonts w:ascii="Times New Roman" w:eastAsia="Times New Roman" w:hAnsi="Times New Roman"/>
          <w:snapToGrid w:val="0"/>
        </w:rPr>
        <w:noBreakHyphen/>
      </w:r>
      <w:r w:rsidRPr="00830259">
        <w:rPr>
          <w:rFonts w:ascii="Times New Roman" w:eastAsia="Times New Roman" w:hAnsi="Times New Roman"/>
          <w:snapToGrid w:val="0"/>
        </w:rPr>
        <w:t>25</w:t>
      </w:r>
      <w:r w:rsidR="000754E6">
        <w:rPr>
          <w:rFonts w:ascii="Times New Roman" w:eastAsia="Times New Roman" w:hAnsi="Times New Roman"/>
          <w:snapToGrid w:val="0"/>
        </w:rPr>
        <w:t> </w:t>
      </w:r>
      <w:r w:rsidRPr="00830259">
        <w:rPr>
          <w:rFonts w:ascii="Times New Roman" w:eastAsia="Times New Roman" w:hAnsi="Times New Roman"/>
          <w:snapToGrid w:val="0"/>
        </w:rPr>
        <w:t>°C), apsaugot</w:t>
      </w:r>
      <w:r w:rsidR="008F053E" w:rsidRPr="00830259">
        <w:rPr>
          <w:rFonts w:ascii="Times New Roman" w:eastAsia="Times New Roman" w:hAnsi="Times New Roman"/>
          <w:snapToGrid w:val="0"/>
        </w:rPr>
        <w:t>i</w:t>
      </w:r>
      <w:r w:rsidRPr="00830259">
        <w:rPr>
          <w:rFonts w:ascii="Times New Roman" w:eastAsia="Times New Roman" w:hAnsi="Times New Roman"/>
          <w:snapToGrid w:val="0"/>
        </w:rPr>
        <w:t xml:space="preserve"> arba neapsaugot</w:t>
      </w:r>
      <w:r w:rsidR="008F053E" w:rsidRPr="00830259">
        <w:rPr>
          <w:rFonts w:ascii="Times New Roman" w:eastAsia="Times New Roman" w:hAnsi="Times New Roman"/>
          <w:snapToGrid w:val="0"/>
        </w:rPr>
        <w:t>i</w:t>
      </w:r>
      <w:r w:rsidRPr="00830259">
        <w:rPr>
          <w:rFonts w:ascii="Times New Roman" w:eastAsia="Times New Roman" w:hAnsi="Times New Roman"/>
          <w:snapToGrid w:val="0"/>
        </w:rPr>
        <w:t xml:space="preserve"> nuo šviesos </w:t>
      </w:r>
      <w:r w:rsidR="008F053E" w:rsidRPr="00830259">
        <w:rPr>
          <w:rFonts w:ascii="Times New Roman" w:eastAsia="Times New Roman" w:hAnsi="Times New Roman"/>
          <w:snapToGrid w:val="0"/>
        </w:rPr>
        <w:t>arba šal</w:t>
      </w:r>
      <w:r w:rsidR="00494DDC" w:rsidRPr="00830259">
        <w:rPr>
          <w:rFonts w:ascii="Times New Roman" w:eastAsia="Times New Roman" w:hAnsi="Times New Roman"/>
          <w:snapToGrid w:val="0"/>
        </w:rPr>
        <w:t>tai</w:t>
      </w:r>
      <w:r w:rsidR="008F053E" w:rsidRPr="00830259">
        <w:rPr>
          <w:rFonts w:ascii="Times New Roman" w:eastAsia="Times New Roman" w:hAnsi="Times New Roman"/>
          <w:snapToGrid w:val="0"/>
        </w:rPr>
        <w:t xml:space="preserve"> (2</w:t>
      </w:r>
      <w:r w:rsidR="000754E6">
        <w:rPr>
          <w:rFonts w:ascii="Times New Roman" w:eastAsia="Times New Roman" w:hAnsi="Times New Roman"/>
          <w:snapToGrid w:val="0"/>
        </w:rPr>
        <w:t> </w:t>
      </w:r>
      <w:r w:rsidR="008F053E" w:rsidRPr="00074768">
        <w:rPr>
          <w:rFonts w:ascii="Times New Roman" w:eastAsia="Times New Roman" w:hAnsi="Times New Roman"/>
          <w:snapToGrid w:val="0"/>
        </w:rPr>
        <w:sym w:font="Symbol" w:char="F0B0"/>
      </w:r>
      <w:r w:rsidR="008F053E" w:rsidRPr="00074768">
        <w:rPr>
          <w:rFonts w:ascii="Times New Roman" w:eastAsia="Times New Roman" w:hAnsi="Times New Roman"/>
          <w:snapToGrid w:val="0"/>
        </w:rPr>
        <w:t>C</w:t>
      </w:r>
      <w:r w:rsidR="000754E6">
        <w:rPr>
          <w:rFonts w:ascii="Times New Roman" w:eastAsia="Times New Roman" w:hAnsi="Times New Roman"/>
          <w:snapToGrid w:val="0"/>
        </w:rPr>
        <w:noBreakHyphen/>
      </w:r>
      <w:r w:rsidR="008F053E" w:rsidRPr="00074768">
        <w:rPr>
          <w:rFonts w:ascii="Times New Roman" w:eastAsia="Times New Roman" w:hAnsi="Times New Roman"/>
          <w:snapToGrid w:val="0"/>
        </w:rPr>
        <w:t>8</w:t>
      </w:r>
      <w:r w:rsidR="000754E6">
        <w:rPr>
          <w:rFonts w:ascii="Times New Roman" w:eastAsia="Times New Roman" w:hAnsi="Times New Roman"/>
          <w:snapToGrid w:val="0"/>
        </w:rPr>
        <w:t> </w:t>
      </w:r>
      <w:r w:rsidR="008F053E" w:rsidRPr="00074768">
        <w:rPr>
          <w:rFonts w:ascii="Times New Roman" w:eastAsia="Times New Roman" w:hAnsi="Times New Roman"/>
          <w:snapToGrid w:val="0"/>
        </w:rPr>
        <w:sym w:font="Symbol" w:char="F0B0"/>
      </w:r>
      <w:r w:rsidR="008F053E" w:rsidRPr="00074768">
        <w:rPr>
          <w:rFonts w:ascii="Times New Roman" w:eastAsia="Times New Roman" w:hAnsi="Times New Roman"/>
          <w:snapToGrid w:val="0"/>
        </w:rPr>
        <w:t>C), apsaugoti nuo šviesos.</w:t>
      </w:r>
    </w:p>
    <w:p w14:paraId="66128E99" w14:textId="77777777" w:rsidR="008F053E" w:rsidRPr="0085406C" w:rsidRDefault="008F053E" w:rsidP="0024548A">
      <w:pPr>
        <w:tabs>
          <w:tab w:val="left" w:pos="567"/>
        </w:tabs>
        <w:spacing w:after="0" w:line="260" w:lineRule="exact"/>
        <w:rPr>
          <w:rFonts w:ascii="Times New Roman" w:eastAsia="Times New Roman" w:hAnsi="Times New Roman"/>
          <w:snapToGrid w:val="0"/>
        </w:rPr>
      </w:pPr>
    </w:p>
    <w:p w14:paraId="70F561B0" w14:textId="77777777" w:rsidR="008F053E" w:rsidRPr="004200DB" w:rsidRDefault="008F053E" w:rsidP="0024548A">
      <w:pPr>
        <w:tabs>
          <w:tab w:val="left" w:pos="567"/>
        </w:tabs>
        <w:spacing w:after="0" w:line="260" w:lineRule="exact"/>
        <w:rPr>
          <w:rFonts w:ascii="Times New Roman" w:eastAsia="Times New Roman" w:hAnsi="Times New Roman"/>
          <w:snapToGrid w:val="0"/>
          <w:u w:val="single"/>
        </w:rPr>
      </w:pPr>
      <w:r w:rsidRPr="004200DB">
        <w:rPr>
          <w:rFonts w:ascii="Times New Roman" w:eastAsia="Times New Roman" w:hAnsi="Times New Roman"/>
          <w:snapToGrid w:val="0"/>
          <w:u w:val="single"/>
        </w:rPr>
        <w:t>Po infuzinio maišelio arba buteliuko praskiedimo</w:t>
      </w:r>
    </w:p>
    <w:p w14:paraId="10B1A28A" w14:textId="06508022" w:rsidR="0024548A" w:rsidRPr="00830259" w:rsidRDefault="0024548A" w:rsidP="0024548A">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Įrodyta, </w:t>
      </w:r>
      <w:r w:rsidR="008F053E" w:rsidRPr="00037DA8">
        <w:rPr>
          <w:rFonts w:ascii="Times New Roman" w:eastAsia="Times New Roman" w:hAnsi="Times New Roman"/>
          <w:snapToGrid w:val="0"/>
        </w:rPr>
        <w:t>kad paruoštas 5</w:t>
      </w:r>
      <w:r w:rsidR="000754E6">
        <w:rPr>
          <w:rFonts w:ascii="Times New Roman" w:eastAsia="Times New Roman" w:hAnsi="Times New Roman"/>
          <w:snapToGrid w:val="0"/>
        </w:rPr>
        <w:t> </w:t>
      </w:r>
      <w:r w:rsidR="008F053E" w:rsidRPr="00830259">
        <w:rPr>
          <w:rFonts w:ascii="Times New Roman" w:eastAsia="Times New Roman" w:hAnsi="Times New Roman"/>
          <w:snapToGrid w:val="0"/>
        </w:rPr>
        <w:t>% gliukozės ir 0,9</w:t>
      </w:r>
      <w:r w:rsidR="000754E6">
        <w:rPr>
          <w:rFonts w:ascii="Times New Roman" w:eastAsia="Times New Roman" w:hAnsi="Times New Roman"/>
          <w:snapToGrid w:val="0"/>
        </w:rPr>
        <w:t> </w:t>
      </w:r>
      <w:r w:rsidR="008F053E" w:rsidRPr="00830259">
        <w:rPr>
          <w:rFonts w:ascii="Times New Roman" w:eastAsia="Times New Roman" w:hAnsi="Times New Roman"/>
          <w:snapToGrid w:val="0"/>
        </w:rPr>
        <w:t>%</w:t>
      </w:r>
      <w:r w:rsidR="00494DDC" w:rsidRPr="00830259">
        <w:rPr>
          <w:rFonts w:ascii="Times New Roman" w:eastAsia="Times New Roman" w:hAnsi="Times New Roman"/>
          <w:snapToGrid w:val="0"/>
        </w:rPr>
        <w:t xml:space="preserve"> natrio chlori</w:t>
      </w:r>
      <w:r w:rsidR="004B7C5B" w:rsidRPr="00830259">
        <w:rPr>
          <w:rFonts w:ascii="Times New Roman" w:eastAsia="Times New Roman" w:hAnsi="Times New Roman"/>
          <w:snapToGrid w:val="0"/>
        </w:rPr>
        <w:t>d</w:t>
      </w:r>
      <w:r w:rsidR="00494DDC" w:rsidRPr="00830259">
        <w:rPr>
          <w:rFonts w:ascii="Times New Roman" w:eastAsia="Times New Roman" w:hAnsi="Times New Roman"/>
          <w:snapToGrid w:val="0"/>
        </w:rPr>
        <w:t xml:space="preserve">o tirpale 0,1 mg/ml ir 0,26 mg/ml </w:t>
      </w:r>
      <w:r w:rsidRPr="00830259">
        <w:rPr>
          <w:rFonts w:ascii="Times New Roman" w:eastAsia="Times New Roman" w:hAnsi="Times New Roman"/>
          <w:snapToGrid w:val="0"/>
        </w:rPr>
        <w:t xml:space="preserve">infuzinis tirpalas </w:t>
      </w:r>
      <w:r w:rsidR="00494DDC" w:rsidRPr="0085406C">
        <w:rPr>
          <w:rFonts w:ascii="Times New Roman" w:eastAsia="Times New Roman" w:hAnsi="Times New Roman"/>
          <w:snapToGrid w:val="0"/>
        </w:rPr>
        <w:t xml:space="preserve">cheminiu ir fizikiniu požiūriu </w:t>
      </w:r>
      <w:r w:rsidRPr="0085406C">
        <w:rPr>
          <w:rFonts w:ascii="Times New Roman" w:eastAsia="Times New Roman" w:hAnsi="Times New Roman"/>
          <w:snapToGrid w:val="0"/>
        </w:rPr>
        <w:t>išlieka stabilus</w:t>
      </w:r>
      <w:r w:rsidR="008F053E" w:rsidRPr="0085406C">
        <w:rPr>
          <w:rFonts w:ascii="Times New Roman" w:eastAsia="Times New Roman" w:hAnsi="Times New Roman"/>
          <w:snapToGrid w:val="0"/>
        </w:rPr>
        <w:t xml:space="preserve"> </w:t>
      </w:r>
      <w:r w:rsidR="00494DDC" w:rsidRPr="0085406C">
        <w:rPr>
          <w:rFonts w:ascii="Times New Roman" w:eastAsia="Times New Roman" w:hAnsi="Times New Roman"/>
          <w:snapToGrid w:val="0"/>
        </w:rPr>
        <w:t>iki 3</w:t>
      </w:r>
      <w:r w:rsidR="006F6813">
        <w:rPr>
          <w:rFonts w:ascii="Times New Roman" w:eastAsia="Times New Roman" w:hAnsi="Times New Roman"/>
          <w:snapToGrid w:val="0"/>
        </w:rPr>
        <w:t> </w:t>
      </w:r>
      <w:r w:rsidR="00494DDC" w:rsidRPr="0085406C">
        <w:rPr>
          <w:rFonts w:ascii="Times New Roman" w:eastAsia="Times New Roman" w:hAnsi="Times New Roman"/>
          <w:snapToGrid w:val="0"/>
        </w:rPr>
        <w:t>parų, jeigu</w:t>
      </w:r>
      <w:r w:rsidR="008F053E" w:rsidRPr="0085406C">
        <w:rPr>
          <w:rFonts w:ascii="Times New Roman" w:eastAsia="Times New Roman" w:hAnsi="Times New Roman"/>
          <w:snapToGrid w:val="0"/>
        </w:rPr>
        <w:t xml:space="preserve"> </w:t>
      </w:r>
      <w:r w:rsidR="00494DDC" w:rsidRPr="0085406C">
        <w:rPr>
          <w:rFonts w:ascii="Times New Roman" w:eastAsia="Times New Roman" w:hAnsi="Times New Roman"/>
          <w:snapToGrid w:val="0"/>
        </w:rPr>
        <w:t>laikomas kambario temperatūroje (20</w:t>
      </w:r>
      <w:r w:rsidR="006F6813">
        <w:rPr>
          <w:rFonts w:ascii="Times New Roman" w:eastAsia="Times New Roman" w:hAnsi="Times New Roman"/>
          <w:snapToGrid w:val="0"/>
        </w:rPr>
        <w:t> </w:t>
      </w:r>
      <w:r w:rsidR="00494DDC" w:rsidRPr="00830259">
        <w:rPr>
          <w:rFonts w:ascii="Times New Roman" w:eastAsia="Times New Roman" w:hAnsi="Times New Roman"/>
          <w:snapToGrid w:val="0"/>
        </w:rPr>
        <w:t>°C</w:t>
      </w:r>
      <w:r w:rsidR="006F6813">
        <w:rPr>
          <w:rFonts w:ascii="Times New Roman" w:eastAsia="Times New Roman" w:hAnsi="Times New Roman"/>
          <w:snapToGrid w:val="0"/>
        </w:rPr>
        <w:noBreakHyphen/>
      </w:r>
      <w:r w:rsidR="00494DDC" w:rsidRPr="00830259">
        <w:rPr>
          <w:rFonts w:ascii="Times New Roman" w:eastAsia="Times New Roman" w:hAnsi="Times New Roman"/>
          <w:snapToGrid w:val="0"/>
        </w:rPr>
        <w:t>25</w:t>
      </w:r>
      <w:r w:rsidR="006F6813">
        <w:rPr>
          <w:rFonts w:ascii="Times New Roman" w:eastAsia="Times New Roman" w:hAnsi="Times New Roman"/>
          <w:snapToGrid w:val="0"/>
        </w:rPr>
        <w:t> </w:t>
      </w:r>
      <w:r w:rsidR="00494DDC" w:rsidRPr="00830259">
        <w:rPr>
          <w:rFonts w:ascii="Times New Roman" w:eastAsia="Times New Roman" w:hAnsi="Times New Roman"/>
          <w:snapToGrid w:val="0"/>
        </w:rPr>
        <w:t>°C), apsaugotas arba neapsaugotas nuo šviesos arba 7</w:t>
      </w:r>
      <w:r w:rsidR="006F6813">
        <w:rPr>
          <w:rFonts w:ascii="Times New Roman" w:eastAsia="Times New Roman" w:hAnsi="Times New Roman"/>
          <w:snapToGrid w:val="0"/>
        </w:rPr>
        <w:t> </w:t>
      </w:r>
      <w:r w:rsidR="00494DDC" w:rsidRPr="00830259">
        <w:rPr>
          <w:rFonts w:ascii="Times New Roman" w:eastAsia="Times New Roman" w:hAnsi="Times New Roman"/>
          <w:snapToGrid w:val="0"/>
        </w:rPr>
        <w:t>paras, jeigu laikomas šaltai (2</w:t>
      </w:r>
      <w:r w:rsidR="006F6813">
        <w:rPr>
          <w:rFonts w:ascii="Times New Roman" w:eastAsia="Times New Roman" w:hAnsi="Times New Roman"/>
          <w:snapToGrid w:val="0"/>
        </w:rPr>
        <w:t> </w:t>
      </w:r>
      <w:r w:rsidR="00494DDC" w:rsidRPr="00074768">
        <w:rPr>
          <w:rFonts w:ascii="Times New Roman" w:eastAsia="Times New Roman" w:hAnsi="Times New Roman"/>
          <w:snapToGrid w:val="0"/>
        </w:rPr>
        <w:sym w:font="Symbol" w:char="F0B0"/>
      </w:r>
      <w:r w:rsidR="00494DDC" w:rsidRPr="00074768">
        <w:rPr>
          <w:rFonts w:ascii="Times New Roman" w:eastAsia="Times New Roman" w:hAnsi="Times New Roman"/>
          <w:snapToGrid w:val="0"/>
        </w:rPr>
        <w:t>C</w:t>
      </w:r>
      <w:r w:rsidR="006F6813">
        <w:rPr>
          <w:rFonts w:ascii="Times New Roman" w:eastAsia="Times New Roman" w:hAnsi="Times New Roman"/>
          <w:snapToGrid w:val="0"/>
        </w:rPr>
        <w:noBreakHyphen/>
      </w:r>
      <w:r w:rsidR="00494DDC" w:rsidRPr="00074768">
        <w:rPr>
          <w:rFonts w:ascii="Times New Roman" w:eastAsia="Times New Roman" w:hAnsi="Times New Roman"/>
          <w:snapToGrid w:val="0"/>
        </w:rPr>
        <w:t>8</w:t>
      </w:r>
      <w:r w:rsidR="006F6813">
        <w:rPr>
          <w:rFonts w:ascii="Times New Roman" w:eastAsia="Times New Roman" w:hAnsi="Times New Roman"/>
          <w:snapToGrid w:val="0"/>
        </w:rPr>
        <w:t> </w:t>
      </w:r>
      <w:r w:rsidR="00494DDC" w:rsidRPr="00074768">
        <w:rPr>
          <w:rFonts w:ascii="Times New Roman" w:eastAsia="Times New Roman" w:hAnsi="Times New Roman"/>
          <w:snapToGrid w:val="0"/>
        </w:rPr>
        <w:sym w:font="Symbol" w:char="F0B0"/>
      </w:r>
      <w:r w:rsidR="00494DDC" w:rsidRPr="00074768">
        <w:rPr>
          <w:rFonts w:ascii="Times New Roman" w:eastAsia="Times New Roman" w:hAnsi="Times New Roman"/>
          <w:snapToGrid w:val="0"/>
        </w:rPr>
        <w:t>C), apsaugotas nuo šviesos.</w:t>
      </w:r>
    </w:p>
    <w:p w14:paraId="09B53684" w14:textId="77777777" w:rsidR="00494DDC" w:rsidRPr="0085406C" w:rsidRDefault="00494DDC" w:rsidP="0024548A">
      <w:pPr>
        <w:tabs>
          <w:tab w:val="left" w:pos="567"/>
        </w:tabs>
        <w:spacing w:after="0" w:line="260" w:lineRule="exact"/>
        <w:rPr>
          <w:rFonts w:ascii="Times New Roman" w:eastAsia="Times New Roman" w:hAnsi="Times New Roman"/>
          <w:snapToGrid w:val="0"/>
        </w:rPr>
      </w:pPr>
    </w:p>
    <w:p w14:paraId="07F92A24" w14:textId="5E07608C" w:rsidR="0024548A" w:rsidRPr="00037DA8" w:rsidRDefault="0024548A" w:rsidP="0024548A">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Mikrobiologiniu požiūriu infuzinį tirpalą būtina vartoti nedelsiant. Jei jis tuoj pat nevartojamas, už</w:t>
      </w:r>
      <w:r w:rsidR="00494DDC" w:rsidRPr="004200DB">
        <w:rPr>
          <w:rFonts w:ascii="Times New Roman" w:eastAsia="Times New Roman" w:hAnsi="Times New Roman"/>
          <w:snapToGrid w:val="0"/>
        </w:rPr>
        <w:t xml:space="preserve"> </w:t>
      </w:r>
      <w:r w:rsidRPr="004200DB">
        <w:rPr>
          <w:rFonts w:ascii="Times New Roman" w:eastAsia="Times New Roman" w:hAnsi="Times New Roman"/>
          <w:snapToGrid w:val="0"/>
        </w:rPr>
        <w:t>laikymo trukmę</w:t>
      </w:r>
      <w:r w:rsidRPr="00037DA8">
        <w:rPr>
          <w:rFonts w:ascii="Times New Roman" w:eastAsia="Times New Roman" w:hAnsi="Times New Roman"/>
          <w:snapToGrid w:val="0"/>
        </w:rPr>
        <w:t xml:space="preserve"> ir sąlygas atsako vartotojas. Paprastai infuzinį tirpalą ilgiau negu 24</w:t>
      </w:r>
      <w:r w:rsidR="006F6813">
        <w:rPr>
          <w:rFonts w:ascii="Times New Roman" w:eastAsia="Times New Roman" w:hAnsi="Times New Roman"/>
          <w:snapToGrid w:val="0"/>
        </w:rPr>
        <w:t> </w:t>
      </w:r>
      <w:r w:rsidRPr="00037DA8">
        <w:rPr>
          <w:rFonts w:ascii="Times New Roman" w:eastAsia="Times New Roman" w:hAnsi="Times New Roman"/>
          <w:snapToGrid w:val="0"/>
        </w:rPr>
        <w:t>val. 2</w:t>
      </w:r>
      <w:r w:rsidR="006F6813">
        <w:rPr>
          <w:rFonts w:ascii="Times New Roman" w:eastAsia="Times New Roman" w:hAnsi="Times New Roman"/>
          <w:snapToGrid w:val="0"/>
        </w:rPr>
        <w:t> </w:t>
      </w:r>
      <w:r w:rsidRPr="00037DA8">
        <w:rPr>
          <w:rFonts w:ascii="Times New Roman" w:eastAsia="Times New Roman" w:hAnsi="Times New Roman"/>
          <w:snapToGrid w:val="0"/>
        </w:rPr>
        <w:t>°C</w:t>
      </w:r>
      <w:r w:rsidR="006F6813">
        <w:rPr>
          <w:rFonts w:ascii="Times New Roman" w:eastAsia="Times New Roman" w:hAnsi="Times New Roman"/>
          <w:snapToGrid w:val="0"/>
        </w:rPr>
        <w:noBreakHyphen/>
      </w:r>
      <w:r w:rsidRPr="00037DA8">
        <w:rPr>
          <w:rFonts w:ascii="Times New Roman" w:eastAsia="Times New Roman" w:hAnsi="Times New Roman"/>
          <w:snapToGrid w:val="0"/>
        </w:rPr>
        <w:t>8</w:t>
      </w:r>
      <w:r w:rsidR="006F6813">
        <w:rPr>
          <w:rFonts w:ascii="Times New Roman" w:eastAsia="Times New Roman" w:hAnsi="Times New Roman"/>
          <w:snapToGrid w:val="0"/>
        </w:rPr>
        <w:t> </w:t>
      </w:r>
      <w:r w:rsidRPr="00037DA8">
        <w:rPr>
          <w:rFonts w:ascii="Times New Roman" w:eastAsia="Times New Roman" w:hAnsi="Times New Roman"/>
          <w:snapToGrid w:val="0"/>
        </w:rPr>
        <w:t>°C</w:t>
      </w:r>
      <w:r w:rsidR="00494DDC" w:rsidRPr="00037DA8">
        <w:rPr>
          <w:rFonts w:ascii="Times New Roman" w:eastAsia="Times New Roman" w:hAnsi="Times New Roman"/>
          <w:snapToGrid w:val="0"/>
        </w:rPr>
        <w:t xml:space="preserve"> </w:t>
      </w:r>
      <w:r w:rsidRPr="00037DA8">
        <w:rPr>
          <w:rFonts w:ascii="Times New Roman" w:eastAsia="Times New Roman" w:hAnsi="Times New Roman"/>
          <w:snapToGrid w:val="0"/>
        </w:rPr>
        <w:t>temperatūroje laikyti negalima, nebent skiedimas buvo atliktas kontroliuojamomis ir patvirtintomis</w:t>
      </w:r>
      <w:r w:rsidR="00494DDC"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aseptinėmis</w:t>
      </w:r>
      <w:proofErr w:type="spellEnd"/>
      <w:r w:rsidRPr="00037DA8">
        <w:rPr>
          <w:rFonts w:ascii="Times New Roman" w:eastAsia="Times New Roman" w:hAnsi="Times New Roman"/>
          <w:snapToGrid w:val="0"/>
        </w:rPr>
        <w:t xml:space="preserve"> sąlygomis.</w:t>
      </w:r>
    </w:p>
    <w:p w14:paraId="7CD265CA" w14:textId="77777777" w:rsidR="00494DDC" w:rsidRPr="00037DA8" w:rsidRDefault="00494DDC" w:rsidP="0024548A">
      <w:pPr>
        <w:tabs>
          <w:tab w:val="left" w:pos="567"/>
        </w:tabs>
        <w:spacing w:after="0" w:line="260" w:lineRule="exact"/>
        <w:rPr>
          <w:rFonts w:ascii="Times New Roman" w:eastAsia="Times New Roman" w:hAnsi="Times New Roman"/>
          <w:snapToGrid w:val="0"/>
        </w:rPr>
      </w:pPr>
    </w:p>
    <w:p w14:paraId="2E97F7DC" w14:textId="6889F1E3" w:rsidR="00485CDA" w:rsidRPr="0085406C" w:rsidRDefault="0085406C" w:rsidP="00485CDA">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Privaloma </w:t>
      </w:r>
      <w:r w:rsidR="00485CDA" w:rsidRPr="0085406C">
        <w:rPr>
          <w:rFonts w:ascii="Times New Roman" w:eastAsia="Times New Roman" w:hAnsi="Times New Roman"/>
          <w:snapToGrid w:val="0"/>
        </w:rPr>
        <w:t xml:space="preserve">naudoti </w:t>
      </w:r>
      <w:r w:rsidR="0082441B" w:rsidRPr="0085406C">
        <w:rPr>
          <w:rFonts w:ascii="Times New Roman" w:eastAsia="Times New Roman" w:hAnsi="Times New Roman"/>
          <w:snapToGrid w:val="0"/>
        </w:rPr>
        <w:t xml:space="preserve">infuzinės </w:t>
      </w:r>
      <w:r w:rsidR="00485CDA" w:rsidRPr="0085406C">
        <w:rPr>
          <w:rFonts w:ascii="Times New Roman" w:eastAsia="Times New Roman" w:hAnsi="Times New Roman"/>
          <w:snapToGrid w:val="0"/>
        </w:rPr>
        <w:t>sistemos vidinį 0,22</w:t>
      </w:r>
      <w:r w:rsidR="00401AAD">
        <w:rPr>
          <w:rFonts w:ascii="Times New Roman" w:eastAsia="Times New Roman" w:hAnsi="Times New Roman"/>
          <w:snapToGrid w:val="0"/>
        </w:rPr>
        <w:t> </w:t>
      </w:r>
      <w:r w:rsidR="00485CDA" w:rsidRPr="0085406C">
        <w:rPr>
          <w:rFonts w:ascii="Times New Roman" w:eastAsia="Times New Roman" w:hAnsi="Times New Roman"/>
          <w:snapToGrid w:val="0"/>
        </w:rPr>
        <w:t>mikrometro (dar vadinamą 0,2</w:t>
      </w:r>
      <w:r w:rsidR="00401AAD">
        <w:rPr>
          <w:rFonts w:ascii="Times New Roman" w:eastAsia="Times New Roman" w:hAnsi="Times New Roman"/>
          <w:snapToGrid w:val="0"/>
        </w:rPr>
        <w:t> </w:t>
      </w:r>
      <w:r w:rsidR="00485CDA" w:rsidRPr="0085406C">
        <w:rPr>
          <w:rFonts w:ascii="Times New Roman" w:eastAsia="Times New Roman" w:hAnsi="Times New Roman"/>
          <w:snapToGrid w:val="0"/>
        </w:rPr>
        <w:t>mikrometro) nominalaus porų dydžio filtrą.</w:t>
      </w:r>
    </w:p>
    <w:p w14:paraId="170C87F8" w14:textId="77777777" w:rsidR="00494DDC" w:rsidRPr="004200DB" w:rsidRDefault="00494DDC" w:rsidP="0024548A">
      <w:pPr>
        <w:tabs>
          <w:tab w:val="left" w:pos="567"/>
        </w:tabs>
        <w:spacing w:after="0" w:line="260" w:lineRule="exact"/>
        <w:rPr>
          <w:rFonts w:ascii="Times New Roman" w:eastAsia="Times New Roman" w:hAnsi="Times New Roman"/>
          <w:snapToGrid w:val="0"/>
        </w:rPr>
      </w:pPr>
    </w:p>
    <w:p w14:paraId="56C8EECA" w14:textId="77777777" w:rsidR="0024548A" w:rsidRPr="00037DA8" w:rsidRDefault="0024548A" w:rsidP="0024548A">
      <w:pPr>
        <w:tabs>
          <w:tab w:val="left" w:pos="567"/>
        </w:tabs>
        <w:spacing w:after="0" w:line="260" w:lineRule="exact"/>
        <w:rPr>
          <w:rFonts w:ascii="Times New Roman" w:eastAsia="Times New Roman" w:hAnsi="Times New Roman"/>
          <w:b/>
          <w:bCs/>
          <w:snapToGrid w:val="0"/>
        </w:rPr>
      </w:pPr>
      <w:r w:rsidRPr="004200DB">
        <w:rPr>
          <w:rFonts w:ascii="Times New Roman" w:eastAsia="Times New Roman" w:hAnsi="Times New Roman"/>
          <w:b/>
          <w:bCs/>
          <w:snapToGrid w:val="0"/>
        </w:rPr>
        <w:t>6.4</w:t>
      </w:r>
      <w:r w:rsidR="00CB6D06" w:rsidRPr="00037DA8">
        <w:rPr>
          <w:rFonts w:ascii="Times New Roman" w:eastAsia="Times New Roman" w:hAnsi="Times New Roman"/>
          <w:b/>
          <w:bCs/>
          <w:snapToGrid w:val="0"/>
        </w:rPr>
        <w:tab/>
      </w:r>
      <w:r w:rsidRPr="00037DA8">
        <w:rPr>
          <w:rFonts w:ascii="Times New Roman" w:eastAsia="Times New Roman" w:hAnsi="Times New Roman"/>
          <w:b/>
          <w:bCs/>
          <w:snapToGrid w:val="0"/>
        </w:rPr>
        <w:t>Specialios laikymo sąlygos</w:t>
      </w:r>
    </w:p>
    <w:p w14:paraId="757D8FF9" w14:textId="77777777" w:rsidR="00CB6D06" w:rsidRPr="00037DA8" w:rsidRDefault="00CB6D06" w:rsidP="0024548A">
      <w:pPr>
        <w:tabs>
          <w:tab w:val="left" w:pos="567"/>
        </w:tabs>
        <w:spacing w:after="0" w:line="260" w:lineRule="exact"/>
        <w:rPr>
          <w:rFonts w:ascii="Times New Roman" w:eastAsia="Times New Roman" w:hAnsi="Times New Roman"/>
          <w:snapToGrid w:val="0"/>
        </w:rPr>
      </w:pPr>
    </w:p>
    <w:p w14:paraId="6D09466E" w14:textId="0E9B0792" w:rsidR="0024548A" w:rsidRPr="00037DA8" w:rsidRDefault="0024548A" w:rsidP="0024548A">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Laikyti ne aukštesnėje kaip </w:t>
      </w:r>
      <w:r w:rsidR="00CB6D06" w:rsidRPr="00037DA8">
        <w:rPr>
          <w:rFonts w:ascii="Times New Roman" w:eastAsia="Times New Roman" w:hAnsi="Times New Roman"/>
          <w:snapToGrid w:val="0"/>
        </w:rPr>
        <w:t>25</w:t>
      </w:r>
      <w:r w:rsidR="00401AAD">
        <w:rPr>
          <w:rFonts w:ascii="Times New Roman" w:eastAsia="Times New Roman" w:hAnsi="Times New Roman"/>
          <w:snapToGrid w:val="0"/>
        </w:rPr>
        <w:t> </w:t>
      </w:r>
      <w:r w:rsidRPr="00037DA8">
        <w:rPr>
          <w:rFonts w:ascii="Times New Roman" w:eastAsia="Times New Roman" w:hAnsi="Times New Roman"/>
          <w:snapToGrid w:val="0"/>
        </w:rPr>
        <w:t>°C temperatūroje.</w:t>
      </w:r>
    </w:p>
    <w:p w14:paraId="17DFD749" w14:textId="0F1177AC" w:rsidR="0024548A" w:rsidRPr="00037DA8" w:rsidRDefault="00CB6D06" w:rsidP="0024548A">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Pirmą kartą atidaryto ir praskiesto vaistinio preparato laikymo sąlygos pateikiamos 6.3</w:t>
      </w:r>
      <w:r w:rsidR="00B21E59">
        <w:rPr>
          <w:rFonts w:ascii="Times New Roman" w:eastAsia="Times New Roman" w:hAnsi="Times New Roman"/>
          <w:snapToGrid w:val="0"/>
        </w:rPr>
        <w:t> </w:t>
      </w:r>
      <w:r w:rsidRPr="00037DA8">
        <w:rPr>
          <w:rFonts w:ascii="Times New Roman" w:eastAsia="Times New Roman" w:hAnsi="Times New Roman"/>
          <w:snapToGrid w:val="0"/>
        </w:rPr>
        <w:t>skyriuje</w:t>
      </w:r>
      <w:r w:rsidR="0024548A" w:rsidRPr="00037DA8">
        <w:rPr>
          <w:rFonts w:ascii="Times New Roman" w:eastAsia="Times New Roman" w:hAnsi="Times New Roman"/>
          <w:snapToGrid w:val="0"/>
        </w:rPr>
        <w:t>.</w:t>
      </w:r>
    </w:p>
    <w:p w14:paraId="0152BF99" w14:textId="77777777" w:rsidR="00CB6D06" w:rsidRPr="00037DA8" w:rsidRDefault="00CB6D06" w:rsidP="0024548A">
      <w:pPr>
        <w:tabs>
          <w:tab w:val="left" w:pos="567"/>
        </w:tabs>
        <w:spacing w:after="0" w:line="260" w:lineRule="exact"/>
        <w:rPr>
          <w:rFonts w:ascii="Times New Roman" w:eastAsia="Times New Roman" w:hAnsi="Times New Roman"/>
          <w:b/>
          <w:bCs/>
          <w:snapToGrid w:val="0"/>
        </w:rPr>
      </w:pPr>
    </w:p>
    <w:p w14:paraId="5E8D0D46" w14:textId="77777777" w:rsidR="0024548A" w:rsidRPr="00037DA8" w:rsidRDefault="0024548A" w:rsidP="0024548A">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6.5</w:t>
      </w:r>
      <w:r w:rsidR="00CB6D06" w:rsidRPr="00037DA8">
        <w:rPr>
          <w:rFonts w:ascii="Times New Roman" w:eastAsia="Times New Roman" w:hAnsi="Times New Roman"/>
          <w:b/>
          <w:bCs/>
          <w:snapToGrid w:val="0"/>
        </w:rPr>
        <w:tab/>
      </w:r>
      <w:proofErr w:type="spellStart"/>
      <w:r w:rsidRPr="00037DA8">
        <w:rPr>
          <w:rFonts w:ascii="Times New Roman" w:eastAsia="Times New Roman" w:hAnsi="Times New Roman"/>
          <w:b/>
          <w:bCs/>
          <w:snapToGrid w:val="0"/>
        </w:rPr>
        <w:t>Talpyklės</w:t>
      </w:r>
      <w:proofErr w:type="spellEnd"/>
      <w:r w:rsidRPr="00037DA8">
        <w:rPr>
          <w:rFonts w:ascii="Times New Roman" w:eastAsia="Times New Roman" w:hAnsi="Times New Roman"/>
          <w:b/>
          <w:bCs/>
          <w:snapToGrid w:val="0"/>
        </w:rPr>
        <w:t xml:space="preserve"> pobūdis ir jos turinys</w:t>
      </w:r>
    </w:p>
    <w:p w14:paraId="64431537" w14:textId="77777777" w:rsidR="00CB6D06" w:rsidRPr="00037DA8" w:rsidRDefault="00CB6D06" w:rsidP="0024548A">
      <w:pPr>
        <w:tabs>
          <w:tab w:val="left" w:pos="567"/>
        </w:tabs>
        <w:spacing w:after="0" w:line="260" w:lineRule="exact"/>
        <w:rPr>
          <w:rFonts w:ascii="Times New Roman" w:eastAsia="Times New Roman" w:hAnsi="Times New Roman"/>
          <w:snapToGrid w:val="0"/>
        </w:rPr>
      </w:pPr>
    </w:p>
    <w:p w14:paraId="7C91BBAA" w14:textId="2C28ABAC" w:rsidR="00CB6D06" w:rsidRPr="00037DA8" w:rsidRDefault="00CB6D06" w:rsidP="00EB0189">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4,5 ml arba 6 ml I</w:t>
      </w:r>
      <w:r w:rsidR="00B21E59">
        <w:rPr>
          <w:rFonts w:ascii="Times New Roman" w:eastAsia="Times New Roman" w:hAnsi="Times New Roman"/>
          <w:snapToGrid w:val="0"/>
        </w:rPr>
        <w:t> </w:t>
      </w:r>
      <w:r w:rsidRPr="00037DA8">
        <w:rPr>
          <w:rFonts w:ascii="Times New Roman" w:eastAsia="Times New Roman" w:hAnsi="Times New Roman"/>
          <w:snapToGrid w:val="0"/>
        </w:rPr>
        <w:t>tipo skaidraus</w:t>
      </w:r>
      <w:r w:rsidR="00EB0189" w:rsidRPr="00037DA8">
        <w:rPr>
          <w:rFonts w:ascii="Times New Roman" w:eastAsia="Times New Roman" w:hAnsi="Times New Roman"/>
          <w:snapToGrid w:val="0"/>
        </w:rPr>
        <w:t>,</w:t>
      </w:r>
      <w:r w:rsidRPr="00037DA8">
        <w:rPr>
          <w:rFonts w:ascii="Times New Roman" w:eastAsia="Times New Roman" w:hAnsi="Times New Roman"/>
          <w:snapToGrid w:val="0"/>
        </w:rPr>
        <w:t xml:space="preserve"> bespalvio stiklo</w:t>
      </w:r>
      <w:r w:rsidR="00951635" w:rsidRPr="00037DA8">
        <w:rPr>
          <w:rFonts w:ascii="Times New Roman" w:eastAsia="Times New Roman" w:hAnsi="Times New Roman"/>
          <w:snapToGrid w:val="0"/>
        </w:rPr>
        <w:t>, padengtuos</w:t>
      </w:r>
      <w:r w:rsidR="003165FB" w:rsidRPr="00037DA8">
        <w:rPr>
          <w:rFonts w:ascii="Times New Roman" w:eastAsia="Times New Roman" w:hAnsi="Times New Roman"/>
          <w:snapToGrid w:val="0"/>
        </w:rPr>
        <w:t>e</w:t>
      </w:r>
      <w:r w:rsidR="00951635" w:rsidRPr="00037DA8">
        <w:rPr>
          <w:rFonts w:ascii="Times New Roman" w:eastAsia="Times New Roman" w:hAnsi="Times New Roman"/>
          <w:snapToGrid w:val="0"/>
        </w:rPr>
        <w:t xml:space="preserve"> pilku </w:t>
      </w:r>
      <w:proofErr w:type="spellStart"/>
      <w:r w:rsidR="00951635" w:rsidRPr="00037DA8">
        <w:rPr>
          <w:rFonts w:ascii="Times New Roman" w:eastAsia="Times New Roman" w:hAnsi="Times New Roman"/>
          <w:snapToGrid w:val="0"/>
        </w:rPr>
        <w:t>fluoropolimeru</w:t>
      </w:r>
      <w:proofErr w:type="spellEnd"/>
      <w:r w:rsidR="00951635" w:rsidRPr="00037DA8">
        <w:rPr>
          <w:rFonts w:ascii="Times New Roman" w:eastAsia="Times New Roman" w:hAnsi="Times New Roman"/>
          <w:snapToGrid w:val="0"/>
        </w:rPr>
        <w:t xml:space="preserve"> </w:t>
      </w:r>
      <w:r w:rsidRPr="00037DA8">
        <w:rPr>
          <w:rFonts w:ascii="Times New Roman" w:eastAsia="Times New Roman" w:hAnsi="Times New Roman"/>
          <w:snapToGrid w:val="0"/>
        </w:rPr>
        <w:t>flakonuose</w:t>
      </w:r>
      <w:r w:rsidR="00951635" w:rsidRPr="00037DA8">
        <w:rPr>
          <w:rFonts w:ascii="Times New Roman" w:eastAsia="Times New Roman" w:hAnsi="Times New Roman"/>
          <w:snapToGrid w:val="0"/>
        </w:rPr>
        <w:t xml:space="preserve">, užkimštuose </w:t>
      </w:r>
      <w:proofErr w:type="spellStart"/>
      <w:r w:rsidRPr="00037DA8">
        <w:rPr>
          <w:rFonts w:ascii="Times New Roman" w:eastAsia="Times New Roman" w:hAnsi="Times New Roman"/>
          <w:snapToGrid w:val="0"/>
        </w:rPr>
        <w:t>bromobutilo</w:t>
      </w:r>
      <w:proofErr w:type="spellEnd"/>
      <w:r w:rsidRPr="00037DA8">
        <w:rPr>
          <w:rFonts w:ascii="Times New Roman" w:eastAsia="Times New Roman" w:hAnsi="Times New Roman"/>
          <w:snapToGrid w:val="0"/>
        </w:rPr>
        <w:t xml:space="preserve"> gumos kamšči</w:t>
      </w:r>
      <w:r w:rsidR="00EB0189" w:rsidRPr="00037DA8">
        <w:rPr>
          <w:rFonts w:ascii="Times New Roman" w:eastAsia="Times New Roman" w:hAnsi="Times New Roman"/>
          <w:snapToGrid w:val="0"/>
        </w:rPr>
        <w:t>ais. Flakonai užsandarinti</w:t>
      </w:r>
      <w:r w:rsidRPr="00037DA8">
        <w:rPr>
          <w:rFonts w:ascii="Times New Roman" w:eastAsia="Times New Roman" w:hAnsi="Times New Roman"/>
          <w:snapToGrid w:val="0"/>
        </w:rPr>
        <w:t xml:space="preserve"> gofruotu aliuminio dangteliu bei nuplėšiamu </w:t>
      </w:r>
      <w:proofErr w:type="spellStart"/>
      <w:r w:rsidRPr="00037DA8">
        <w:rPr>
          <w:rFonts w:ascii="Times New Roman" w:eastAsia="Times New Roman" w:hAnsi="Times New Roman"/>
          <w:snapToGrid w:val="0"/>
        </w:rPr>
        <w:t>gaubteliu</w:t>
      </w:r>
      <w:proofErr w:type="spellEnd"/>
      <w:r w:rsidRPr="00037DA8">
        <w:rPr>
          <w:rFonts w:ascii="Times New Roman" w:eastAsia="Times New Roman" w:hAnsi="Times New Roman"/>
          <w:snapToGrid w:val="0"/>
        </w:rPr>
        <w:t xml:space="preserve">. </w:t>
      </w:r>
    </w:p>
    <w:p w14:paraId="7DD95D0B" w14:textId="77777777" w:rsidR="00CB6D06" w:rsidRPr="00037DA8" w:rsidRDefault="00CB6D06" w:rsidP="00CB6D06">
      <w:pPr>
        <w:tabs>
          <w:tab w:val="left" w:pos="567"/>
        </w:tabs>
        <w:spacing w:after="0" w:line="260" w:lineRule="exact"/>
        <w:rPr>
          <w:rFonts w:ascii="Times New Roman" w:eastAsia="Times New Roman" w:hAnsi="Times New Roman"/>
          <w:snapToGrid w:val="0"/>
        </w:rPr>
      </w:pPr>
    </w:p>
    <w:p w14:paraId="16D36B9B" w14:textId="76D2F594" w:rsidR="00CB6D06" w:rsidRPr="00037DA8" w:rsidRDefault="00EB0189" w:rsidP="00CB6D0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Pakuotės dydžiai: 4,5 ml ar 6 ml koncentrato 1</w:t>
      </w:r>
      <w:r w:rsidR="00B21E59">
        <w:rPr>
          <w:rFonts w:ascii="Times New Roman" w:eastAsia="Times New Roman" w:hAnsi="Times New Roman"/>
          <w:snapToGrid w:val="0"/>
        </w:rPr>
        <w:t> </w:t>
      </w:r>
      <w:r w:rsidRPr="00037DA8">
        <w:rPr>
          <w:rFonts w:ascii="Times New Roman" w:eastAsia="Times New Roman" w:hAnsi="Times New Roman"/>
          <w:snapToGrid w:val="0"/>
        </w:rPr>
        <w:t>flakonas arba 5</w:t>
      </w:r>
      <w:r w:rsidR="00B21E59">
        <w:rPr>
          <w:rFonts w:ascii="Times New Roman" w:eastAsia="Times New Roman" w:hAnsi="Times New Roman"/>
          <w:snapToGrid w:val="0"/>
        </w:rPr>
        <w:t> </w:t>
      </w:r>
      <w:r w:rsidRPr="00037DA8">
        <w:rPr>
          <w:rFonts w:ascii="Times New Roman" w:eastAsia="Times New Roman" w:hAnsi="Times New Roman"/>
          <w:snapToGrid w:val="0"/>
        </w:rPr>
        <w:t xml:space="preserve">flakonai. </w:t>
      </w:r>
    </w:p>
    <w:p w14:paraId="47D3CF7B" w14:textId="77777777" w:rsidR="00DC3ACC" w:rsidRPr="00037DA8" w:rsidRDefault="00DC3ACC" w:rsidP="00267DDB">
      <w:pPr>
        <w:spacing w:after="0" w:line="240" w:lineRule="auto"/>
        <w:rPr>
          <w:rFonts w:ascii="Times New Roman" w:eastAsia="Times New Roman" w:hAnsi="Times New Roman"/>
          <w:snapToGrid w:val="0"/>
        </w:rPr>
      </w:pPr>
    </w:p>
    <w:p w14:paraId="23CB880A" w14:textId="77777777" w:rsidR="00267DDB" w:rsidRPr="00037DA8" w:rsidRDefault="00267DDB" w:rsidP="00267DDB">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Gali būti tiekiamos ne visų dydžių pakuotės.</w:t>
      </w:r>
    </w:p>
    <w:p w14:paraId="522E9FC1" w14:textId="77777777" w:rsidR="00267DDB" w:rsidRPr="00037DA8" w:rsidRDefault="00267DDB" w:rsidP="00267DDB">
      <w:pPr>
        <w:spacing w:after="0" w:line="240" w:lineRule="auto"/>
        <w:rPr>
          <w:rFonts w:ascii="Times New Roman" w:eastAsia="Times New Roman" w:hAnsi="Times New Roman"/>
          <w:snapToGrid w:val="0"/>
        </w:rPr>
      </w:pPr>
    </w:p>
    <w:p w14:paraId="61B38AD3" w14:textId="77777777" w:rsidR="00EB0189" w:rsidRPr="00037DA8" w:rsidRDefault="00EB0189" w:rsidP="00EB0189">
      <w:pPr>
        <w:spacing w:after="0" w:line="240" w:lineRule="auto"/>
        <w:ind w:left="567" w:hanging="567"/>
        <w:rPr>
          <w:rFonts w:ascii="Times New Roman" w:eastAsia="Times New Roman" w:hAnsi="Times New Roman"/>
          <w:b/>
          <w:bCs/>
          <w:snapToGrid w:val="0"/>
        </w:rPr>
      </w:pPr>
      <w:r w:rsidRPr="00037DA8">
        <w:rPr>
          <w:rFonts w:ascii="Times New Roman" w:eastAsia="Times New Roman" w:hAnsi="Times New Roman"/>
          <w:b/>
          <w:bCs/>
          <w:snapToGrid w:val="0"/>
        </w:rPr>
        <w:t>6.6</w:t>
      </w:r>
      <w:r w:rsidRPr="00037DA8">
        <w:rPr>
          <w:rFonts w:ascii="Times New Roman" w:eastAsia="Times New Roman" w:hAnsi="Times New Roman"/>
          <w:b/>
          <w:bCs/>
          <w:snapToGrid w:val="0"/>
        </w:rPr>
        <w:tab/>
        <w:t>Specialūs reikalavimai atliekoms tvarkyti ir vaistiniam preparatui ruošti</w:t>
      </w:r>
    </w:p>
    <w:p w14:paraId="3FE1A714" w14:textId="77777777" w:rsidR="00EB0189" w:rsidRPr="00037DA8" w:rsidRDefault="00EB0189" w:rsidP="00EB0189">
      <w:pPr>
        <w:spacing w:after="0" w:line="240" w:lineRule="auto"/>
        <w:rPr>
          <w:rFonts w:ascii="Times New Roman" w:eastAsia="Times New Roman" w:hAnsi="Times New Roman"/>
          <w:snapToGrid w:val="0"/>
        </w:rPr>
      </w:pPr>
    </w:p>
    <w:p w14:paraId="4ED38FB8" w14:textId="77777777" w:rsidR="00EB0189" w:rsidRPr="00037DA8" w:rsidRDefault="004B7C5B" w:rsidP="00EB0189">
      <w:pPr>
        <w:spacing w:after="0" w:line="240" w:lineRule="auto"/>
        <w:rPr>
          <w:rFonts w:ascii="Times New Roman" w:eastAsia="Times New Roman" w:hAnsi="Times New Roman"/>
          <w:snapToGrid w:val="0"/>
        </w:rPr>
      </w:pPr>
      <w:proofErr w:type="spellStart"/>
      <w:r w:rsidRPr="00037DA8">
        <w:rPr>
          <w:rFonts w:ascii="Times New Roman" w:eastAsia="Times New Roman" w:hAnsi="Times New Roman"/>
          <w:snapToGrid w:val="0"/>
        </w:rPr>
        <w:t>C</w:t>
      </w:r>
      <w:r w:rsidR="00EB0189" w:rsidRPr="00037DA8">
        <w:rPr>
          <w:rFonts w:ascii="Times New Roman" w:eastAsia="Times New Roman" w:hAnsi="Times New Roman"/>
          <w:snapToGrid w:val="0"/>
        </w:rPr>
        <w:t>abazitaxel</w:t>
      </w:r>
      <w:proofErr w:type="spellEnd"/>
      <w:r w:rsidR="005F0A31" w:rsidRPr="00037DA8">
        <w:rPr>
          <w:rFonts w:ascii="Times New Roman" w:eastAsia="Times New Roman" w:hAnsi="Times New Roman"/>
          <w:snapToGrid w:val="0"/>
        </w:rPr>
        <w:t xml:space="preserve"> </w:t>
      </w:r>
      <w:proofErr w:type="spellStart"/>
      <w:r w:rsidR="00EB0189" w:rsidRPr="00037DA8">
        <w:rPr>
          <w:rFonts w:ascii="Times New Roman" w:eastAsia="Times New Roman" w:hAnsi="Times New Roman"/>
          <w:snapToGrid w:val="0"/>
        </w:rPr>
        <w:t>Sandoz</w:t>
      </w:r>
      <w:proofErr w:type="spellEnd"/>
      <w:r w:rsidR="00EB0189" w:rsidRPr="00037DA8">
        <w:rPr>
          <w:rFonts w:ascii="Times New Roman" w:eastAsia="Times New Roman" w:hAnsi="Times New Roman"/>
          <w:snapToGrid w:val="0"/>
        </w:rPr>
        <w:t xml:space="preserve"> ruošti ir </w:t>
      </w:r>
      <w:proofErr w:type="spellStart"/>
      <w:r w:rsidR="00EB0189" w:rsidRPr="00037DA8">
        <w:rPr>
          <w:rFonts w:ascii="Times New Roman" w:eastAsia="Times New Roman" w:hAnsi="Times New Roman"/>
          <w:snapToGrid w:val="0"/>
        </w:rPr>
        <w:t>infuzuoti</w:t>
      </w:r>
      <w:proofErr w:type="spellEnd"/>
      <w:r w:rsidR="00EB0189" w:rsidRPr="00037DA8">
        <w:rPr>
          <w:rFonts w:ascii="Times New Roman" w:eastAsia="Times New Roman" w:hAnsi="Times New Roman"/>
          <w:snapToGrid w:val="0"/>
        </w:rPr>
        <w:t xml:space="preserve"> gali tik personalas, išmokytas dirbti su </w:t>
      </w:r>
      <w:proofErr w:type="spellStart"/>
      <w:r w:rsidR="00EB0189" w:rsidRPr="00037DA8">
        <w:rPr>
          <w:rFonts w:ascii="Times New Roman" w:eastAsia="Times New Roman" w:hAnsi="Times New Roman"/>
          <w:snapToGrid w:val="0"/>
        </w:rPr>
        <w:t>citotoksinėmis</w:t>
      </w:r>
      <w:proofErr w:type="spellEnd"/>
      <w:r w:rsidR="00EB0189" w:rsidRPr="00037DA8">
        <w:rPr>
          <w:rFonts w:ascii="Times New Roman" w:eastAsia="Times New Roman" w:hAnsi="Times New Roman"/>
          <w:snapToGrid w:val="0"/>
        </w:rPr>
        <w:t xml:space="preserve"> medžiagomis</w:t>
      </w:r>
      <w:r w:rsidR="005F0A31" w:rsidRPr="00037DA8">
        <w:rPr>
          <w:rFonts w:ascii="Times New Roman" w:eastAsia="Times New Roman" w:hAnsi="Times New Roman"/>
          <w:snapToGrid w:val="0"/>
        </w:rPr>
        <w:t xml:space="preserve">. </w:t>
      </w:r>
      <w:r w:rsidR="00EB0189" w:rsidRPr="00037DA8">
        <w:rPr>
          <w:rFonts w:ascii="Times New Roman" w:eastAsia="Times New Roman" w:hAnsi="Times New Roman"/>
          <w:snapToGrid w:val="0"/>
        </w:rPr>
        <w:t xml:space="preserve">Nėščioms moterims dirbti su šiuo </w:t>
      </w:r>
      <w:r w:rsidR="005F0A31" w:rsidRPr="00037DA8">
        <w:rPr>
          <w:rFonts w:ascii="Times New Roman" w:eastAsia="Times New Roman" w:hAnsi="Times New Roman"/>
          <w:snapToGrid w:val="0"/>
        </w:rPr>
        <w:t xml:space="preserve">vaistiniu </w:t>
      </w:r>
      <w:r w:rsidR="00EB0189" w:rsidRPr="00037DA8">
        <w:rPr>
          <w:rFonts w:ascii="Times New Roman" w:eastAsia="Times New Roman" w:hAnsi="Times New Roman"/>
          <w:snapToGrid w:val="0"/>
        </w:rPr>
        <w:t xml:space="preserve">preparatu draudžiama. Dirbti su </w:t>
      </w:r>
      <w:proofErr w:type="spellStart"/>
      <w:r w:rsidRPr="00037DA8">
        <w:rPr>
          <w:rFonts w:ascii="Times New Roman" w:eastAsia="Times New Roman" w:hAnsi="Times New Roman"/>
          <w:snapToGrid w:val="0"/>
        </w:rPr>
        <w:t>C</w:t>
      </w:r>
      <w:r w:rsidR="005F0A31" w:rsidRPr="00037DA8">
        <w:rPr>
          <w:rFonts w:ascii="Times New Roman" w:eastAsia="Times New Roman" w:hAnsi="Times New Roman"/>
          <w:snapToGrid w:val="0"/>
        </w:rPr>
        <w:t>abazitaxel</w:t>
      </w:r>
      <w:proofErr w:type="spellEnd"/>
      <w:r w:rsidR="005F0A31" w:rsidRPr="00037DA8">
        <w:rPr>
          <w:rFonts w:ascii="Times New Roman" w:eastAsia="Times New Roman" w:hAnsi="Times New Roman"/>
          <w:snapToGrid w:val="0"/>
        </w:rPr>
        <w:t xml:space="preserve"> </w:t>
      </w:r>
      <w:proofErr w:type="spellStart"/>
      <w:r w:rsidR="005F0A31" w:rsidRPr="00037DA8">
        <w:rPr>
          <w:rFonts w:ascii="Times New Roman" w:eastAsia="Times New Roman" w:hAnsi="Times New Roman"/>
          <w:snapToGrid w:val="0"/>
        </w:rPr>
        <w:t>Sandoz</w:t>
      </w:r>
      <w:proofErr w:type="spellEnd"/>
      <w:r w:rsidR="005F0A31" w:rsidRPr="00037DA8">
        <w:rPr>
          <w:rFonts w:ascii="Times New Roman" w:eastAsia="Times New Roman" w:hAnsi="Times New Roman"/>
          <w:snapToGrid w:val="0"/>
        </w:rPr>
        <w:t>,</w:t>
      </w:r>
      <w:r w:rsidR="00EB0189" w:rsidRPr="00037DA8">
        <w:rPr>
          <w:rFonts w:ascii="Times New Roman" w:eastAsia="Times New Roman" w:hAnsi="Times New Roman"/>
          <w:snapToGrid w:val="0"/>
        </w:rPr>
        <w:t xml:space="preserve"> kaip ir bet kokio</w:t>
      </w:r>
      <w:r w:rsidR="005F0A31" w:rsidRPr="00037DA8">
        <w:rPr>
          <w:rFonts w:ascii="Times New Roman" w:eastAsia="Times New Roman" w:hAnsi="Times New Roman"/>
          <w:snapToGrid w:val="0"/>
        </w:rPr>
        <w:t>s</w:t>
      </w:r>
      <w:r w:rsidR="00EB0189" w:rsidRPr="00037DA8">
        <w:rPr>
          <w:rFonts w:ascii="Times New Roman" w:eastAsia="Times New Roman" w:hAnsi="Times New Roman"/>
          <w:snapToGrid w:val="0"/>
        </w:rPr>
        <w:t xml:space="preserve"> kito</w:t>
      </w:r>
      <w:r w:rsidR="005F0A31" w:rsidRPr="00037DA8">
        <w:rPr>
          <w:rFonts w:ascii="Times New Roman" w:eastAsia="Times New Roman" w:hAnsi="Times New Roman"/>
          <w:snapToGrid w:val="0"/>
        </w:rPr>
        <w:t xml:space="preserve">s </w:t>
      </w:r>
      <w:proofErr w:type="spellStart"/>
      <w:r w:rsidR="005F0A31" w:rsidRPr="00037DA8">
        <w:rPr>
          <w:rFonts w:ascii="Times New Roman" w:eastAsia="Times New Roman" w:hAnsi="Times New Roman"/>
          <w:snapToGrid w:val="0"/>
        </w:rPr>
        <w:t>antinavikinės</w:t>
      </w:r>
      <w:proofErr w:type="spellEnd"/>
      <w:r w:rsidR="005F0A31" w:rsidRPr="00037DA8">
        <w:rPr>
          <w:rFonts w:ascii="Times New Roman" w:eastAsia="Times New Roman" w:hAnsi="Times New Roman"/>
          <w:snapToGrid w:val="0"/>
        </w:rPr>
        <w:t xml:space="preserve"> medžiagos</w:t>
      </w:r>
      <w:r w:rsidR="00EB0189" w:rsidRPr="00037DA8">
        <w:rPr>
          <w:rFonts w:ascii="Times New Roman" w:eastAsia="Times New Roman" w:hAnsi="Times New Roman"/>
          <w:snapToGrid w:val="0"/>
        </w:rPr>
        <w:t xml:space="preserve">, tirpalu bei jį ruošti reikia atsargiai, turint omenyje nuo </w:t>
      </w:r>
      <w:r w:rsidR="005F0A31" w:rsidRPr="00037DA8">
        <w:rPr>
          <w:rFonts w:ascii="Times New Roman" w:eastAsia="Times New Roman" w:hAnsi="Times New Roman"/>
          <w:snapToGrid w:val="0"/>
        </w:rPr>
        <w:t xml:space="preserve">užteršimo </w:t>
      </w:r>
      <w:r w:rsidR="00EB0189" w:rsidRPr="00037DA8">
        <w:rPr>
          <w:rFonts w:ascii="Times New Roman" w:eastAsia="Times New Roman" w:hAnsi="Times New Roman"/>
          <w:snapToGrid w:val="0"/>
        </w:rPr>
        <w:t>apsaugančių priemonių naudojimą, asmenines apsaugines priemones (pvz., pirštines) ir ruošimo</w:t>
      </w:r>
      <w:r w:rsidR="005F0A31" w:rsidRPr="00037DA8">
        <w:rPr>
          <w:rFonts w:ascii="Times New Roman" w:eastAsia="Times New Roman" w:hAnsi="Times New Roman"/>
          <w:snapToGrid w:val="0"/>
        </w:rPr>
        <w:t xml:space="preserve"> </w:t>
      </w:r>
      <w:r w:rsidR="00EB0189" w:rsidRPr="00037DA8">
        <w:rPr>
          <w:rFonts w:ascii="Times New Roman" w:eastAsia="Times New Roman" w:hAnsi="Times New Roman"/>
          <w:snapToGrid w:val="0"/>
        </w:rPr>
        <w:t xml:space="preserve">procedūras. Jei bet kokiu darbo su </w:t>
      </w:r>
      <w:proofErr w:type="spellStart"/>
      <w:r w:rsidRPr="00037DA8">
        <w:rPr>
          <w:rFonts w:ascii="Times New Roman" w:eastAsia="Times New Roman" w:hAnsi="Times New Roman"/>
          <w:snapToGrid w:val="0"/>
        </w:rPr>
        <w:t>C</w:t>
      </w:r>
      <w:r w:rsidR="005F0A31" w:rsidRPr="00037DA8">
        <w:rPr>
          <w:rFonts w:ascii="Times New Roman" w:eastAsia="Times New Roman" w:hAnsi="Times New Roman"/>
          <w:snapToGrid w:val="0"/>
        </w:rPr>
        <w:t>abazitaxel</w:t>
      </w:r>
      <w:proofErr w:type="spellEnd"/>
      <w:r w:rsidR="005F0A31" w:rsidRPr="00037DA8">
        <w:rPr>
          <w:rFonts w:ascii="Times New Roman" w:eastAsia="Times New Roman" w:hAnsi="Times New Roman"/>
          <w:snapToGrid w:val="0"/>
        </w:rPr>
        <w:t xml:space="preserve"> </w:t>
      </w:r>
      <w:proofErr w:type="spellStart"/>
      <w:r w:rsidR="005F0A31" w:rsidRPr="00037DA8">
        <w:rPr>
          <w:rFonts w:ascii="Times New Roman" w:eastAsia="Times New Roman" w:hAnsi="Times New Roman"/>
          <w:snapToGrid w:val="0"/>
        </w:rPr>
        <w:t>Sandoz</w:t>
      </w:r>
      <w:proofErr w:type="spellEnd"/>
      <w:r w:rsidR="00EB0189" w:rsidRPr="00037DA8">
        <w:rPr>
          <w:rFonts w:ascii="Times New Roman" w:eastAsia="Times New Roman" w:hAnsi="Times New Roman"/>
          <w:snapToGrid w:val="0"/>
        </w:rPr>
        <w:t xml:space="preserve"> etapu </w:t>
      </w:r>
      <w:r w:rsidR="005F0A31" w:rsidRPr="00037DA8">
        <w:rPr>
          <w:rFonts w:ascii="Times New Roman" w:eastAsia="Times New Roman" w:hAnsi="Times New Roman"/>
          <w:snapToGrid w:val="0"/>
        </w:rPr>
        <w:t>j</w:t>
      </w:r>
      <w:r w:rsidR="00EB0189" w:rsidRPr="00037DA8">
        <w:rPr>
          <w:rFonts w:ascii="Times New Roman" w:eastAsia="Times New Roman" w:hAnsi="Times New Roman"/>
          <w:snapToGrid w:val="0"/>
        </w:rPr>
        <w:t>o patenka ant odos, ją reikia nedelsiant</w:t>
      </w:r>
      <w:r w:rsidR="005F0A31" w:rsidRPr="00037DA8">
        <w:rPr>
          <w:rFonts w:ascii="Times New Roman" w:eastAsia="Times New Roman" w:hAnsi="Times New Roman"/>
          <w:snapToGrid w:val="0"/>
        </w:rPr>
        <w:t xml:space="preserve"> </w:t>
      </w:r>
      <w:r w:rsidR="00EB0189" w:rsidRPr="00037DA8">
        <w:rPr>
          <w:rFonts w:ascii="Times New Roman" w:eastAsia="Times New Roman" w:hAnsi="Times New Roman"/>
          <w:snapToGrid w:val="0"/>
        </w:rPr>
        <w:t xml:space="preserve">kruopščiai nuplauti muilu ir vandeniu. Jei </w:t>
      </w:r>
      <w:r w:rsidR="005F0A31" w:rsidRPr="00037DA8">
        <w:rPr>
          <w:rFonts w:ascii="Times New Roman" w:eastAsia="Times New Roman" w:hAnsi="Times New Roman"/>
          <w:snapToGrid w:val="0"/>
        </w:rPr>
        <w:t>šios medžiagos</w:t>
      </w:r>
      <w:r w:rsidR="00EB0189" w:rsidRPr="00037DA8">
        <w:rPr>
          <w:rFonts w:ascii="Times New Roman" w:eastAsia="Times New Roman" w:hAnsi="Times New Roman"/>
          <w:snapToGrid w:val="0"/>
        </w:rPr>
        <w:t xml:space="preserve"> patenka ant gleivinės, ją reikia nedelsiant ir</w:t>
      </w:r>
      <w:r w:rsidRPr="00037DA8">
        <w:rPr>
          <w:rFonts w:ascii="Times New Roman" w:eastAsia="Times New Roman" w:hAnsi="Times New Roman"/>
          <w:snapToGrid w:val="0"/>
        </w:rPr>
        <w:t xml:space="preserve"> </w:t>
      </w:r>
      <w:r w:rsidR="00EB0189" w:rsidRPr="00037DA8">
        <w:rPr>
          <w:rFonts w:ascii="Times New Roman" w:eastAsia="Times New Roman" w:hAnsi="Times New Roman"/>
          <w:snapToGrid w:val="0"/>
        </w:rPr>
        <w:t>kruopščiai nuplauti vandeniu.</w:t>
      </w:r>
    </w:p>
    <w:p w14:paraId="253D5D70" w14:textId="77777777" w:rsidR="005F0A31" w:rsidRPr="00037DA8" w:rsidRDefault="005F0A31" w:rsidP="00EB0189">
      <w:pPr>
        <w:spacing w:after="0" w:line="240" w:lineRule="auto"/>
        <w:rPr>
          <w:rFonts w:ascii="Times New Roman" w:eastAsia="Times New Roman" w:hAnsi="Times New Roman"/>
          <w:snapToGrid w:val="0"/>
        </w:rPr>
      </w:pPr>
    </w:p>
    <w:p w14:paraId="3E365220" w14:textId="77777777" w:rsidR="005F0A31" w:rsidRPr="00037DA8" w:rsidRDefault="005F0A31" w:rsidP="005F0A31">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Atidžiai perskaitykite </w:t>
      </w:r>
      <w:r w:rsidRPr="00037DA8">
        <w:rPr>
          <w:rFonts w:ascii="Times New Roman" w:eastAsia="Times New Roman" w:hAnsi="Times New Roman"/>
          <w:bCs/>
          <w:snapToGrid w:val="0"/>
        </w:rPr>
        <w:t>VIS</w:t>
      </w:r>
      <w:r w:rsidRPr="002642B8">
        <w:rPr>
          <w:rFonts w:ascii="Times New Roman" w:eastAsia="Times New Roman" w:hAnsi="Times New Roman"/>
          <w:snapToGrid w:val="0"/>
        </w:rPr>
        <w:t>Ą</w:t>
      </w:r>
      <w:r w:rsidRPr="00037DA8">
        <w:rPr>
          <w:rFonts w:ascii="Times New Roman" w:eastAsia="Times New Roman" w:hAnsi="Times New Roman"/>
          <w:b/>
          <w:bCs/>
          <w:snapToGrid w:val="0"/>
        </w:rPr>
        <w:t xml:space="preserve"> </w:t>
      </w:r>
      <w:r w:rsidRPr="00037DA8">
        <w:rPr>
          <w:rFonts w:ascii="Times New Roman" w:eastAsia="Times New Roman" w:hAnsi="Times New Roman"/>
          <w:snapToGrid w:val="0"/>
        </w:rPr>
        <w:t xml:space="preserve">šį skyrių. </w:t>
      </w:r>
      <w:proofErr w:type="spellStart"/>
      <w:r w:rsidR="004B7C5B" w:rsidRPr="00037DA8">
        <w:rPr>
          <w:rFonts w:ascii="Times New Roman" w:eastAsia="Times New Roman" w:hAnsi="Times New Roman"/>
          <w:snapToGrid w:val="0"/>
        </w:rPr>
        <w:t>C</w:t>
      </w:r>
      <w:r w:rsidRPr="00037DA8">
        <w:rPr>
          <w:rFonts w:ascii="Times New Roman" w:eastAsia="Times New Roman" w:hAnsi="Times New Roman"/>
          <w:snapToGrid w:val="0"/>
        </w:rPr>
        <w:t>abazitaxel</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Sandoz</w:t>
      </w:r>
      <w:proofErr w:type="spellEnd"/>
      <w:r w:rsidRPr="00037DA8">
        <w:rPr>
          <w:rFonts w:ascii="Times New Roman" w:eastAsia="Times New Roman" w:hAnsi="Times New Roman"/>
          <w:snapToGrid w:val="0"/>
        </w:rPr>
        <w:t xml:space="preserve"> prieš vartojimą reikia praskiesti VIENĄ KARTĄ. Laikykitės toliau pateiktų ruošimo instrukcijų.</w:t>
      </w:r>
    </w:p>
    <w:p w14:paraId="44F9778E" w14:textId="77777777" w:rsidR="005F0A31" w:rsidRPr="00037DA8" w:rsidRDefault="005F0A31" w:rsidP="005F0A31">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lastRenderedPageBreak/>
        <w:t xml:space="preserve">Ruošiant infuzinį tirpalą, </w:t>
      </w:r>
      <w:proofErr w:type="spellStart"/>
      <w:r w:rsidRPr="00037DA8">
        <w:rPr>
          <w:rFonts w:ascii="Times New Roman" w:eastAsia="Times New Roman" w:hAnsi="Times New Roman"/>
          <w:snapToGrid w:val="0"/>
        </w:rPr>
        <w:t>aseptinėmis</w:t>
      </w:r>
      <w:proofErr w:type="spellEnd"/>
      <w:r w:rsidRPr="00037DA8">
        <w:rPr>
          <w:rFonts w:ascii="Times New Roman" w:eastAsia="Times New Roman" w:hAnsi="Times New Roman"/>
          <w:snapToGrid w:val="0"/>
        </w:rPr>
        <w:t xml:space="preserve"> sąlygomis būtina atlikti toliau aprašytą skiedimą.</w:t>
      </w:r>
    </w:p>
    <w:p w14:paraId="316C6BF0" w14:textId="77777777" w:rsidR="00147E44" w:rsidRPr="00037DA8" w:rsidRDefault="00147E44" w:rsidP="00EB0189">
      <w:pPr>
        <w:spacing w:after="0" w:line="240" w:lineRule="auto"/>
        <w:rPr>
          <w:rFonts w:ascii="Times New Roman" w:eastAsia="Times New Roman" w:hAnsi="Times New Roman"/>
          <w:snapToGrid w:val="0"/>
        </w:rPr>
      </w:pPr>
    </w:p>
    <w:p w14:paraId="27759880" w14:textId="77777777" w:rsidR="00147E44" w:rsidRPr="00830259" w:rsidRDefault="00147E44" w:rsidP="00EB0189">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Paskirtai dozei suvartoti gali būti reikalingas daugiau negu vienas koncentrato flakonas</w:t>
      </w:r>
      <w:r w:rsidR="00830259">
        <w:rPr>
          <w:rFonts w:ascii="Times New Roman" w:eastAsia="Times New Roman" w:hAnsi="Times New Roman"/>
          <w:snapToGrid w:val="0"/>
        </w:rPr>
        <w:t>.</w:t>
      </w:r>
    </w:p>
    <w:p w14:paraId="656836D2" w14:textId="77777777" w:rsidR="00147E44" w:rsidRPr="0085406C" w:rsidRDefault="00147E44" w:rsidP="00EB0189">
      <w:pPr>
        <w:spacing w:after="0" w:line="240" w:lineRule="auto"/>
        <w:rPr>
          <w:rFonts w:ascii="Times New Roman" w:eastAsia="Times New Roman" w:hAnsi="Times New Roman"/>
          <w:snapToGrid w:val="0"/>
        </w:rPr>
      </w:pPr>
    </w:p>
    <w:p w14:paraId="6A0C0BB3" w14:textId="77777777" w:rsidR="00147E44" w:rsidRPr="004200DB" w:rsidRDefault="00147E44" w:rsidP="00EB0189">
      <w:pPr>
        <w:spacing w:after="0" w:line="240" w:lineRule="auto"/>
        <w:rPr>
          <w:rFonts w:ascii="Times New Roman" w:eastAsia="Times New Roman" w:hAnsi="Times New Roman"/>
          <w:snapToGrid w:val="0"/>
          <w:u w:val="single"/>
        </w:rPr>
      </w:pPr>
      <w:r w:rsidRPr="004200DB">
        <w:rPr>
          <w:rFonts w:ascii="Times New Roman" w:eastAsia="Times New Roman" w:hAnsi="Times New Roman"/>
          <w:snapToGrid w:val="0"/>
          <w:u w:val="single"/>
        </w:rPr>
        <w:t>Skiedimas infuzijai</w:t>
      </w:r>
    </w:p>
    <w:p w14:paraId="6B29C411" w14:textId="77777777" w:rsidR="00147E44" w:rsidRPr="004200DB" w:rsidRDefault="00147E44" w:rsidP="00EB0189">
      <w:pPr>
        <w:spacing w:after="0" w:line="240" w:lineRule="auto"/>
        <w:rPr>
          <w:rFonts w:ascii="Times New Roman" w:eastAsia="Times New Roman" w:hAnsi="Times New Roman"/>
          <w:snapToGrid w:val="0"/>
        </w:rPr>
      </w:pPr>
    </w:p>
    <w:p w14:paraId="3C53AB8C" w14:textId="16241B44" w:rsidR="00147E44" w:rsidRPr="00037DA8" w:rsidRDefault="00147E44" w:rsidP="00EB0189">
      <w:pPr>
        <w:spacing w:after="0" w:line="240" w:lineRule="auto"/>
        <w:rPr>
          <w:rFonts w:ascii="Times New Roman" w:eastAsia="Times New Roman" w:hAnsi="Times New Roman"/>
          <w:i/>
          <w:snapToGrid w:val="0"/>
        </w:rPr>
      </w:pPr>
      <w:r w:rsidRPr="00037DA8">
        <w:rPr>
          <w:rFonts w:ascii="Times New Roman" w:eastAsia="Times New Roman" w:hAnsi="Times New Roman"/>
          <w:i/>
          <w:snapToGrid w:val="0"/>
        </w:rPr>
        <w:t>I</w:t>
      </w:r>
      <w:r w:rsidR="003D5536">
        <w:rPr>
          <w:rFonts w:ascii="Times New Roman" w:eastAsia="Times New Roman" w:hAnsi="Times New Roman"/>
          <w:i/>
          <w:snapToGrid w:val="0"/>
        </w:rPr>
        <w:t> </w:t>
      </w:r>
      <w:r w:rsidRPr="00037DA8">
        <w:rPr>
          <w:rFonts w:ascii="Times New Roman" w:eastAsia="Times New Roman" w:hAnsi="Times New Roman"/>
          <w:i/>
          <w:snapToGrid w:val="0"/>
        </w:rPr>
        <w:t>etapas</w:t>
      </w:r>
    </w:p>
    <w:p w14:paraId="70E8FEEF" w14:textId="77777777" w:rsidR="00147E44" w:rsidRPr="00037DA8" w:rsidRDefault="00147E44" w:rsidP="00147E44">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Graduotu švirkštu </w:t>
      </w:r>
      <w:proofErr w:type="spellStart"/>
      <w:r w:rsidRPr="00037DA8">
        <w:rPr>
          <w:rFonts w:ascii="Times New Roman" w:eastAsia="Times New Roman" w:hAnsi="Times New Roman"/>
          <w:snapToGrid w:val="0"/>
        </w:rPr>
        <w:t>aseptinėmis</w:t>
      </w:r>
      <w:proofErr w:type="spellEnd"/>
      <w:r w:rsidRPr="00037DA8">
        <w:rPr>
          <w:rFonts w:ascii="Times New Roman" w:eastAsia="Times New Roman" w:hAnsi="Times New Roman"/>
          <w:snapToGrid w:val="0"/>
        </w:rPr>
        <w:t xml:space="preserve"> sąlygomis ištraukite reikiamą koncentrato kiekį (10</w:t>
      </w:r>
      <w:r w:rsidR="004B7C5B" w:rsidRPr="00037DA8">
        <w:rPr>
          <w:rFonts w:ascii="Times New Roman" w:eastAsia="Times New Roman" w:hAnsi="Times New Roman"/>
          <w:snapToGrid w:val="0"/>
        </w:rPr>
        <w:t> </w:t>
      </w:r>
      <w:r w:rsidRPr="00037DA8">
        <w:rPr>
          <w:rFonts w:ascii="Times New Roman" w:eastAsia="Times New Roman" w:hAnsi="Times New Roman"/>
          <w:snapToGrid w:val="0"/>
        </w:rPr>
        <w:t xml:space="preserve">mg/ml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Pavyzdžiui, 45</w:t>
      </w:r>
      <w:r w:rsidR="004B7C5B" w:rsidRPr="00037DA8">
        <w:rPr>
          <w:rFonts w:ascii="Times New Roman" w:eastAsia="Times New Roman" w:hAnsi="Times New Roman"/>
          <w:snapToGrid w:val="0"/>
        </w:rPr>
        <w:t> </w:t>
      </w:r>
      <w:r w:rsidRPr="00037DA8">
        <w:rPr>
          <w:rFonts w:ascii="Times New Roman" w:eastAsia="Times New Roman" w:hAnsi="Times New Roman"/>
          <w:snapToGrid w:val="0"/>
        </w:rPr>
        <w:t xml:space="preserve">mg </w:t>
      </w:r>
      <w:proofErr w:type="spellStart"/>
      <w:r w:rsidR="004B7C5B" w:rsidRPr="00037DA8">
        <w:rPr>
          <w:rFonts w:ascii="Times New Roman" w:eastAsia="Times New Roman" w:hAnsi="Times New Roman"/>
          <w:snapToGrid w:val="0"/>
        </w:rPr>
        <w:t>C</w:t>
      </w:r>
      <w:r w:rsidRPr="00037DA8">
        <w:rPr>
          <w:rFonts w:ascii="Times New Roman" w:eastAsia="Times New Roman" w:hAnsi="Times New Roman"/>
          <w:snapToGrid w:val="0"/>
        </w:rPr>
        <w:t>abazitaxel</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Sandoz</w:t>
      </w:r>
      <w:proofErr w:type="spellEnd"/>
      <w:r w:rsidRPr="00037DA8">
        <w:rPr>
          <w:rFonts w:ascii="Times New Roman" w:eastAsia="Times New Roman" w:hAnsi="Times New Roman"/>
          <w:snapToGrid w:val="0"/>
        </w:rPr>
        <w:t xml:space="preserve"> dozei reikia 4,5</w:t>
      </w:r>
      <w:r w:rsidR="004B7C5B" w:rsidRPr="00037DA8">
        <w:rPr>
          <w:rFonts w:ascii="Times New Roman" w:eastAsia="Times New Roman" w:hAnsi="Times New Roman"/>
          <w:snapToGrid w:val="0"/>
        </w:rPr>
        <w:t> </w:t>
      </w:r>
      <w:r w:rsidRPr="00037DA8">
        <w:rPr>
          <w:rFonts w:ascii="Times New Roman" w:eastAsia="Times New Roman" w:hAnsi="Times New Roman"/>
          <w:snapToGrid w:val="0"/>
        </w:rPr>
        <w:t>ml koncentrato.</w:t>
      </w:r>
    </w:p>
    <w:p w14:paraId="3589184D" w14:textId="77777777" w:rsidR="00147E44" w:rsidRPr="00037DA8" w:rsidRDefault="00147E44" w:rsidP="00147E44">
      <w:pPr>
        <w:spacing w:after="0" w:line="240" w:lineRule="auto"/>
        <w:rPr>
          <w:rFonts w:ascii="Times New Roman" w:eastAsia="Times New Roman" w:hAnsi="Times New Roman"/>
          <w:i/>
          <w:snapToGrid w:val="0"/>
        </w:rPr>
      </w:pPr>
    </w:p>
    <w:p w14:paraId="67761704" w14:textId="0236B3C8" w:rsidR="00147E44" w:rsidRPr="00037DA8" w:rsidRDefault="00147E44" w:rsidP="00147E44">
      <w:pPr>
        <w:spacing w:after="0" w:line="240" w:lineRule="auto"/>
        <w:rPr>
          <w:rFonts w:ascii="Times New Roman" w:eastAsia="Times New Roman" w:hAnsi="Times New Roman"/>
          <w:i/>
          <w:snapToGrid w:val="0"/>
        </w:rPr>
      </w:pPr>
      <w:r w:rsidRPr="00037DA8">
        <w:rPr>
          <w:rFonts w:ascii="Times New Roman" w:eastAsia="Times New Roman" w:hAnsi="Times New Roman"/>
          <w:i/>
          <w:snapToGrid w:val="0"/>
        </w:rPr>
        <w:t>2</w:t>
      </w:r>
      <w:r w:rsidR="003D5536">
        <w:rPr>
          <w:rFonts w:ascii="Times New Roman" w:eastAsia="Times New Roman" w:hAnsi="Times New Roman"/>
          <w:i/>
          <w:snapToGrid w:val="0"/>
        </w:rPr>
        <w:t> </w:t>
      </w:r>
      <w:r w:rsidRPr="00037DA8">
        <w:rPr>
          <w:rFonts w:ascii="Times New Roman" w:eastAsia="Times New Roman" w:hAnsi="Times New Roman"/>
          <w:i/>
          <w:snapToGrid w:val="0"/>
        </w:rPr>
        <w:t>etapas</w:t>
      </w:r>
    </w:p>
    <w:p w14:paraId="385DD483" w14:textId="00C0522B" w:rsidR="00EB0189" w:rsidRPr="0085406C" w:rsidRDefault="00AC1AE1" w:rsidP="00AC1AE1">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Koncentratą sušvirkškite į sterilią infuzinę </w:t>
      </w:r>
      <w:proofErr w:type="spellStart"/>
      <w:r w:rsidRPr="00037DA8">
        <w:rPr>
          <w:rFonts w:ascii="Times New Roman" w:eastAsia="Times New Roman" w:hAnsi="Times New Roman"/>
          <w:snapToGrid w:val="0"/>
        </w:rPr>
        <w:t>talpyklę</w:t>
      </w:r>
      <w:proofErr w:type="spellEnd"/>
      <w:r w:rsidRPr="00037DA8">
        <w:rPr>
          <w:rFonts w:ascii="Times New Roman" w:eastAsia="Times New Roman" w:hAnsi="Times New Roman"/>
          <w:snapToGrid w:val="0"/>
        </w:rPr>
        <w:t xml:space="preserve"> (jos sudėtyje negali būti PVC), kurioje yra 5</w:t>
      </w:r>
      <w:r w:rsidR="00401AAD">
        <w:rPr>
          <w:rFonts w:ascii="Times New Roman" w:eastAsia="Times New Roman" w:hAnsi="Times New Roman"/>
          <w:snapToGrid w:val="0"/>
        </w:rPr>
        <w:t> </w:t>
      </w:r>
      <w:r w:rsidRPr="00037DA8">
        <w:rPr>
          <w:rFonts w:ascii="Times New Roman" w:eastAsia="Times New Roman" w:hAnsi="Times New Roman"/>
          <w:snapToGrid w:val="0"/>
        </w:rPr>
        <w:t>% gliukozės tirpalo arba 9</w:t>
      </w:r>
      <w:r w:rsidR="004B7C5B" w:rsidRPr="00037DA8">
        <w:rPr>
          <w:rFonts w:ascii="Times New Roman" w:eastAsia="Times New Roman" w:hAnsi="Times New Roman"/>
          <w:snapToGrid w:val="0"/>
        </w:rPr>
        <w:t> </w:t>
      </w:r>
      <w:r w:rsidRPr="00037DA8">
        <w:rPr>
          <w:rFonts w:ascii="Times New Roman" w:eastAsia="Times New Roman" w:hAnsi="Times New Roman"/>
          <w:snapToGrid w:val="0"/>
        </w:rPr>
        <w:t>mg/ml (0,9</w:t>
      </w:r>
      <w:r w:rsidR="00401AAD">
        <w:rPr>
          <w:rFonts w:ascii="Times New Roman" w:eastAsia="Times New Roman" w:hAnsi="Times New Roman"/>
          <w:snapToGrid w:val="0"/>
        </w:rPr>
        <w:t> </w:t>
      </w:r>
      <w:r w:rsidRPr="00830259">
        <w:rPr>
          <w:rFonts w:ascii="Times New Roman" w:eastAsia="Times New Roman" w:hAnsi="Times New Roman"/>
          <w:snapToGrid w:val="0"/>
        </w:rPr>
        <w:t>%) natrio chlorido infuzinio tirpalo. I</w:t>
      </w:r>
      <w:r w:rsidRPr="00BC3E54">
        <w:rPr>
          <w:rFonts w:ascii="Times New Roman" w:eastAsia="Times New Roman" w:hAnsi="Times New Roman"/>
          <w:snapToGrid w:val="0"/>
        </w:rPr>
        <w:t>nfuzinio tirpalo koncentracija turi būti 0,10</w:t>
      </w:r>
      <w:r w:rsidR="00401AAD">
        <w:rPr>
          <w:rFonts w:ascii="Times New Roman" w:eastAsia="Times New Roman" w:hAnsi="Times New Roman"/>
          <w:snapToGrid w:val="0"/>
        </w:rPr>
        <w:noBreakHyphen/>
      </w:r>
      <w:r w:rsidRPr="00BC3E54">
        <w:rPr>
          <w:rFonts w:ascii="Times New Roman" w:eastAsia="Times New Roman" w:hAnsi="Times New Roman"/>
          <w:snapToGrid w:val="0"/>
        </w:rPr>
        <w:t>0,26 mg/ml.</w:t>
      </w:r>
    </w:p>
    <w:p w14:paraId="02AE7A30" w14:textId="77777777" w:rsidR="00EB0189" w:rsidRPr="004200DB" w:rsidRDefault="00EB0189" w:rsidP="00267DDB">
      <w:pPr>
        <w:spacing w:after="0" w:line="240" w:lineRule="auto"/>
        <w:rPr>
          <w:rFonts w:ascii="Times New Roman" w:eastAsia="Times New Roman" w:hAnsi="Times New Roman"/>
          <w:snapToGrid w:val="0"/>
        </w:rPr>
      </w:pPr>
    </w:p>
    <w:p w14:paraId="7A9239AF" w14:textId="079BBC5A" w:rsidR="00AC1AE1" w:rsidRPr="004200DB" w:rsidRDefault="00AC1AE1" w:rsidP="00AC1AE1">
      <w:pPr>
        <w:spacing w:after="0" w:line="240" w:lineRule="auto"/>
        <w:rPr>
          <w:rFonts w:ascii="Times New Roman" w:eastAsia="Times New Roman" w:hAnsi="Times New Roman"/>
          <w:i/>
          <w:snapToGrid w:val="0"/>
        </w:rPr>
      </w:pPr>
      <w:r w:rsidRPr="004200DB">
        <w:rPr>
          <w:rFonts w:ascii="Times New Roman" w:eastAsia="Times New Roman" w:hAnsi="Times New Roman"/>
          <w:i/>
          <w:snapToGrid w:val="0"/>
        </w:rPr>
        <w:t>3</w:t>
      </w:r>
      <w:r w:rsidR="003D5536">
        <w:rPr>
          <w:rFonts w:ascii="Times New Roman" w:eastAsia="Times New Roman" w:hAnsi="Times New Roman"/>
          <w:i/>
          <w:snapToGrid w:val="0"/>
        </w:rPr>
        <w:t> </w:t>
      </w:r>
      <w:r w:rsidRPr="004200DB">
        <w:rPr>
          <w:rFonts w:ascii="Times New Roman" w:eastAsia="Times New Roman" w:hAnsi="Times New Roman"/>
          <w:i/>
          <w:snapToGrid w:val="0"/>
        </w:rPr>
        <w:t>etapas</w:t>
      </w:r>
    </w:p>
    <w:p w14:paraId="56BBDBE5" w14:textId="77777777" w:rsidR="00EB0189" w:rsidRPr="00037DA8" w:rsidRDefault="00AC1AE1" w:rsidP="00AC1AE1">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Pašalinkite švirkštą ir infuzijos maišelio ar buteliuko turinį sumaišykite siūbuojant rankose.</w:t>
      </w:r>
    </w:p>
    <w:p w14:paraId="7FEFD18E" w14:textId="77777777" w:rsidR="00AC1AE1" w:rsidRPr="00037DA8" w:rsidRDefault="00AC1AE1" w:rsidP="00AC1AE1">
      <w:pPr>
        <w:spacing w:after="0" w:line="240" w:lineRule="auto"/>
        <w:rPr>
          <w:rFonts w:ascii="Times New Roman" w:eastAsia="Times New Roman" w:hAnsi="Times New Roman"/>
          <w:snapToGrid w:val="0"/>
        </w:rPr>
      </w:pPr>
    </w:p>
    <w:p w14:paraId="2E472DF9" w14:textId="7C95811E" w:rsidR="00AC1AE1" w:rsidRPr="00037DA8" w:rsidRDefault="00AC1AE1" w:rsidP="00AC1AE1">
      <w:pPr>
        <w:spacing w:after="0" w:line="240" w:lineRule="auto"/>
        <w:rPr>
          <w:rFonts w:ascii="Times New Roman" w:eastAsia="Times New Roman" w:hAnsi="Times New Roman"/>
          <w:i/>
          <w:snapToGrid w:val="0"/>
        </w:rPr>
      </w:pPr>
      <w:r w:rsidRPr="00037DA8">
        <w:rPr>
          <w:rFonts w:ascii="Times New Roman" w:eastAsia="Times New Roman" w:hAnsi="Times New Roman"/>
          <w:i/>
          <w:snapToGrid w:val="0"/>
        </w:rPr>
        <w:t>4</w:t>
      </w:r>
      <w:r w:rsidR="003D5536">
        <w:rPr>
          <w:rFonts w:ascii="Times New Roman" w:eastAsia="Times New Roman" w:hAnsi="Times New Roman"/>
          <w:i/>
          <w:snapToGrid w:val="0"/>
        </w:rPr>
        <w:t> </w:t>
      </w:r>
      <w:r w:rsidRPr="00037DA8">
        <w:rPr>
          <w:rFonts w:ascii="Times New Roman" w:eastAsia="Times New Roman" w:hAnsi="Times New Roman"/>
          <w:i/>
          <w:snapToGrid w:val="0"/>
        </w:rPr>
        <w:t>etapas</w:t>
      </w:r>
    </w:p>
    <w:p w14:paraId="7BBB66D2" w14:textId="77777777" w:rsidR="00AC1AE1" w:rsidRPr="00037DA8" w:rsidRDefault="00AC1AE1" w:rsidP="00AC1AE1">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Gautą infuzinį tirpalą, kaip ir bet kokį </w:t>
      </w:r>
      <w:proofErr w:type="spellStart"/>
      <w:r w:rsidRPr="00037DA8">
        <w:rPr>
          <w:rFonts w:ascii="Times New Roman" w:eastAsia="Times New Roman" w:hAnsi="Times New Roman"/>
          <w:snapToGrid w:val="0"/>
        </w:rPr>
        <w:t>parenteriniu</w:t>
      </w:r>
      <w:proofErr w:type="spellEnd"/>
      <w:r w:rsidRPr="00037DA8">
        <w:rPr>
          <w:rFonts w:ascii="Times New Roman" w:eastAsia="Times New Roman" w:hAnsi="Times New Roman"/>
          <w:snapToGrid w:val="0"/>
        </w:rPr>
        <w:t xml:space="preserve"> būdu vartojamą vaistinį preparatą, prieš vartojant būtina apžiūrėti. Kadangi infuzinis tirpalas yra labai įsotintas, laikui bėgant jis gali kristalizuotis. Tokiu atveju tirpal</w:t>
      </w:r>
      <w:r w:rsidR="00485CDA" w:rsidRPr="00037DA8">
        <w:rPr>
          <w:rFonts w:ascii="Times New Roman" w:eastAsia="Times New Roman" w:hAnsi="Times New Roman"/>
          <w:snapToGrid w:val="0"/>
        </w:rPr>
        <w:t>as turi būti nevartojamas ir turi būti sunaikintas.</w:t>
      </w:r>
    </w:p>
    <w:p w14:paraId="5F647D6C" w14:textId="77777777" w:rsidR="00AC1AE1" w:rsidRPr="00037DA8" w:rsidRDefault="00AC1AE1" w:rsidP="00AC1AE1">
      <w:pPr>
        <w:spacing w:after="0" w:line="240" w:lineRule="auto"/>
        <w:rPr>
          <w:rFonts w:ascii="Times New Roman" w:eastAsia="Times New Roman" w:hAnsi="Times New Roman"/>
          <w:snapToGrid w:val="0"/>
        </w:rPr>
      </w:pPr>
    </w:p>
    <w:p w14:paraId="2D2C913F" w14:textId="0E87441E" w:rsidR="00485CDA" w:rsidRPr="00037DA8" w:rsidRDefault="00485CDA" w:rsidP="00485CDA">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Infuzinį tirpalą būtina vartoti nedelsiant. Vis dėlto specifinėmis 6.3</w:t>
      </w:r>
      <w:r w:rsidR="003D5536">
        <w:rPr>
          <w:rFonts w:ascii="Times New Roman" w:eastAsia="Times New Roman" w:hAnsi="Times New Roman"/>
          <w:snapToGrid w:val="0"/>
        </w:rPr>
        <w:t> </w:t>
      </w:r>
      <w:r w:rsidRPr="00037DA8">
        <w:rPr>
          <w:rFonts w:ascii="Times New Roman" w:eastAsia="Times New Roman" w:hAnsi="Times New Roman"/>
          <w:snapToGrid w:val="0"/>
        </w:rPr>
        <w:t>skyriuje nurodytomis sąlygomis paruoštą tirpalą galima laikyti ilgiau.</w:t>
      </w:r>
    </w:p>
    <w:p w14:paraId="21CCDEC7" w14:textId="0C496A06" w:rsidR="00485CDA" w:rsidRPr="0085406C" w:rsidRDefault="0085406C" w:rsidP="00485CDA">
      <w:pPr>
        <w:spacing w:after="0" w:line="240" w:lineRule="auto"/>
        <w:rPr>
          <w:rFonts w:ascii="Times New Roman" w:eastAsia="Times New Roman" w:hAnsi="Times New Roman"/>
          <w:snapToGrid w:val="0"/>
        </w:rPr>
      </w:pPr>
      <w:r>
        <w:rPr>
          <w:rFonts w:ascii="Times New Roman" w:eastAsia="Times New Roman" w:hAnsi="Times New Roman"/>
          <w:snapToGrid w:val="0"/>
        </w:rPr>
        <w:t xml:space="preserve">Privaloma </w:t>
      </w:r>
      <w:r w:rsidR="00485CDA" w:rsidRPr="0085406C">
        <w:rPr>
          <w:rFonts w:ascii="Times New Roman" w:eastAsia="Times New Roman" w:hAnsi="Times New Roman"/>
          <w:snapToGrid w:val="0"/>
        </w:rPr>
        <w:t xml:space="preserve">naudoti </w:t>
      </w:r>
      <w:r w:rsidR="001110BC" w:rsidRPr="0085406C">
        <w:rPr>
          <w:rFonts w:ascii="Times New Roman" w:eastAsia="Times New Roman" w:hAnsi="Times New Roman"/>
          <w:snapToGrid w:val="0"/>
        </w:rPr>
        <w:t xml:space="preserve">infuzinės </w:t>
      </w:r>
      <w:r w:rsidR="00485CDA" w:rsidRPr="0085406C">
        <w:rPr>
          <w:rFonts w:ascii="Times New Roman" w:eastAsia="Times New Roman" w:hAnsi="Times New Roman"/>
          <w:snapToGrid w:val="0"/>
        </w:rPr>
        <w:t>sistemos vidinį 0,22</w:t>
      </w:r>
      <w:r w:rsidR="00401AAD">
        <w:rPr>
          <w:rFonts w:ascii="Times New Roman" w:eastAsia="Times New Roman" w:hAnsi="Times New Roman"/>
          <w:snapToGrid w:val="0"/>
        </w:rPr>
        <w:t> </w:t>
      </w:r>
      <w:r w:rsidR="00485CDA" w:rsidRPr="0085406C">
        <w:rPr>
          <w:rFonts w:ascii="Times New Roman" w:eastAsia="Times New Roman" w:hAnsi="Times New Roman"/>
          <w:snapToGrid w:val="0"/>
        </w:rPr>
        <w:t>mikrometro (dar vadinamą 0,2</w:t>
      </w:r>
      <w:r w:rsidR="00401AAD">
        <w:rPr>
          <w:rFonts w:ascii="Times New Roman" w:eastAsia="Times New Roman" w:hAnsi="Times New Roman"/>
          <w:snapToGrid w:val="0"/>
        </w:rPr>
        <w:t> </w:t>
      </w:r>
      <w:r w:rsidR="00485CDA" w:rsidRPr="0085406C">
        <w:rPr>
          <w:rFonts w:ascii="Times New Roman" w:eastAsia="Times New Roman" w:hAnsi="Times New Roman"/>
          <w:snapToGrid w:val="0"/>
        </w:rPr>
        <w:t>mikrometro) nominalaus porų dydžio filtrą.</w:t>
      </w:r>
    </w:p>
    <w:p w14:paraId="4B8B374F" w14:textId="77777777" w:rsidR="00485CDA" w:rsidRPr="004200DB" w:rsidRDefault="00485CDA" w:rsidP="00485CDA">
      <w:pPr>
        <w:spacing w:after="0" w:line="240" w:lineRule="auto"/>
        <w:rPr>
          <w:rFonts w:ascii="Times New Roman" w:eastAsia="Times New Roman" w:hAnsi="Times New Roman"/>
          <w:snapToGrid w:val="0"/>
        </w:rPr>
      </w:pPr>
    </w:p>
    <w:p w14:paraId="36D5A253" w14:textId="77777777" w:rsidR="00485CDA" w:rsidRPr="00037DA8" w:rsidRDefault="00485CDA" w:rsidP="00485CDA">
      <w:pPr>
        <w:spacing w:after="0" w:line="240" w:lineRule="auto"/>
        <w:rPr>
          <w:rFonts w:ascii="Times New Roman" w:eastAsia="Times New Roman" w:hAnsi="Times New Roman"/>
          <w:snapToGrid w:val="0"/>
        </w:rPr>
      </w:pPr>
      <w:r w:rsidRPr="004200DB">
        <w:rPr>
          <w:rFonts w:ascii="Times New Roman" w:eastAsia="Times New Roman" w:hAnsi="Times New Roman"/>
          <w:snapToGrid w:val="0"/>
        </w:rPr>
        <w:t xml:space="preserve">Ruošiant ir vartojant </w:t>
      </w:r>
      <w:proofErr w:type="spellStart"/>
      <w:r w:rsidR="004B7C5B" w:rsidRPr="00037DA8">
        <w:rPr>
          <w:rFonts w:ascii="Times New Roman" w:eastAsia="Times New Roman" w:hAnsi="Times New Roman"/>
          <w:snapToGrid w:val="0"/>
        </w:rPr>
        <w:t>C</w:t>
      </w:r>
      <w:r w:rsidRPr="00037DA8">
        <w:rPr>
          <w:rFonts w:ascii="Times New Roman" w:eastAsia="Times New Roman" w:hAnsi="Times New Roman"/>
          <w:snapToGrid w:val="0"/>
        </w:rPr>
        <w:t>abazitaxel</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Sandoz</w:t>
      </w:r>
      <w:proofErr w:type="spellEnd"/>
      <w:r w:rsidRPr="00037DA8">
        <w:rPr>
          <w:rFonts w:ascii="Times New Roman" w:eastAsia="Times New Roman" w:hAnsi="Times New Roman"/>
          <w:snapToGrid w:val="0"/>
        </w:rPr>
        <w:t xml:space="preserve">, negalima naudoti PVC infuzinių </w:t>
      </w:r>
      <w:proofErr w:type="spellStart"/>
      <w:r w:rsidRPr="00037DA8">
        <w:rPr>
          <w:rFonts w:ascii="Times New Roman" w:eastAsia="Times New Roman" w:hAnsi="Times New Roman"/>
          <w:snapToGrid w:val="0"/>
        </w:rPr>
        <w:t>talpyklių</w:t>
      </w:r>
      <w:proofErr w:type="spellEnd"/>
      <w:r w:rsidRPr="00037DA8">
        <w:rPr>
          <w:rFonts w:ascii="Times New Roman" w:eastAsia="Times New Roman" w:hAnsi="Times New Roman"/>
          <w:snapToGrid w:val="0"/>
        </w:rPr>
        <w:t xml:space="preserve"> arba poliuretano infuzinių komplektų.</w:t>
      </w:r>
    </w:p>
    <w:p w14:paraId="3CC10EB6" w14:textId="77777777" w:rsidR="00485CDA" w:rsidRPr="00037DA8" w:rsidRDefault="00485CDA" w:rsidP="00485CDA">
      <w:pPr>
        <w:spacing w:after="0" w:line="240" w:lineRule="auto"/>
        <w:rPr>
          <w:rFonts w:ascii="Times New Roman" w:eastAsia="Times New Roman" w:hAnsi="Times New Roman"/>
          <w:snapToGrid w:val="0"/>
        </w:rPr>
      </w:pPr>
    </w:p>
    <w:p w14:paraId="555E3DAC" w14:textId="77777777" w:rsidR="00485CDA" w:rsidRPr="00037DA8" w:rsidRDefault="004B7C5B" w:rsidP="00485CDA">
      <w:pPr>
        <w:spacing w:after="0" w:line="240" w:lineRule="auto"/>
        <w:rPr>
          <w:rFonts w:ascii="Times New Roman" w:eastAsia="Times New Roman" w:hAnsi="Times New Roman"/>
          <w:snapToGrid w:val="0"/>
        </w:rPr>
      </w:pPr>
      <w:proofErr w:type="spellStart"/>
      <w:r w:rsidRPr="00037DA8">
        <w:rPr>
          <w:rFonts w:ascii="Times New Roman" w:eastAsia="Times New Roman" w:hAnsi="Times New Roman"/>
          <w:snapToGrid w:val="0"/>
        </w:rPr>
        <w:t>C</w:t>
      </w:r>
      <w:r w:rsidR="00485CDA" w:rsidRPr="00037DA8">
        <w:rPr>
          <w:rFonts w:ascii="Times New Roman" w:eastAsia="Times New Roman" w:hAnsi="Times New Roman"/>
          <w:snapToGrid w:val="0"/>
        </w:rPr>
        <w:t>abazitaxel</w:t>
      </w:r>
      <w:proofErr w:type="spellEnd"/>
      <w:r w:rsidR="00485CDA" w:rsidRPr="00037DA8">
        <w:rPr>
          <w:rFonts w:ascii="Times New Roman" w:eastAsia="Times New Roman" w:hAnsi="Times New Roman"/>
          <w:snapToGrid w:val="0"/>
        </w:rPr>
        <w:t xml:space="preserve"> </w:t>
      </w:r>
      <w:proofErr w:type="spellStart"/>
      <w:r w:rsidR="00485CDA" w:rsidRPr="00037DA8">
        <w:rPr>
          <w:rFonts w:ascii="Times New Roman" w:eastAsia="Times New Roman" w:hAnsi="Times New Roman"/>
          <w:snapToGrid w:val="0"/>
        </w:rPr>
        <w:t>Sandoz</w:t>
      </w:r>
      <w:proofErr w:type="spellEnd"/>
      <w:r w:rsidR="00485CDA" w:rsidRPr="00037DA8">
        <w:rPr>
          <w:rFonts w:ascii="Times New Roman" w:eastAsia="Times New Roman" w:hAnsi="Times New Roman"/>
          <w:snapToGrid w:val="0"/>
        </w:rPr>
        <w:t xml:space="preserve"> negalima maišyti su kitais vaistiniais preparatais, išskyrus išvardytus aukščiau.</w:t>
      </w:r>
    </w:p>
    <w:p w14:paraId="1B70DC5C" w14:textId="77777777" w:rsidR="00485CDA" w:rsidRPr="00037DA8" w:rsidRDefault="00485CDA" w:rsidP="00485CDA">
      <w:pPr>
        <w:spacing w:after="0" w:line="240" w:lineRule="auto"/>
        <w:rPr>
          <w:rFonts w:ascii="Times New Roman" w:eastAsia="Times New Roman" w:hAnsi="Times New Roman"/>
          <w:snapToGrid w:val="0"/>
        </w:rPr>
      </w:pPr>
    </w:p>
    <w:p w14:paraId="53C265F9" w14:textId="77777777" w:rsidR="00EB0189" w:rsidRPr="00037DA8" w:rsidRDefault="00485CDA" w:rsidP="00267DDB">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Nesuvartotą vaistinį preparatą ar atliekas reikia tvarkyti laikantis vietinių reikalavimų.</w:t>
      </w:r>
    </w:p>
    <w:p w14:paraId="63CEF645" w14:textId="77777777" w:rsidR="00267DDB" w:rsidRPr="00074768" w:rsidRDefault="00267DDB" w:rsidP="00267DDB">
      <w:pPr>
        <w:widowControl w:val="0"/>
        <w:autoSpaceDE w:val="0"/>
        <w:autoSpaceDN w:val="0"/>
        <w:adjustRightInd w:val="0"/>
        <w:spacing w:after="0" w:line="240" w:lineRule="auto"/>
        <w:rPr>
          <w:rFonts w:ascii="Times New Roman" w:eastAsia="Times New Roman" w:hAnsi="Times New Roman"/>
          <w:snapToGrid w:val="0"/>
        </w:rPr>
      </w:pPr>
    </w:p>
    <w:p w14:paraId="15CA95BA" w14:textId="77777777" w:rsidR="00267DDB" w:rsidRPr="00074768" w:rsidRDefault="00267DDB" w:rsidP="00267DDB">
      <w:pPr>
        <w:widowControl w:val="0"/>
        <w:autoSpaceDE w:val="0"/>
        <w:autoSpaceDN w:val="0"/>
        <w:adjustRightInd w:val="0"/>
        <w:spacing w:after="0" w:line="240" w:lineRule="auto"/>
        <w:rPr>
          <w:rFonts w:ascii="Times New Roman" w:eastAsia="Times New Roman" w:hAnsi="Times New Roman"/>
          <w:snapToGrid w:val="0"/>
        </w:rPr>
      </w:pPr>
    </w:p>
    <w:p w14:paraId="17DEC030" w14:textId="77777777" w:rsidR="00267DDB" w:rsidRPr="00074768" w:rsidRDefault="00267DDB" w:rsidP="00267DDB">
      <w:pPr>
        <w:keepNext/>
        <w:keepLines/>
        <w:tabs>
          <w:tab w:val="left" w:pos="567"/>
        </w:tabs>
        <w:spacing w:after="0" w:line="240" w:lineRule="auto"/>
        <w:outlineLvl w:val="2"/>
        <w:rPr>
          <w:rFonts w:ascii="Times New Roman" w:eastAsia="Times New Roman" w:hAnsi="Times New Roman"/>
          <w:b/>
          <w:bCs/>
          <w:snapToGrid w:val="0"/>
          <w:lang w:eastAsia="x-none"/>
        </w:rPr>
      </w:pPr>
      <w:r w:rsidRPr="00074768">
        <w:rPr>
          <w:rFonts w:ascii="Times New Roman" w:eastAsia="Times New Roman" w:hAnsi="Times New Roman"/>
          <w:b/>
          <w:bCs/>
          <w:snapToGrid w:val="0"/>
          <w:lang w:eastAsia="x-none"/>
        </w:rPr>
        <w:t>7.</w:t>
      </w:r>
      <w:r w:rsidRPr="00074768">
        <w:rPr>
          <w:rFonts w:ascii="Times New Roman" w:eastAsia="Times New Roman" w:hAnsi="Times New Roman"/>
          <w:b/>
          <w:bCs/>
          <w:snapToGrid w:val="0"/>
          <w:lang w:eastAsia="x-none"/>
        </w:rPr>
        <w:tab/>
        <w:t>REGISTRUOTOJAS</w:t>
      </w:r>
    </w:p>
    <w:p w14:paraId="577FAD14" w14:textId="77777777" w:rsidR="00267DDB" w:rsidRPr="00074768" w:rsidRDefault="00267DDB" w:rsidP="00267DDB">
      <w:pPr>
        <w:spacing w:after="0" w:line="240" w:lineRule="auto"/>
        <w:rPr>
          <w:rFonts w:ascii="Times New Roman" w:eastAsia="Times New Roman" w:hAnsi="Times New Roman"/>
          <w:snapToGrid w:val="0"/>
        </w:rPr>
      </w:pPr>
    </w:p>
    <w:p w14:paraId="581FC895" w14:textId="77777777" w:rsidR="009670FD" w:rsidRPr="00074768" w:rsidRDefault="009670FD" w:rsidP="009670FD">
      <w:pPr>
        <w:tabs>
          <w:tab w:val="left" w:pos="425"/>
          <w:tab w:val="left" w:pos="567"/>
        </w:tabs>
        <w:suppressAutoHyphens/>
        <w:spacing w:after="0" w:line="240" w:lineRule="auto"/>
        <w:rPr>
          <w:rFonts w:ascii="Times New Roman" w:eastAsia="Times New Roman" w:hAnsi="Times New Roman"/>
          <w:color w:val="000000"/>
          <w:lang w:eastAsia="ar-SA"/>
        </w:rPr>
      </w:pPr>
      <w:proofErr w:type="spellStart"/>
      <w:r w:rsidRPr="00074768">
        <w:rPr>
          <w:rFonts w:ascii="Times New Roman" w:eastAsia="Times New Roman" w:hAnsi="Times New Roman"/>
          <w:color w:val="000000"/>
          <w:lang w:eastAsia="ar-SA"/>
        </w:rPr>
        <w:t>Sandoz</w:t>
      </w:r>
      <w:proofErr w:type="spellEnd"/>
      <w:r w:rsidRPr="00074768">
        <w:rPr>
          <w:rFonts w:ascii="Times New Roman" w:eastAsia="Times New Roman" w:hAnsi="Times New Roman"/>
          <w:color w:val="000000"/>
          <w:lang w:eastAsia="ar-SA"/>
        </w:rPr>
        <w:t xml:space="preserve"> </w:t>
      </w:r>
      <w:proofErr w:type="spellStart"/>
      <w:r w:rsidRPr="00074768">
        <w:rPr>
          <w:rFonts w:ascii="Times New Roman" w:eastAsia="Times New Roman" w:hAnsi="Times New Roman"/>
          <w:color w:val="000000"/>
          <w:lang w:eastAsia="ar-SA"/>
        </w:rPr>
        <w:t>d.d</w:t>
      </w:r>
      <w:proofErr w:type="spellEnd"/>
      <w:r w:rsidRPr="00074768">
        <w:rPr>
          <w:rFonts w:ascii="Times New Roman" w:eastAsia="Times New Roman" w:hAnsi="Times New Roman"/>
          <w:color w:val="000000"/>
          <w:lang w:eastAsia="ar-SA"/>
        </w:rPr>
        <w:t>.</w:t>
      </w:r>
    </w:p>
    <w:p w14:paraId="565EE0AE" w14:textId="77777777" w:rsidR="009670FD" w:rsidRPr="00074768" w:rsidRDefault="009670FD" w:rsidP="009670FD">
      <w:pPr>
        <w:tabs>
          <w:tab w:val="left" w:pos="425"/>
          <w:tab w:val="left" w:pos="567"/>
        </w:tabs>
        <w:suppressAutoHyphens/>
        <w:spacing w:after="0" w:line="240" w:lineRule="auto"/>
        <w:rPr>
          <w:rFonts w:ascii="Times New Roman" w:eastAsia="Times New Roman" w:hAnsi="Times New Roman"/>
          <w:color w:val="000000"/>
          <w:lang w:eastAsia="ar-SA"/>
        </w:rPr>
      </w:pPr>
      <w:proofErr w:type="spellStart"/>
      <w:r w:rsidRPr="00074768">
        <w:rPr>
          <w:rFonts w:ascii="Times New Roman" w:eastAsia="Times New Roman" w:hAnsi="Times New Roman"/>
          <w:color w:val="000000"/>
          <w:lang w:eastAsia="ar-SA"/>
        </w:rPr>
        <w:t>Verovškova</w:t>
      </w:r>
      <w:proofErr w:type="spellEnd"/>
      <w:r w:rsidRPr="00074768">
        <w:rPr>
          <w:rFonts w:ascii="Times New Roman" w:eastAsia="Times New Roman" w:hAnsi="Times New Roman"/>
          <w:color w:val="000000"/>
          <w:lang w:eastAsia="ar-SA"/>
        </w:rPr>
        <w:t xml:space="preserve"> 57</w:t>
      </w:r>
    </w:p>
    <w:p w14:paraId="10DE6A46" w14:textId="77777777" w:rsidR="009670FD" w:rsidRPr="00074768" w:rsidRDefault="009670FD" w:rsidP="009670FD">
      <w:pPr>
        <w:tabs>
          <w:tab w:val="left" w:pos="425"/>
          <w:tab w:val="left" w:pos="567"/>
        </w:tabs>
        <w:suppressAutoHyphens/>
        <w:spacing w:after="0" w:line="240" w:lineRule="auto"/>
        <w:rPr>
          <w:rFonts w:ascii="Times New Roman" w:eastAsia="Times New Roman" w:hAnsi="Times New Roman"/>
          <w:color w:val="000000"/>
          <w:lang w:eastAsia="ar-SA"/>
        </w:rPr>
      </w:pPr>
      <w:r w:rsidRPr="00074768">
        <w:rPr>
          <w:rFonts w:ascii="Times New Roman" w:eastAsia="Times New Roman" w:hAnsi="Times New Roman"/>
          <w:color w:val="000000"/>
          <w:lang w:eastAsia="ar-SA"/>
        </w:rPr>
        <w:t xml:space="preserve">SI-1000 </w:t>
      </w:r>
      <w:proofErr w:type="spellStart"/>
      <w:r w:rsidRPr="00074768">
        <w:rPr>
          <w:rFonts w:ascii="Times New Roman" w:eastAsia="Times New Roman" w:hAnsi="Times New Roman"/>
          <w:color w:val="000000"/>
          <w:lang w:eastAsia="ar-SA"/>
        </w:rPr>
        <w:t>Ljubljana</w:t>
      </w:r>
      <w:proofErr w:type="spellEnd"/>
    </w:p>
    <w:p w14:paraId="3F9FCAF5" w14:textId="77777777" w:rsidR="009670FD" w:rsidRPr="00074768" w:rsidRDefault="009670FD" w:rsidP="009670FD">
      <w:pPr>
        <w:tabs>
          <w:tab w:val="left" w:pos="425"/>
          <w:tab w:val="left" w:pos="567"/>
        </w:tabs>
        <w:suppressAutoHyphens/>
        <w:spacing w:after="0" w:line="240" w:lineRule="auto"/>
        <w:rPr>
          <w:rFonts w:ascii="Times New Roman" w:eastAsia="SimSun" w:hAnsi="Times New Roman"/>
          <w:color w:val="000000"/>
          <w:lang w:eastAsia="ar-SA"/>
        </w:rPr>
      </w:pPr>
      <w:r w:rsidRPr="00074768">
        <w:rPr>
          <w:rFonts w:ascii="Times New Roman" w:eastAsia="Times New Roman" w:hAnsi="Times New Roman"/>
          <w:color w:val="000000"/>
          <w:lang w:eastAsia="ar-SA"/>
        </w:rPr>
        <w:t>Slovėnija</w:t>
      </w:r>
    </w:p>
    <w:p w14:paraId="7039F670" w14:textId="77777777" w:rsidR="00267DDB" w:rsidRPr="00074768" w:rsidRDefault="00267DDB" w:rsidP="00267DDB">
      <w:pPr>
        <w:spacing w:after="0" w:line="240" w:lineRule="auto"/>
        <w:rPr>
          <w:rFonts w:ascii="Times New Roman" w:eastAsia="Times New Roman" w:hAnsi="Times New Roman"/>
          <w:snapToGrid w:val="0"/>
        </w:rPr>
      </w:pPr>
    </w:p>
    <w:p w14:paraId="7AB013EE" w14:textId="77777777" w:rsidR="00267DDB" w:rsidRPr="00074768" w:rsidRDefault="00267DDB" w:rsidP="00267DDB">
      <w:pPr>
        <w:spacing w:after="0" w:line="240" w:lineRule="auto"/>
        <w:rPr>
          <w:rFonts w:ascii="Times New Roman" w:eastAsia="Times New Roman" w:hAnsi="Times New Roman"/>
          <w:snapToGrid w:val="0"/>
        </w:rPr>
      </w:pPr>
    </w:p>
    <w:p w14:paraId="4FF98B5E" w14:textId="77777777" w:rsidR="00267DDB" w:rsidRPr="00074768" w:rsidRDefault="00267DDB" w:rsidP="00267DDB">
      <w:pPr>
        <w:keepNext/>
        <w:keepLines/>
        <w:tabs>
          <w:tab w:val="left" w:pos="567"/>
        </w:tabs>
        <w:spacing w:after="0" w:line="240" w:lineRule="auto"/>
        <w:outlineLvl w:val="2"/>
        <w:rPr>
          <w:rFonts w:ascii="Times New Roman" w:eastAsia="Times New Roman" w:hAnsi="Times New Roman"/>
          <w:b/>
          <w:bCs/>
          <w:snapToGrid w:val="0"/>
          <w:lang w:eastAsia="x-none"/>
        </w:rPr>
      </w:pPr>
      <w:r w:rsidRPr="00074768">
        <w:rPr>
          <w:rFonts w:ascii="Times New Roman" w:eastAsia="Times New Roman" w:hAnsi="Times New Roman"/>
          <w:b/>
          <w:bCs/>
          <w:snapToGrid w:val="0"/>
          <w:lang w:eastAsia="x-none"/>
        </w:rPr>
        <w:t>8.</w:t>
      </w:r>
      <w:r w:rsidRPr="00074768">
        <w:rPr>
          <w:rFonts w:ascii="Times New Roman" w:eastAsia="Times New Roman" w:hAnsi="Times New Roman"/>
          <w:b/>
          <w:bCs/>
          <w:snapToGrid w:val="0"/>
          <w:lang w:eastAsia="x-none"/>
        </w:rPr>
        <w:tab/>
        <w:t xml:space="preserve">REGISTRACIJOS </w:t>
      </w:r>
      <w:r w:rsidRPr="00074768">
        <w:rPr>
          <w:rFonts w:ascii="Times New Roman" w:eastAsia="Times New Roman" w:hAnsi="Times New Roman"/>
          <w:b/>
          <w:bCs/>
          <w:noProof/>
          <w:snapToGrid w:val="0"/>
          <w:lang w:eastAsia="x-none"/>
        </w:rPr>
        <w:t>PAŽYMĖJIMO</w:t>
      </w:r>
      <w:r w:rsidRPr="00074768">
        <w:rPr>
          <w:rFonts w:ascii="Times New Roman" w:eastAsia="Times New Roman" w:hAnsi="Times New Roman"/>
          <w:b/>
          <w:bCs/>
          <w:snapToGrid w:val="0"/>
          <w:lang w:eastAsia="x-none"/>
        </w:rPr>
        <w:t xml:space="preserve"> NUMERIS (-IAI) </w:t>
      </w:r>
    </w:p>
    <w:p w14:paraId="2C25C3FA" w14:textId="174F2C08" w:rsidR="001E6DB4" w:rsidRPr="00A1477B" w:rsidRDefault="001E6DB4" w:rsidP="001E6DB4">
      <w:pPr>
        <w:pStyle w:val="Betarp1"/>
        <w:spacing w:before="120"/>
        <w:rPr>
          <w:rFonts w:ascii="Times New Roman" w:hAnsi="Times New Roman"/>
          <w:lang w:val="de-DE"/>
        </w:rPr>
      </w:pPr>
      <w:r w:rsidRPr="00A1477B">
        <w:rPr>
          <w:rFonts w:ascii="Times New Roman" w:hAnsi="Times New Roman"/>
          <w:lang w:val="de-DE"/>
        </w:rPr>
        <w:t>LT/1/20/4630/001 –</w:t>
      </w:r>
      <w:r w:rsidR="00582BD8" w:rsidRPr="00A1477B">
        <w:rPr>
          <w:rFonts w:ascii="Times New Roman" w:hAnsi="Times New Roman"/>
          <w:lang w:val="de-DE"/>
        </w:rPr>
        <w:t xml:space="preserve"> </w:t>
      </w:r>
      <w:r w:rsidRPr="00A1477B">
        <w:rPr>
          <w:rFonts w:ascii="Times New Roman" w:hAnsi="Times New Roman"/>
          <w:lang w:val="de-DE"/>
        </w:rPr>
        <w:t xml:space="preserve">4,5 ml N1  </w:t>
      </w:r>
    </w:p>
    <w:p w14:paraId="3FDC276F" w14:textId="5B0A0A8F" w:rsidR="001E6DB4" w:rsidRPr="00A1477B" w:rsidRDefault="001E6DB4" w:rsidP="001E6DB4">
      <w:pPr>
        <w:pStyle w:val="Betarp1"/>
        <w:rPr>
          <w:rFonts w:ascii="Times New Roman" w:hAnsi="Times New Roman"/>
          <w:lang w:val="de-DE"/>
        </w:rPr>
      </w:pPr>
      <w:r w:rsidRPr="00A1477B">
        <w:rPr>
          <w:rFonts w:ascii="Times New Roman" w:hAnsi="Times New Roman"/>
          <w:lang w:val="de-DE"/>
        </w:rPr>
        <w:t>LT/1/20/4630/002 –</w:t>
      </w:r>
      <w:r w:rsidR="00582BD8" w:rsidRPr="00A1477B">
        <w:rPr>
          <w:rFonts w:ascii="Times New Roman" w:hAnsi="Times New Roman"/>
          <w:lang w:val="de-DE"/>
        </w:rPr>
        <w:t xml:space="preserve"> </w:t>
      </w:r>
      <w:r w:rsidRPr="00A1477B">
        <w:rPr>
          <w:rFonts w:ascii="Times New Roman" w:hAnsi="Times New Roman"/>
          <w:lang w:val="de-DE"/>
        </w:rPr>
        <w:t>4,5 ml N5</w:t>
      </w:r>
    </w:p>
    <w:p w14:paraId="7BE1B073" w14:textId="29EA528C" w:rsidR="001E6DB4" w:rsidRPr="00A1477B" w:rsidRDefault="001E6DB4" w:rsidP="001E6DB4">
      <w:pPr>
        <w:pStyle w:val="Betarp1"/>
        <w:rPr>
          <w:rFonts w:ascii="Times New Roman" w:hAnsi="Times New Roman"/>
          <w:lang w:val="de-DE"/>
        </w:rPr>
      </w:pPr>
      <w:r w:rsidRPr="00A1477B">
        <w:rPr>
          <w:rFonts w:ascii="Times New Roman" w:hAnsi="Times New Roman"/>
          <w:lang w:val="de-DE"/>
        </w:rPr>
        <w:t>LT/1/20/4630/003 –</w:t>
      </w:r>
      <w:r w:rsidR="00582BD8" w:rsidRPr="00A1477B">
        <w:rPr>
          <w:rFonts w:ascii="Times New Roman" w:hAnsi="Times New Roman"/>
          <w:lang w:val="de-DE"/>
        </w:rPr>
        <w:t xml:space="preserve"> </w:t>
      </w:r>
      <w:r w:rsidRPr="00A1477B">
        <w:rPr>
          <w:rFonts w:ascii="Times New Roman" w:hAnsi="Times New Roman"/>
          <w:lang w:val="de-DE"/>
        </w:rPr>
        <w:t>6 ml N1</w:t>
      </w:r>
    </w:p>
    <w:p w14:paraId="2B4F79EE" w14:textId="390C886B" w:rsidR="001E6DB4" w:rsidRPr="00074768" w:rsidRDefault="001E6DB4" w:rsidP="001E6DB4">
      <w:pPr>
        <w:spacing w:after="0" w:line="240" w:lineRule="auto"/>
        <w:rPr>
          <w:rFonts w:ascii="Times New Roman" w:eastAsia="Times New Roman" w:hAnsi="Times New Roman"/>
          <w:snapToGrid w:val="0"/>
        </w:rPr>
      </w:pPr>
      <w:r w:rsidRPr="0096780E">
        <w:rPr>
          <w:rFonts w:ascii="Times New Roman" w:hAnsi="Times New Roman"/>
        </w:rPr>
        <w:t>LT/1/20/</w:t>
      </w:r>
      <w:r w:rsidRPr="0096780E">
        <w:rPr>
          <w:rFonts w:ascii="Times New Roman" w:hAnsi="Times New Roman"/>
          <w:bCs/>
        </w:rPr>
        <w:t>4630/004 –</w:t>
      </w:r>
      <w:r w:rsidR="00582BD8">
        <w:rPr>
          <w:rFonts w:ascii="Times New Roman" w:hAnsi="Times New Roman"/>
          <w:bCs/>
        </w:rPr>
        <w:t xml:space="preserve"> </w:t>
      </w:r>
      <w:r w:rsidRPr="0096780E">
        <w:rPr>
          <w:rFonts w:ascii="Times New Roman" w:eastAsia="Times New Roman" w:hAnsi="Times New Roman"/>
          <w:snapToGrid w:val="0"/>
        </w:rPr>
        <w:t>6 ml N5</w:t>
      </w:r>
    </w:p>
    <w:p w14:paraId="32108E68" w14:textId="70783D29" w:rsidR="00267DDB" w:rsidRDefault="00267DDB" w:rsidP="00267DDB">
      <w:pPr>
        <w:spacing w:after="0" w:line="240" w:lineRule="auto"/>
        <w:rPr>
          <w:rFonts w:ascii="Times New Roman" w:eastAsia="Times New Roman" w:hAnsi="Times New Roman"/>
          <w:snapToGrid w:val="0"/>
        </w:rPr>
      </w:pPr>
    </w:p>
    <w:p w14:paraId="4FCF4CE6" w14:textId="77777777" w:rsidR="001E6DB4" w:rsidRPr="00074768" w:rsidRDefault="001E6DB4" w:rsidP="00267DDB">
      <w:pPr>
        <w:spacing w:after="0" w:line="240" w:lineRule="auto"/>
        <w:rPr>
          <w:rFonts w:ascii="Times New Roman" w:eastAsia="Times New Roman" w:hAnsi="Times New Roman"/>
          <w:snapToGrid w:val="0"/>
        </w:rPr>
      </w:pPr>
    </w:p>
    <w:p w14:paraId="4033FCC7" w14:textId="77777777" w:rsidR="00267DDB" w:rsidRPr="00074768" w:rsidRDefault="00267DDB" w:rsidP="00267DDB">
      <w:pPr>
        <w:keepNext/>
        <w:keepLines/>
        <w:tabs>
          <w:tab w:val="left" w:pos="567"/>
        </w:tabs>
        <w:spacing w:after="0" w:line="240" w:lineRule="auto"/>
        <w:outlineLvl w:val="2"/>
        <w:rPr>
          <w:rFonts w:ascii="Times New Roman" w:eastAsia="Times New Roman" w:hAnsi="Times New Roman"/>
          <w:b/>
          <w:bCs/>
          <w:snapToGrid w:val="0"/>
          <w:lang w:eastAsia="x-none"/>
        </w:rPr>
      </w:pPr>
      <w:r w:rsidRPr="00074768">
        <w:rPr>
          <w:rFonts w:ascii="Times New Roman" w:eastAsia="Times New Roman" w:hAnsi="Times New Roman"/>
          <w:b/>
          <w:bCs/>
          <w:snapToGrid w:val="0"/>
          <w:lang w:eastAsia="x-none"/>
        </w:rPr>
        <w:t>9.</w:t>
      </w:r>
      <w:r w:rsidRPr="00074768">
        <w:rPr>
          <w:rFonts w:ascii="Times New Roman" w:eastAsia="Times New Roman" w:hAnsi="Times New Roman"/>
          <w:b/>
          <w:bCs/>
          <w:snapToGrid w:val="0"/>
          <w:lang w:eastAsia="x-none"/>
        </w:rPr>
        <w:tab/>
        <w:t>REGISTRAVIMO / PERREGISTRAVIMO DATA</w:t>
      </w:r>
    </w:p>
    <w:p w14:paraId="257545B2" w14:textId="77777777" w:rsidR="00267DDB" w:rsidRPr="00074768" w:rsidRDefault="00267DDB" w:rsidP="00267DDB">
      <w:pPr>
        <w:spacing w:after="0" w:line="240" w:lineRule="auto"/>
        <w:rPr>
          <w:rFonts w:ascii="Times New Roman" w:eastAsia="Times New Roman" w:hAnsi="Times New Roman"/>
          <w:snapToGrid w:val="0"/>
        </w:rPr>
      </w:pPr>
    </w:p>
    <w:p w14:paraId="1EFF8A9E" w14:textId="62345364" w:rsidR="00267DDB" w:rsidRPr="0085406C" w:rsidRDefault="00267DDB" w:rsidP="00267DDB">
      <w:pPr>
        <w:tabs>
          <w:tab w:val="left" w:pos="567"/>
        </w:tabs>
        <w:spacing w:after="0" w:line="240" w:lineRule="auto"/>
        <w:rPr>
          <w:rFonts w:ascii="Times New Roman" w:eastAsia="Times New Roman" w:hAnsi="Times New Roman"/>
        </w:rPr>
      </w:pPr>
      <w:r w:rsidRPr="0085406C">
        <w:rPr>
          <w:rFonts w:ascii="Times New Roman" w:eastAsia="Times New Roman" w:hAnsi="Times New Roman"/>
          <w:snapToGrid w:val="0"/>
          <w:lang w:eastAsia="sl-SI"/>
        </w:rPr>
        <w:t xml:space="preserve">Registravimo data </w:t>
      </w:r>
      <w:r w:rsidR="001E6DB4">
        <w:rPr>
          <w:rFonts w:ascii="Times New Roman" w:eastAsia="Times New Roman" w:hAnsi="Times New Roman"/>
          <w:snapToGrid w:val="0"/>
          <w:lang w:eastAsia="sl-SI"/>
        </w:rPr>
        <w:t>2020</w:t>
      </w:r>
      <w:r w:rsidR="00401AAD">
        <w:rPr>
          <w:rFonts w:ascii="Times New Roman" w:eastAsia="Times New Roman" w:hAnsi="Times New Roman"/>
          <w:snapToGrid w:val="0"/>
          <w:lang w:eastAsia="sl-SI"/>
        </w:rPr>
        <w:t> </w:t>
      </w:r>
      <w:r w:rsidR="001E6DB4">
        <w:rPr>
          <w:rFonts w:ascii="Times New Roman" w:eastAsia="Times New Roman" w:hAnsi="Times New Roman"/>
          <w:snapToGrid w:val="0"/>
          <w:lang w:eastAsia="sl-SI"/>
        </w:rPr>
        <w:t>m. spalio 23</w:t>
      </w:r>
      <w:r w:rsidR="00401AAD">
        <w:rPr>
          <w:rFonts w:ascii="Times New Roman" w:eastAsia="Times New Roman" w:hAnsi="Times New Roman"/>
          <w:snapToGrid w:val="0"/>
          <w:lang w:eastAsia="sl-SI"/>
        </w:rPr>
        <w:t> </w:t>
      </w:r>
      <w:r w:rsidR="001E6DB4">
        <w:rPr>
          <w:rFonts w:ascii="Times New Roman" w:eastAsia="Times New Roman" w:hAnsi="Times New Roman"/>
          <w:snapToGrid w:val="0"/>
          <w:lang w:eastAsia="sl-SI"/>
        </w:rPr>
        <w:t>d.</w:t>
      </w:r>
    </w:p>
    <w:p w14:paraId="4C7597C7" w14:textId="2F9CBB05" w:rsidR="00267DDB" w:rsidRPr="00074768" w:rsidRDefault="00B34310" w:rsidP="00267DDB">
      <w:pPr>
        <w:spacing w:after="0" w:line="240" w:lineRule="auto"/>
        <w:rPr>
          <w:rFonts w:ascii="Times New Roman" w:eastAsia="Times New Roman" w:hAnsi="Times New Roman"/>
          <w:snapToGrid w:val="0"/>
        </w:rPr>
      </w:pPr>
      <w:r>
        <w:rPr>
          <w:rFonts w:ascii="Times New Roman" w:eastAsia="Times New Roman" w:hAnsi="Times New Roman"/>
          <w:snapToGrid w:val="0"/>
        </w:rPr>
        <w:t xml:space="preserve">Paskutinio perregistravimo data </w:t>
      </w:r>
      <w:r w:rsidR="007523B2">
        <w:rPr>
          <w:rFonts w:ascii="Times New Roman" w:eastAsia="Times New Roman" w:hAnsi="Times New Roman"/>
          <w:snapToGrid w:val="0"/>
        </w:rPr>
        <w:t>2024 m. lapkričio 21 d.</w:t>
      </w:r>
    </w:p>
    <w:p w14:paraId="564C98F7" w14:textId="77777777" w:rsidR="00267DDB" w:rsidRPr="00074768" w:rsidRDefault="00267DDB" w:rsidP="00267DDB">
      <w:pPr>
        <w:spacing w:after="0" w:line="240" w:lineRule="auto"/>
        <w:rPr>
          <w:rFonts w:ascii="Times New Roman" w:eastAsia="Times New Roman" w:hAnsi="Times New Roman"/>
          <w:snapToGrid w:val="0"/>
        </w:rPr>
      </w:pPr>
    </w:p>
    <w:p w14:paraId="5395163E" w14:textId="77777777" w:rsidR="00267DDB" w:rsidRPr="00074768" w:rsidRDefault="00267DDB" w:rsidP="00267DDB">
      <w:pPr>
        <w:keepNext/>
        <w:keepLines/>
        <w:tabs>
          <w:tab w:val="left" w:pos="567"/>
        </w:tabs>
        <w:spacing w:after="0" w:line="240" w:lineRule="auto"/>
        <w:outlineLvl w:val="2"/>
        <w:rPr>
          <w:rFonts w:ascii="Times New Roman" w:eastAsia="Times New Roman" w:hAnsi="Times New Roman"/>
          <w:b/>
          <w:bCs/>
          <w:snapToGrid w:val="0"/>
          <w:lang w:eastAsia="x-none"/>
        </w:rPr>
      </w:pPr>
      <w:r w:rsidRPr="00074768">
        <w:rPr>
          <w:rFonts w:ascii="Times New Roman" w:eastAsia="Times New Roman" w:hAnsi="Times New Roman"/>
          <w:b/>
          <w:bCs/>
          <w:snapToGrid w:val="0"/>
          <w:lang w:eastAsia="x-none"/>
        </w:rPr>
        <w:lastRenderedPageBreak/>
        <w:t>10.</w:t>
      </w:r>
      <w:r w:rsidRPr="00074768">
        <w:rPr>
          <w:rFonts w:ascii="Times New Roman" w:eastAsia="Times New Roman" w:hAnsi="Times New Roman"/>
          <w:b/>
          <w:bCs/>
          <w:snapToGrid w:val="0"/>
          <w:lang w:eastAsia="x-none"/>
        </w:rPr>
        <w:tab/>
        <w:t>TEKSTO PERŽIŪROS DATA</w:t>
      </w:r>
    </w:p>
    <w:p w14:paraId="1983328D" w14:textId="5E42A8CD" w:rsidR="00267DDB" w:rsidRPr="00074768" w:rsidRDefault="00267DDB" w:rsidP="002B549A">
      <w:pPr>
        <w:tabs>
          <w:tab w:val="left" w:pos="567"/>
        </w:tabs>
        <w:spacing w:after="0" w:line="260" w:lineRule="exact"/>
        <w:rPr>
          <w:rFonts w:ascii="Times New Roman" w:eastAsia="Times New Roman" w:hAnsi="Times New Roman"/>
          <w:snapToGrid w:val="0"/>
        </w:rPr>
      </w:pPr>
    </w:p>
    <w:p w14:paraId="3FA03B37" w14:textId="458125E8" w:rsidR="00747CFE" w:rsidRDefault="007523B2" w:rsidP="00267DDB">
      <w:pPr>
        <w:tabs>
          <w:tab w:val="left" w:pos="5954"/>
          <w:tab w:val="left" w:pos="6237"/>
          <w:tab w:val="left" w:pos="6663"/>
          <w:tab w:val="left" w:pos="6946"/>
        </w:tabs>
        <w:spacing w:after="0" w:line="240" w:lineRule="auto"/>
        <w:rPr>
          <w:rFonts w:ascii="Times New Roman" w:eastAsia="SimSun" w:hAnsi="Times New Roman"/>
          <w:noProof/>
          <w:lang w:eastAsia="x-none"/>
        </w:rPr>
      </w:pPr>
      <w:r>
        <w:rPr>
          <w:rFonts w:ascii="Times New Roman" w:eastAsia="SimSun" w:hAnsi="Times New Roman"/>
          <w:noProof/>
          <w:lang w:eastAsia="x-none"/>
        </w:rPr>
        <w:t>2024 m. lapkričio 21 d.</w:t>
      </w:r>
    </w:p>
    <w:p w14:paraId="0D1352F0" w14:textId="77777777" w:rsidR="007523B2" w:rsidRDefault="007523B2" w:rsidP="00267DDB">
      <w:pPr>
        <w:tabs>
          <w:tab w:val="left" w:pos="5954"/>
          <w:tab w:val="left" w:pos="6237"/>
          <w:tab w:val="left" w:pos="6663"/>
          <w:tab w:val="left" w:pos="6946"/>
        </w:tabs>
        <w:spacing w:after="0" w:line="240" w:lineRule="auto"/>
        <w:rPr>
          <w:rFonts w:ascii="Times New Roman" w:eastAsia="SimSun" w:hAnsi="Times New Roman"/>
          <w:noProof/>
          <w:lang w:eastAsia="x-none"/>
        </w:rPr>
      </w:pPr>
    </w:p>
    <w:p w14:paraId="69330188" w14:textId="77777777" w:rsidR="007523B2" w:rsidRPr="002B549A" w:rsidRDefault="007523B2" w:rsidP="00267DDB">
      <w:pPr>
        <w:tabs>
          <w:tab w:val="left" w:pos="5954"/>
          <w:tab w:val="left" w:pos="6237"/>
          <w:tab w:val="left" w:pos="6663"/>
          <w:tab w:val="left" w:pos="6946"/>
        </w:tabs>
        <w:spacing w:after="0" w:line="240" w:lineRule="auto"/>
        <w:rPr>
          <w:rFonts w:ascii="Times New Roman" w:eastAsia="SimSun" w:hAnsi="Times New Roman"/>
          <w:noProof/>
          <w:lang w:eastAsia="x-none"/>
        </w:rPr>
      </w:pPr>
    </w:p>
    <w:p w14:paraId="2B64EF20" w14:textId="77777777" w:rsidR="002B549A" w:rsidRPr="002B549A" w:rsidRDefault="002B549A" w:rsidP="002B549A">
      <w:pPr>
        <w:tabs>
          <w:tab w:val="center" w:pos="4819"/>
          <w:tab w:val="right" w:pos="9638"/>
        </w:tabs>
        <w:rPr>
          <w:rFonts w:ascii="Times New Roman" w:hAnsi="Times New Roman"/>
        </w:rPr>
      </w:pPr>
      <w:r w:rsidRPr="002B549A">
        <w:rPr>
          <w:rFonts w:ascii="Times New Roman" w:hAnsi="Times New Roman"/>
          <w:lang w:eastAsia="lt-LT"/>
        </w:rPr>
        <w:t xml:space="preserve">Išsami informacija apie šį vaistinį preparatą pateikiama Valstybinės vaistų kontrolės tarnybos prie Lietuvos Respublikos sveikatos apsaugos ministerijos tinklalapyje </w:t>
      </w:r>
      <w:r w:rsidRPr="002B549A">
        <w:rPr>
          <w:rFonts w:ascii="Times New Roman" w:hAnsi="Times New Roman"/>
          <w:color w:val="0000EE"/>
          <w:u w:val="single"/>
          <w:lang w:eastAsia="lt-LT"/>
        </w:rPr>
        <w:t>https://vvkt.lrv.lt/lt/.</w:t>
      </w:r>
    </w:p>
    <w:p w14:paraId="577D84E4" w14:textId="6D9B744F" w:rsidR="00E86791" w:rsidRDefault="00E86791">
      <w:pPr>
        <w:spacing w:after="0" w:line="240" w:lineRule="auto"/>
        <w:rPr>
          <w:rFonts w:ascii="Times New Roman" w:eastAsia="Times New Roman" w:hAnsi="Times New Roman"/>
          <w:snapToGrid w:val="0"/>
        </w:rPr>
      </w:pPr>
      <w:r>
        <w:rPr>
          <w:rFonts w:ascii="Times New Roman" w:eastAsia="Times New Roman" w:hAnsi="Times New Roman"/>
          <w:snapToGrid w:val="0"/>
        </w:rPr>
        <w:br w:type="page"/>
      </w:r>
    </w:p>
    <w:p w14:paraId="7FC9FE58" w14:textId="77777777" w:rsidR="00267DDB" w:rsidRPr="0085406C" w:rsidRDefault="00267DDB" w:rsidP="00622B7A">
      <w:pPr>
        <w:tabs>
          <w:tab w:val="left" w:pos="567"/>
        </w:tabs>
        <w:spacing w:after="0" w:line="260" w:lineRule="exact"/>
        <w:rPr>
          <w:rFonts w:ascii="Times New Roman" w:eastAsia="Times New Roman" w:hAnsi="Times New Roman"/>
          <w:snapToGrid w:val="0"/>
        </w:rPr>
      </w:pPr>
    </w:p>
    <w:p w14:paraId="5206A4E3" w14:textId="77777777" w:rsidR="00715169" w:rsidRPr="004200DB" w:rsidRDefault="00715169" w:rsidP="00622B7A">
      <w:pPr>
        <w:tabs>
          <w:tab w:val="left" w:pos="567"/>
        </w:tabs>
        <w:spacing w:after="0" w:line="260" w:lineRule="exact"/>
        <w:jc w:val="center"/>
        <w:rPr>
          <w:rFonts w:ascii="Times New Roman" w:eastAsia="Times New Roman" w:hAnsi="Times New Roman"/>
          <w:b/>
          <w:snapToGrid w:val="0"/>
        </w:rPr>
      </w:pPr>
    </w:p>
    <w:p w14:paraId="63F08974" w14:textId="77777777" w:rsidR="00715169" w:rsidRPr="004200DB" w:rsidRDefault="00715169" w:rsidP="00622B7A">
      <w:pPr>
        <w:tabs>
          <w:tab w:val="left" w:pos="567"/>
        </w:tabs>
        <w:spacing w:after="0" w:line="260" w:lineRule="exact"/>
        <w:jc w:val="center"/>
        <w:rPr>
          <w:rFonts w:ascii="Times New Roman" w:eastAsia="Times New Roman" w:hAnsi="Times New Roman"/>
          <w:b/>
          <w:snapToGrid w:val="0"/>
        </w:rPr>
      </w:pPr>
    </w:p>
    <w:p w14:paraId="1DD6240C"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3B31B255"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7C9335C6"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3682F766"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5959D14E"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65BF8197"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7EDB590A"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3FF3D702"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088C43AB"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080CA5BB"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683EA9A8"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46FF911C"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556EBB68"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141875A0"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096543BC"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0CE43727"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2A247AF5"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548DCDCA"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5F1C8E7B" w14:textId="77777777" w:rsidR="00715169" w:rsidRPr="00037DA8" w:rsidRDefault="00715169" w:rsidP="00622B7A">
      <w:pPr>
        <w:tabs>
          <w:tab w:val="left" w:pos="567"/>
        </w:tabs>
        <w:spacing w:after="0" w:line="260" w:lineRule="exact"/>
        <w:jc w:val="center"/>
        <w:rPr>
          <w:rFonts w:ascii="Times New Roman" w:eastAsia="Times New Roman" w:hAnsi="Times New Roman"/>
          <w:b/>
          <w:snapToGrid w:val="0"/>
        </w:rPr>
      </w:pPr>
    </w:p>
    <w:p w14:paraId="6592E530" w14:textId="77777777" w:rsidR="00622B7A" w:rsidRPr="00037DA8" w:rsidRDefault="00622B7A" w:rsidP="00622B7A">
      <w:pPr>
        <w:tabs>
          <w:tab w:val="left" w:pos="567"/>
        </w:tabs>
        <w:spacing w:after="0" w:line="260" w:lineRule="exact"/>
        <w:jc w:val="center"/>
        <w:rPr>
          <w:rFonts w:ascii="Times New Roman" w:eastAsia="Times New Roman" w:hAnsi="Times New Roman"/>
          <w:b/>
          <w:snapToGrid w:val="0"/>
        </w:rPr>
      </w:pPr>
      <w:r w:rsidRPr="00037DA8">
        <w:rPr>
          <w:rFonts w:ascii="Times New Roman" w:eastAsia="Times New Roman" w:hAnsi="Times New Roman"/>
          <w:b/>
          <w:snapToGrid w:val="0"/>
        </w:rPr>
        <w:t>II PRIEDAS</w:t>
      </w:r>
    </w:p>
    <w:p w14:paraId="4F6F60D7" w14:textId="77777777" w:rsidR="00622B7A" w:rsidRPr="00037DA8" w:rsidRDefault="00622B7A" w:rsidP="00622B7A">
      <w:pPr>
        <w:tabs>
          <w:tab w:val="left" w:pos="567"/>
        </w:tabs>
        <w:spacing w:after="0" w:line="260" w:lineRule="exact"/>
        <w:ind w:left="1701" w:right="1416" w:hanging="567"/>
        <w:rPr>
          <w:rFonts w:ascii="Times New Roman" w:eastAsia="Times New Roman" w:hAnsi="Times New Roman"/>
          <w:snapToGrid w:val="0"/>
        </w:rPr>
      </w:pPr>
    </w:p>
    <w:p w14:paraId="7EE3025A" w14:textId="77777777" w:rsidR="00622B7A" w:rsidRPr="00037DA8" w:rsidRDefault="00622B7A" w:rsidP="00622B7A">
      <w:pPr>
        <w:tabs>
          <w:tab w:val="left" w:pos="567"/>
        </w:tabs>
        <w:spacing w:after="0" w:line="260" w:lineRule="exact"/>
        <w:jc w:val="center"/>
        <w:rPr>
          <w:rFonts w:ascii="Times New Roman" w:eastAsia="Times New Roman" w:hAnsi="Times New Roman"/>
          <w:i/>
          <w:snapToGrid w:val="0"/>
        </w:rPr>
      </w:pPr>
      <w:r w:rsidRPr="00037DA8">
        <w:rPr>
          <w:rFonts w:ascii="Times New Roman" w:eastAsia="Times New Roman" w:hAnsi="Times New Roman"/>
          <w:b/>
          <w:snapToGrid w:val="0"/>
        </w:rPr>
        <w:t>REGISTRACIJOS SĄLYGOS</w:t>
      </w:r>
    </w:p>
    <w:p w14:paraId="65DE2643" w14:textId="77777777" w:rsidR="00622B7A" w:rsidRPr="00037DA8" w:rsidRDefault="00622B7A" w:rsidP="00622B7A">
      <w:pPr>
        <w:tabs>
          <w:tab w:val="left" w:pos="567"/>
        </w:tabs>
        <w:spacing w:after="0" w:line="260" w:lineRule="exact"/>
        <w:rPr>
          <w:rFonts w:ascii="Times New Roman" w:eastAsia="Times New Roman" w:hAnsi="Times New Roman"/>
          <w:snapToGrid w:val="0"/>
        </w:rPr>
      </w:pPr>
    </w:p>
    <w:p w14:paraId="166EC404" w14:textId="77777777" w:rsidR="00622B7A" w:rsidRPr="00037DA8" w:rsidRDefault="00622B7A" w:rsidP="00622B7A">
      <w:pPr>
        <w:tabs>
          <w:tab w:val="left" w:pos="1701"/>
        </w:tabs>
        <w:spacing w:after="0" w:line="260" w:lineRule="exact"/>
        <w:ind w:left="1701" w:right="567" w:hanging="567"/>
        <w:rPr>
          <w:rFonts w:ascii="Times New Roman" w:eastAsia="Times New Roman" w:hAnsi="Times New Roman"/>
          <w:b/>
          <w:noProof/>
          <w:snapToGrid w:val="0"/>
        </w:rPr>
      </w:pPr>
      <w:r w:rsidRPr="00037DA8">
        <w:rPr>
          <w:rFonts w:ascii="Times New Roman" w:eastAsia="Times New Roman" w:hAnsi="Times New Roman"/>
          <w:b/>
          <w:noProof/>
          <w:snapToGrid w:val="0"/>
        </w:rPr>
        <w:t>A.</w:t>
      </w:r>
      <w:r w:rsidRPr="00037DA8">
        <w:rPr>
          <w:rFonts w:ascii="Times New Roman" w:eastAsia="Times New Roman" w:hAnsi="Times New Roman"/>
          <w:b/>
          <w:noProof/>
          <w:snapToGrid w:val="0"/>
        </w:rPr>
        <w:tab/>
        <w:t>GAMINTOJAS (-AI), ATSAKINGAS (-I) UŽ SERIJŲ IŠLEIDIMĄ</w:t>
      </w:r>
    </w:p>
    <w:p w14:paraId="3262819B" w14:textId="77777777" w:rsidR="00622B7A" w:rsidRPr="00037DA8" w:rsidRDefault="00622B7A" w:rsidP="00622B7A">
      <w:pPr>
        <w:tabs>
          <w:tab w:val="left" w:pos="1701"/>
        </w:tabs>
        <w:spacing w:after="0" w:line="260" w:lineRule="exact"/>
        <w:ind w:left="567" w:right="567" w:hanging="567"/>
        <w:rPr>
          <w:rFonts w:ascii="Times New Roman" w:eastAsia="Times New Roman" w:hAnsi="Times New Roman"/>
          <w:noProof/>
          <w:snapToGrid w:val="0"/>
        </w:rPr>
      </w:pPr>
    </w:p>
    <w:p w14:paraId="0812DAF9" w14:textId="77777777" w:rsidR="00622B7A" w:rsidRPr="00037DA8" w:rsidRDefault="00622B7A" w:rsidP="00622B7A">
      <w:pPr>
        <w:tabs>
          <w:tab w:val="left" w:pos="1701"/>
        </w:tabs>
        <w:spacing w:after="0" w:line="260" w:lineRule="exact"/>
        <w:ind w:left="1701" w:right="567" w:hanging="567"/>
        <w:rPr>
          <w:rFonts w:ascii="Times New Roman" w:eastAsia="Times New Roman" w:hAnsi="Times New Roman"/>
          <w:b/>
          <w:snapToGrid w:val="0"/>
        </w:rPr>
      </w:pPr>
      <w:r w:rsidRPr="00037DA8">
        <w:rPr>
          <w:rFonts w:ascii="Times New Roman" w:eastAsia="Times New Roman" w:hAnsi="Times New Roman"/>
          <w:b/>
          <w:snapToGrid w:val="0"/>
        </w:rPr>
        <w:t>B.</w:t>
      </w:r>
      <w:r w:rsidRPr="00037DA8">
        <w:rPr>
          <w:rFonts w:ascii="Times New Roman" w:eastAsia="Times New Roman" w:hAnsi="Times New Roman"/>
          <w:b/>
          <w:snapToGrid w:val="0"/>
        </w:rPr>
        <w:tab/>
        <w:t>TIEKIMO IR VARTOJIMO SĄLYGOS AR APRIBOJIMAI</w:t>
      </w:r>
    </w:p>
    <w:p w14:paraId="566736C2" w14:textId="77777777" w:rsidR="00622B7A" w:rsidRPr="00037DA8" w:rsidRDefault="00622B7A" w:rsidP="00267DDB">
      <w:pPr>
        <w:tabs>
          <w:tab w:val="left" w:pos="567"/>
        </w:tabs>
        <w:spacing w:after="0" w:line="260" w:lineRule="exact"/>
        <w:ind w:right="-1"/>
        <w:rPr>
          <w:rFonts w:ascii="Times New Roman" w:eastAsia="Times New Roman" w:hAnsi="Times New Roman"/>
          <w:snapToGrid w:val="0"/>
        </w:rPr>
      </w:pPr>
    </w:p>
    <w:p w14:paraId="50AC8213" w14:textId="77777777" w:rsidR="00267DDB" w:rsidRPr="00037DA8" w:rsidRDefault="007B53A6" w:rsidP="00267DDB">
      <w:pPr>
        <w:tabs>
          <w:tab w:val="left" w:pos="567"/>
        </w:tabs>
        <w:spacing w:after="0" w:line="260" w:lineRule="exact"/>
        <w:ind w:left="567" w:hanging="567"/>
        <w:rPr>
          <w:rFonts w:ascii="Times New Roman" w:eastAsia="Times New Roman" w:hAnsi="Times New Roman"/>
          <w:b/>
          <w:snapToGrid w:val="0"/>
        </w:rPr>
      </w:pPr>
      <w:r w:rsidRPr="00037DA8">
        <w:rPr>
          <w:rFonts w:ascii="Times New Roman" w:eastAsia="Times New Roman" w:hAnsi="Times New Roman"/>
          <w:snapToGrid w:val="0"/>
        </w:rPr>
        <w:br w:type="page"/>
      </w:r>
      <w:r w:rsidR="00267DDB" w:rsidRPr="00037DA8">
        <w:rPr>
          <w:rFonts w:ascii="Times New Roman" w:eastAsia="Times New Roman" w:hAnsi="Times New Roman"/>
          <w:b/>
          <w:snapToGrid w:val="0"/>
        </w:rPr>
        <w:lastRenderedPageBreak/>
        <w:t>A.</w:t>
      </w:r>
      <w:r w:rsidR="00267DDB" w:rsidRPr="00037DA8">
        <w:rPr>
          <w:rFonts w:ascii="Times New Roman" w:eastAsia="Times New Roman" w:hAnsi="Times New Roman"/>
          <w:b/>
          <w:snapToGrid w:val="0"/>
        </w:rPr>
        <w:tab/>
        <w:t>GAMINTOJAS (-AI), ATSAKINGAS (-I) UŽ SERIJŲ IŠLEIDIMĄ</w:t>
      </w:r>
    </w:p>
    <w:p w14:paraId="0506E554"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7498737F" w14:textId="77777777" w:rsidR="00267DDB" w:rsidRPr="00037DA8" w:rsidRDefault="00267DDB" w:rsidP="00267DDB">
      <w:pPr>
        <w:tabs>
          <w:tab w:val="left" w:pos="567"/>
        </w:tabs>
        <w:spacing w:after="0" w:line="240" w:lineRule="auto"/>
        <w:jc w:val="both"/>
        <w:rPr>
          <w:rFonts w:ascii="Times New Roman" w:eastAsia="Times New Roman" w:hAnsi="Times New Roman"/>
          <w:snapToGrid w:val="0"/>
        </w:rPr>
      </w:pPr>
      <w:r w:rsidRPr="00037DA8">
        <w:rPr>
          <w:rFonts w:ascii="Times New Roman" w:eastAsia="Times New Roman" w:hAnsi="Times New Roman"/>
          <w:noProof/>
          <w:snapToGrid w:val="0"/>
          <w:u w:val="single"/>
        </w:rPr>
        <w:t>Gamintojo (-ų), atsakingo (-ų) už serijų išleidimą, pavadinimas (-ai) ir adresas (-ai)</w:t>
      </w:r>
    </w:p>
    <w:p w14:paraId="1793C0E1"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1A5B4764" w14:textId="77777777" w:rsidR="00BF7129" w:rsidRPr="00074768" w:rsidRDefault="00BF7129" w:rsidP="00BF7129">
      <w:pPr>
        <w:spacing w:after="0" w:line="240" w:lineRule="auto"/>
        <w:rPr>
          <w:rFonts w:ascii="Times New Roman" w:hAnsi="Times New Roman"/>
        </w:rPr>
      </w:pPr>
      <w:r w:rsidRPr="00074768">
        <w:rPr>
          <w:rFonts w:ascii="Times New Roman" w:hAnsi="Times New Roman"/>
        </w:rPr>
        <w:t xml:space="preserve">EBEWE Pharma </w:t>
      </w:r>
      <w:proofErr w:type="spellStart"/>
      <w:r w:rsidRPr="00074768">
        <w:rPr>
          <w:rFonts w:ascii="Times New Roman" w:hAnsi="Times New Roman"/>
        </w:rPr>
        <w:t>Ges.m.b.H</w:t>
      </w:r>
      <w:proofErr w:type="spellEnd"/>
      <w:r w:rsidRPr="00074768">
        <w:rPr>
          <w:rFonts w:ascii="Times New Roman" w:hAnsi="Times New Roman"/>
        </w:rPr>
        <w:t xml:space="preserve">. </w:t>
      </w:r>
      <w:proofErr w:type="spellStart"/>
      <w:r w:rsidRPr="00074768">
        <w:rPr>
          <w:rFonts w:ascii="Times New Roman" w:hAnsi="Times New Roman"/>
        </w:rPr>
        <w:t>Nfg</w:t>
      </w:r>
      <w:proofErr w:type="spellEnd"/>
      <w:r w:rsidRPr="00074768">
        <w:rPr>
          <w:rFonts w:ascii="Times New Roman" w:hAnsi="Times New Roman"/>
        </w:rPr>
        <w:t>. KG</w:t>
      </w:r>
    </w:p>
    <w:p w14:paraId="3ACE7E07" w14:textId="77777777" w:rsidR="00BF7129" w:rsidRPr="00074768" w:rsidRDefault="00BF7129" w:rsidP="00BF7129">
      <w:pPr>
        <w:spacing w:after="0" w:line="240" w:lineRule="auto"/>
        <w:rPr>
          <w:rFonts w:ascii="Times New Roman" w:hAnsi="Times New Roman"/>
        </w:rPr>
      </w:pPr>
      <w:proofErr w:type="spellStart"/>
      <w:r w:rsidRPr="00074768">
        <w:rPr>
          <w:rFonts w:ascii="Times New Roman" w:hAnsi="Times New Roman"/>
        </w:rPr>
        <w:t>Mondseestraße</w:t>
      </w:r>
      <w:proofErr w:type="spellEnd"/>
      <w:r w:rsidRPr="00074768">
        <w:rPr>
          <w:rFonts w:ascii="Times New Roman" w:hAnsi="Times New Roman"/>
        </w:rPr>
        <w:t xml:space="preserve"> 11 </w:t>
      </w:r>
    </w:p>
    <w:p w14:paraId="1EC59CF3" w14:textId="77777777" w:rsidR="00BF7129" w:rsidRPr="00074768" w:rsidRDefault="00BF7129" w:rsidP="00BF7129">
      <w:pPr>
        <w:spacing w:after="0" w:line="240" w:lineRule="auto"/>
        <w:rPr>
          <w:rFonts w:ascii="Times New Roman" w:hAnsi="Times New Roman"/>
          <w:color w:val="222222"/>
          <w:lang w:eastAsia="lt-LT"/>
        </w:rPr>
      </w:pPr>
      <w:r w:rsidRPr="00074768">
        <w:rPr>
          <w:rFonts w:ascii="Times New Roman" w:hAnsi="Times New Roman"/>
        </w:rPr>
        <w:t xml:space="preserve">A-4866 </w:t>
      </w:r>
      <w:proofErr w:type="spellStart"/>
      <w:r w:rsidRPr="00074768">
        <w:rPr>
          <w:rFonts w:ascii="Times New Roman" w:hAnsi="Times New Roman"/>
          <w:color w:val="222222"/>
          <w:lang w:eastAsia="lt-LT"/>
        </w:rPr>
        <w:t>Unterach</w:t>
      </w:r>
      <w:proofErr w:type="spellEnd"/>
      <w:r w:rsidRPr="00074768">
        <w:rPr>
          <w:rFonts w:ascii="Times New Roman" w:hAnsi="Times New Roman"/>
          <w:color w:val="222222"/>
          <w:lang w:eastAsia="lt-LT"/>
        </w:rPr>
        <w:t xml:space="preserve"> am </w:t>
      </w:r>
      <w:proofErr w:type="spellStart"/>
      <w:r w:rsidRPr="00074768">
        <w:rPr>
          <w:rFonts w:ascii="Times New Roman" w:hAnsi="Times New Roman"/>
          <w:color w:val="222222"/>
          <w:lang w:eastAsia="lt-LT"/>
        </w:rPr>
        <w:t>Attersee</w:t>
      </w:r>
      <w:proofErr w:type="spellEnd"/>
    </w:p>
    <w:p w14:paraId="1E22D7EB" w14:textId="77777777" w:rsidR="00BF7129" w:rsidRPr="00074768" w:rsidRDefault="00BF7129" w:rsidP="00BF7129">
      <w:pPr>
        <w:spacing w:after="0" w:line="240" w:lineRule="auto"/>
        <w:rPr>
          <w:rFonts w:ascii="Times New Roman" w:hAnsi="Times New Roman"/>
          <w:i/>
        </w:rPr>
      </w:pPr>
      <w:r w:rsidRPr="00074768">
        <w:rPr>
          <w:rFonts w:ascii="Times New Roman" w:hAnsi="Times New Roman"/>
        </w:rPr>
        <w:t>Austrija</w:t>
      </w:r>
    </w:p>
    <w:p w14:paraId="39C20A58" w14:textId="77777777" w:rsidR="00267DDB" w:rsidRPr="0085406C" w:rsidRDefault="00267DDB" w:rsidP="00267DDB">
      <w:pPr>
        <w:spacing w:after="0" w:line="240" w:lineRule="auto"/>
        <w:ind w:left="567" w:hanging="567"/>
        <w:rPr>
          <w:rFonts w:ascii="Times New Roman" w:eastAsia="Times New Roman" w:hAnsi="Times New Roman"/>
        </w:rPr>
      </w:pPr>
    </w:p>
    <w:p w14:paraId="51FCD036" w14:textId="77777777" w:rsidR="006F6F67" w:rsidRPr="006F6F67" w:rsidRDefault="006F6F67" w:rsidP="006F6F67">
      <w:pPr>
        <w:tabs>
          <w:tab w:val="left" w:pos="567"/>
        </w:tabs>
        <w:spacing w:after="0" w:line="260" w:lineRule="exact"/>
        <w:rPr>
          <w:rFonts w:ascii="Times New Roman" w:eastAsia="Times New Roman" w:hAnsi="Times New Roman"/>
          <w:snapToGrid w:val="0"/>
        </w:rPr>
      </w:pPr>
      <w:proofErr w:type="spellStart"/>
      <w:r w:rsidRPr="006F6F67">
        <w:rPr>
          <w:rFonts w:ascii="Times New Roman" w:eastAsia="Times New Roman" w:hAnsi="Times New Roman"/>
          <w:snapToGrid w:val="0"/>
        </w:rPr>
        <w:t>Fareva</w:t>
      </w:r>
      <w:proofErr w:type="spellEnd"/>
      <w:r w:rsidRPr="006F6F67">
        <w:rPr>
          <w:rFonts w:ascii="Times New Roman" w:eastAsia="Times New Roman" w:hAnsi="Times New Roman"/>
          <w:snapToGrid w:val="0"/>
        </w:rPr>
        <w:t xml:space="preserve"> </w:t>
      </w:r>
      <w:proofErr w:type="spellStart"/>
      <w:r w:rsidRPr="006F6F67">
        <w:rPr>
          <w:rFonts w:ascii="Times New Roman" w:eastAsia="Times New Roman" w:hAnsi="Times New Roman"/>
          <w:snapToGrid w:val="0"/>
        </w:rPr>
        <w:t>Unterach</w:t>
      </w:r>
      <w:proofErr w:type="spellEnd"/>
      <w:r w:rsidRPr="006F6F67">
        <w:rPr>
          <w:rFonts w:ascii="Times New Roman" w:eastAsia="Times New Roman" w:hAnsi="Times New Roman"/>
          <w:snapToGrid w:val="0"/>
        </w:rPr>
        <w:t xml:space="preserve"> </w:t>
      </w:r>
      <w:proofErr w:type="spellStart"/>
      <w:r w:rsidRPr="006F6F67">
        <w:rPr>
          <w:rFonts w:ascii="Times New Roman" w:eastAsia="Times New Roman" w:hAnsi="Times New Roman"/>
          <w:snapToGrid w:val="0"/>
        </w:rPr>
        <w:t>GmbH</w:t>
      </w:r>
      <w:proofErr w:type="spellEnd"/>
    </w:p>
    <w:p w14:paraId="6ACC9A7B" w14:textId="77777777" w:rsidR="006F6F67" w:rsidRPr="006F6F67" w:rsidRDefault="006F6F67" w:rsidP="006F6F67">
      <w:pPr>
        <w:tabs>
          <w:tab w:val="left" w:pos="567"/>
        </w:tabs>
        <w:spacing w:after="0" w:line="260" w:lineRule="exact"/>
        <w:rPr>
          <w:rFonts w:ascii="Times New Roman" w:eastAsia="Times New Roman" w:hAnsi="Times New Roman"/>
          <w:snapToGrid w:val="0"/>
        </w:rPr>
      </w:pPr>
      <w:proofErr w:type="spellStart"/>
      <w:r w:rsidRPr="006F6F67">
        <w:rPr>
          <w:rFonts w:ascii="Times New Roman" w:eastAsia="Times New Roman" w:hAnsi="Times New Roman"/>
          <w:snapToGrid w:val="0"/>
        </w:rPr>
        <w:t>Mondseestrasse</w:t>
      </w:r>
      <w:proofErr w:type="spellEnd"/>
      <w:r w:rsidRPr="006F6F67">
        <w:rPr>
          <w:rFonts w:ascii="Times New Roman" w:eastAsia="Times New Roman" w:hAnsi="Times New Roman"/>
          <w:snapToGrid w:val="0"/>
        </w:rPr>
        <w:t xml:space="preserve"> 11</w:t>
      </w:r>
    </w:p>
    <w:p w14:paraId="464F4BFB" w14:textId="77777777" w:rsidR="006F6F67" w:rsidRPr="006F6F67" w:rsidRDefault="006F6F67" w:rsidP="006F6F67">
      <w:pPr>
        <w:tabs>
          <w:tab w:val="left" w:pos="567"/>
        </w:tabs>
        <w:spacing w:after="0" w:line="260" w:lineRule="exact"/>
        <w:rPr>
          <w:rFonts w:ascii="Times New Roman" w:eastAsia="Times New Roman" w:hAnsi="Times New Roman"/>
          <w:snapToGrid w:val="0"/>
        </w:rPr>
      </w:pPr>
      <w:r w:rsidRPr="006F6F67">
        <w:rPr>
          <w:rFonts w:ascii="Times New Roman" w:eastAsia="Times New Roman" w:hAnsi="Times New Roman"/>
          <w:snapToGrid w:val="0"/>
        </w:rPr>
        <w:t xml:space="preserve">4866 </w:t>
      </w:r>
      <w:proofErr w:type="spellStart"/>
      <w:r w:rsidRPr="006F6F67">
        <w:rPr>
          <w:rFonts w:ascii="Times New Roman" w:eastAsia="Times New Roman" w:hAnsi="Times New Roman"/>
          <w:snapToGrid w:val="0"/>
        </w:rPr>
        <w:t>Unterach</w:t>
      </w:r>
      <w:proofErr w:type="spellEnd"/>
    </w:p>
    <w:p w14:paraId="64139FBE" w14:textId="4270E6A7" w:rsidR="00267DDB" w:rsidRDefault="006F6F67" w:rsidP="006F6F67">
      <w:pPr>
        <w:tabs>
          <w:tab w:val="left" w:pos="567"/>
        </w:tabs>
        <w:spacing w:after="0" w:line="260" w:lineRule="exact"/>
        <w:rPr>
          <w:rFonts w:ascii="Times New Roman" w:eastAsia="Times New Roman" w:hAnsi="Times New Roman"/>
          <w:snapToGrid w:val="0"/>
        </w:rPr>
      </w:pPr>
      <w:r w:rsidRPr="006F6F67">
        <w:rPr>
          <w:rFonts w:ascii="Times New Roman" w:eastAsia="Times New Roman" w:hAnsi="Times New Roman"/>
          <w:snapToGrid w:val="0"/>
        </w:rPr>
        <w:t>Austri</w:t>
      </w:r>
      <w:r>
        <w:rPr>
          <w:rFonts w:ascii="Times New Roman" w:eastAsia="Times New Roman" w:hAnsi="Times New Roman"/>
          <w:snapToGrid w:val="0"/>
        </w:rPr>
        <w:t>j</w:t>
      </w:r>
      <w:r w:rsidRPr="006F6F67">
        <w:rPr>
          <w:rFonts w:ascii="Times New Roman" w:eastAsia="Times New Roman" w:hAnsi="Times New Roman"/>
          <w:snapToGrid w:val="0"/>
        </w:rPr>
        <w:t>a</w:t>
      </w:r>
    </w:p>
    <w:p w14:paraId="4B923052" w14:textId="65FA6B16" w:rsidR="006F6F67" w:rsidRDefault="006F6F67" w:rsidP="006F6F67">
      <w:pPr>
        <w:tabs>
          <w:tab w:val="left" w:pos="567"/>
        </w:tabs>
        <w:spacing w:after="0" w:line="260" w:lineRule="exact"/>
        <w:rPr>
          <w:rFonts w:ascii="Times New Roman" w:eastAsia="Times New Roman" w:hAnsi="Times New Roman"/>
          <w:snapToGrid w:val="0"/>
        </w:rPr>
      </w:pPr>
    </w:p>
    <w:p w14:paraId="52EB2294" w14:textId="6FC8D2A4" w:rsidR="006F6F67" w:rsidRDefault="00902FC9" w:rsidP="006F6F67">
      <w:pPr>
        <w:tabs>
          <w:tab w:val="left" w:pos="567"/>
        </w:tabs>
        <w:spacing w:after="0" w:line="260" w:lineRule="exact"/>
        <w:rPr>
          <w:rFonts w:ascii="Times New Roman" w:eastAsia="Times New Roman" w:hAnsi="Times New Roman"/>
          <w:snapToGrid w:val="0"/>
        </w:rPr>
      </w:pPr>
      <w:r w:rsidRPr="00902FC9">
        <w:rPr>
          <w:rFonts w:ascii="Times New Roman" w:eastAsia="Times New Roman" w:hAnsi="Times New Roman"/>
          <w:snapToGrid w:val="0"/>
        </w:rPr>
        <w:t>Su pakuote pateikiamame lapelyje nurodomas gamintojo, atsakingo už konkrečios serijos išleidimą, pavadinimas ir adresas.</w:t>
      </w:r>
    </w:p>
    <w:p w14:paraId="0645D518" w14:textId="77777777" w:rsidR="00902FC9" w:rsidRDefault="00902FC9" w:rsidP="006F6F67">
      <w:pPr>
        <w:tabs>
          <w:tab w:val="left" w:pos="567"/>
        </w:tabs>
        <w:spacing w:after="0" w:line="260" w:lineRule="exact"/>
        <w:rPr>
          <w:rFonts w:ascii="Times New Roman" w:eastAsia="Times New Roman" w:hAnsi="Times New Roman"/>
          <w:snapToGrid w:val="0"/>
        </w:rPr>
      </w:pPr>
    </w:p>
    <w:p w14:paraId="4F040494" w14:textId="77777777" w:rsidR="006F6F67" w:rsidRPr="004200DB" w:rsidRDefault="006F6F67" w:rsidP="006F6F67">
      <w:pPr>
        <w:tabs>
          <w:tab w:val="left" w:pos="567"/>
        </w:tabs>
        <w:spacing w:after="0" w:line="260" w:lineRule="exact"/>
        <w:rPr>
          <w:rFonts w:ascii="Times New Roman" w:eastAsia="Times New Roman" w:hAnsi="Times New Roman"/>
          <w:snapToGrid w:val="0"/>
        </w:rPr>
      </w:pPr>
    </w:p>
    <w:p w14:paraId="5FE42AB1" w14:textId="77777777" w:rsidR="00267DDB" w:rsidRPr="00037DA8" w:rsidRDefault="00267DDB" w:rsidP="00267DDB">
      <w:pPr>
        <w:tabs>
          <w:tab w:val="left" w:pos="567"/>
        </w:tabs>
        <w:spacing w:after="0" w:line="240" w:lineRule="auto"/>
        <w:ind w:left="567" w:hanging="567"/>
        <w:rPr>
          <w:rFonts w:ascii="Times New Roman" w:eastAsia="Times New Roman" w:hAnsi="Times New Roman"/>
          <w:snapToGrid w:val="0"/>
        </w:rPr>
      </w:pPr>
      <w:r w:rsidRPr="004200DB">
        <w:rPr>
          <w:rFonts w:ascii="Times New Roman" w:eastAsia="Times New Roman" w:hAnsi="Times New Roman"/>
          <w:b/>
          <w:noProof/>
          <w:snapToGrid w:val="0"/>
        </w:rPr>
        <w:t>B.</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TIEKIMO IR VARTOJIMO SĄLYGOS AR APRIBOJIMAI</w:t>
      </w:r>
    </w:p>
    <w:p w14:paraId="4F46AD01"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6567DDFF" w14:textId="77777777" w:rsidR="00267DDB" w:rsidRPr="00037DA8" w:rsidRDefault="00267DDB" w:rsidP="00267DD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Receptinis vaistinis preparatas.</w:t>
      </w:r>
    </w:p>
    <w:p w14:paraId="5CBC6949"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431FF3B4"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3BD52698" w14:textId="77777777" w:rsidR="00267DDB" w:rsidRPr="00037DA8" w:rsidRDefault="00267DDB" w:rsidP="00267DDB">
      <w:pPr>
        <w:tabs>
          <w:tab w:val="left" w:pos="4962"/>
        </w:tabs>
        <w:spacing w:after="0" w:line="240" w:lineRule="auto"/>
        <w:rPr>
          <w:rFonts w:ascii="Times New Roman" w:eastAsia="SimSun" w:hAnsi="Times New Roman"/>
          <w:lang w:eastAsia="x-none"/>
        </w:rPr>
      </w:pPr>
      <w:r w:rsidRPr="00037DA8">
        <w:rPr>
          <w:rFonts w:ascii="Times New Roman" w:eastAsia="SimSun" w:hAnsi="Times New Roman"/>
          <w:b/>
          <w:noProof/>
          <w:lang w:eastAsia="x-none"/>
        </w:rPr>
        <w:br w:type="page"/>
      </w:r>
    </w:p>
    <w:p w14:paraId="7B3665C3" w14:textId="77777777" w:rsidR="00267DDB" w:rsidRPr="00074768" w:rsidRDefault="00267DDB" w:rsidP="00267DDB">
      <w:pPr>
        <w:tabs>
          <w:tab w:val="left" w:pos="567"/>
        </w:tabs>
        <w:spacing w:after="0" w:line="260" w:lineRule="exact"/>
        <w:rPr>
          <w:rFonts w:ascii="Times New Roman" w:eastAsia="Times New Roman" w:hAnsi="Times New Roman"/>
          <w:snapToGrid w:val="0"/>
        </w:rPr>
      </w:pPr>
    </w:p>
    <w:p w14:paraId="70EAF428" w14:textId="77777777" w:rsidR="00267DDB" w:rsidRPr="0085406C" w:rsidRDefault="00267DDB" w:rsidP="00267DDB">
      <w:pPr>
        <w:tabs>
          <w:tab w:val="left" w:pos="567"/>
        </w:tabs>
        <w:spacing w:after="0" w:line="260" w:lineRule="exact"/>
        <w:rPr>
          <w:rFonts w:ascii="Times New Roman" w:eastAsia="Times New Roman" w:hAnsi="Times New Roman"/>
          <w:snapToGrid w:val="0"/>
        </w:rPr>
      </w:pPr>
    </w:p>
    <w:p w14:paraId="00A5885D" w14:textId="77777777" w:rsidR="00267DDB" w:rsidRPr="004200DB" w:rsidRDefault="00267DDB" w:rsidP="00267DDB">
      <w:pPr>
        <w:tabs>
          <w:tab w:val="left" w:pos="567"/>
        </w:tabs>
        <w:spacing w:after="0" w:line="260" w:lineRule="exact"/>
        <w:rPr>
          <w:rFonts w:ascii="Times New Roman" w:eastAsia="Times New Roman" w:hAnsi="Times New Roman"/>
          <w:snapToGrid w:val="0"/>
        </w:rPr>
      </w:pPr>
    </w:p>
    <w:p w14:paraId="696D0590" w14:textId="77777777" w:rsidR="00267DDB" w:rsidRPr="004200DB" w:rsidRDefault="00267DDB" w:rsidP="00267DDB">
      <w:pPr>
        <w:tabs>
          <w:tab w:val="left" w:pos="567"/>
        </w:tabs>
        <w:spacing w:after="0" w:line="260" w:lineRule="exact"/>
        <w:rPr>
          <w:rFonts w:ascii="Times New Roman" w:eastAsia="Times New Roman" w:hAnsi="Times New Roman"/>
          <w:snapToGrid w:val="0"/>
        </w:rPr>
      </w:pPr>
    </w:p>
    <w:p w14:paraId="167B64D8"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16D87741"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0963C8B7"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5417CEA0"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305EA82B"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3A663D82"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7F526D6E"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183D0090"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774B417E"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1D1C6CEC"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668B4DCF" w14:textId="77777777" w:rsidR="00267DDB" w:rsidRPr="00037DA8" w:rsidRDefault="00267DDB" w:rsidP="00267DDB">
      <w:pPr>
        <w:tabs>
          <w:tab w:val="left" w:pos="567"/>
        </w:tabs>
        <w:spacing w:after="0" w:line="260" w:lineRule="exact"/>
        <w:outlineLvl w:val="0"/>
        <w:rPr>
          <w:rFonts w:ascii="Times New Roman" w:eastAsia="Times New Roman" w:hAnsi="Times New Roman"/>
          <w:b/>
          <w:snapToGrid w:val="0"/>
        </w:rPr>
      </w:pPr>
    </w:p>
    <w:p w14:paraId="0934E142" w14:textId="77777777" w:rsidR="00267DDB" w:rsidRPr="00037DA8" w:rsidRDefault="00267DDB" w:rsidP="00267DDB">
      <w:pPr>
        <w:tabs>
          <w:tab w:val="left" w:pos="567"/>
        </w:tabs>
        <w:spacing w:after="0" w:line="260" w:lineRule="exact"/>
        <w:outlineLvl w:val="0"/>
        <w:rPr>
          <w:rFonts w:ascii="Times New Roman" w:eastAsia="Times New Roman" w:hAnsi="Times New Roman"/>
          <w:b/>
          <w:snapToGrid w:val="0"/>
        </w:rPr>
      </w:pPr>
    </w:p>
    <w:p w14:paraId="4CB25966" w14:textId="77777777" w:rsidR="00267DDB" w:rsidRPr="00037DA8" w:rsidRDefault="00267DDB" w:rsidP="00267DDB">
      <w:pPr>
        <w:tabs>
          <w:tab w:val="left" w:pos="567"/>
        </w:tabs>
        <w:spacing w:after="0" w:line="260" w:lineRule="exact"/>
        <w:outlineLvl w:val="0"/>
        <w:rPr>
          <w:rFonts w:ascii="Times New Roman" w:eastAsia="Times New Roman" w:hAnsi="Times New Roman"/>
          <w:b/>
          <w:snapToGrid w:val="0"/>
        </w:rPr>
      </w:pPr>
    </w:p>
    <w:p w14:paraId="711C6F46" w14:textId="77777777" w:rsidR="00267DDB" w:rsidRPr="00037DA8" w:rsidRDefault="00267DDB" w:rsidP="00267DDB">
      <w:pPr>
        <w:tabs>
          <w:tab w:val="left" w:pos="567"/>
        </w:tabs>
        <w:spacing w:after="0" w:line="260" w:lineRule="exact"/>
        <w:outlineLvl w:val="0"/>
        <w:rPr>
          <w:rFonts w:ascii="Times New Roman" w:eastAsia="Times New Roman" w:hAnsi="Times New Roman"/>
          <w:b/>
          <w:snapToGrid w:val="0"/>
        </w:rPr>
      </w:pPr>
    </w:p>
    <w:p w14:paraId="6AE5CCBC" w14:textId="77777777" w:rsidR="00267DDB" w:rsidRPr="00037DA8" w:rsidRDefault="00267DDB" w:rsidP="00267DDB">
      <w:pPr>
        <w:tabs>
          <w:tab w:val="left" w:pos="567"/>
        </w:tabs>
        <w:spacing w:after="0" w:line="260" w:lineRule="exact"/>
        <w:outlineLvl w:val="0"/>
        <w:rPr>
          <w:rFonts w:ascii="Times New Roman" w:eastAsia="Times New Roman" w:hAnsi="Times New Roman"/>
          <w:b/>
          <w:snapToGrid w:val="0"/>
        </w:rPr>
      </w:pPr>
    </w:p>
    <w:p w14:paraId="0CEC2F54" w14:textId="77777777" w:rsidR="00267DDB" w:rsidRPr="00037DA8" w:rsidRDefault="00267DDB" w:rsidP="00267DDB">
      <w:pPr>
        <w:tabs>
          <w:tab w:val="left" w:pos="567"/>
        </w:tabs>
        <w:spacing w:after="0" w:line="260" w:lineRule="exact"/>
        <w:outlineLvl w:val="0"/>
        <w:rPr>
          <w:rFonts w:ascii="Times New Roman" w:eastAsia="Times New Roman" w:hAnsi="Times New Roman"/>
          <w:b/>
          <w:snapToGrid w:val="0"/>
        </w:rPr>
      </w:pPr>
    </w:p>
    <w:p w14:paraId="5BE053B3" w14:textId="77777777" w:rsidR="00267DDB" w:rsidRPr="00037DA8" w:rsidRDefault="00267DDB" w:rsidP="00267DDB">
      <w:pPr>
        <w:keepNext/>
        <w:tabs>
          <w:tab w:val="left" w:pos="567"/>
        </w:tabs>
        <w:spacing w:after="0" w:line="240" w:lineRule="auto"/>
        <w:jc w:val="center"/>
        <w:outlineLvl w:val="1"/>
        <w:rPr>
          <w:rFonts w:ascii="Times New Roman" w:eastAsia="Times New Roman" w:hAnsi="Times New Roman"/>
          <w:b/>
          <w:bCs/>
          <w:iCs/>
          <w:snapToGrid w:val="0"/>
          <w:lang w:eastAsia="x-none"/>
        </w:rPr>
      </w:pPr>
    </w:p>
    <w:p w14:paraId="47F7DDFB" w14:textId="77777777" w:rsidR="00267DDB" w:rsidRPr="00037DA8" w:rsidRDefault="00267DDB" w:rsidP="00267DDB">
      <w:pPr>
        <w:keepNext/>
        <w:tabs>
          <w:tab w:val="left" w:pos="567"/>
        </w:tabs>
        <w:spacing w:after="0" w:line="240" w:lineRule="auto"/>
        <w:jc w:val="center"/>
        <w:outlineLvl w:val="1"/>
        <w:rPr>
          <w:rFonts w:ascii="Times New Roman" w:eastAsia="Times New Roman" w:hAnsi="Times New Roman"/>
          <w:b/>
          <w:bCs/>
          <w:iCs/>
          <w:snapToGrid w:val="0"/>
          <w:lang w:eastAsia="x-none"/>
        </w:rPr>
      </w:pPr>
    </w:p>
    <w:p w14:paraId="0B0BCBDD" w14:textId="77777777" w:rsidR="00267DDB" w:rsidRPr="00037DA8" w:rsidRDefault="00267DDB" w:rsidP="00267DDB">
      <w:pPr>
        <w:tabs>
          <w:tab w:val="left" w:pos="567"/>
        </w:tabs>
        <w:spacing w:after="0" w:line="260" w:lineRule="exact"/>
        <w:rPr>
          <w:rFonts w:ascii="Times New Roman" w:eastAsia="Times New Roman" w:hAnsi="Times New Roman"/>
          <w:snapToGrid w:val="0"/>
          <w:lang w:eastAsia="x-none"/>
        </w:rPr>
      </w:pPr>
    </w:p>
    <w:p w14:paraId="5E98A36B" w14:textId="77777777" w:rsidR="00267DDB" w:rsidRPr="00037DA8" w:rsidRDefault="00267DDB" w:rsidP="00267DDB">
      <w:pPr>
        <w:keepNext/>
        <w:tabs>
          <w:tab w:val="left" w:pos="567"/>
        </w:tabs>
        <w:spacing w:after="0" w:line="240" w:lineRule="auto"/>
        <w:jc w:val="center"/>
        <w:outlineLvl w:val="1"/>
        <w:rPr>
          <w:rFonts w:ascii="Times New Roman" w:eastAsia="Times New Roman" w:hAnsi="Times New Roman"/>
          <w:b/>
          <w:snapToGrid w:val="0"/>
          <w:lang w:eastAsia="x-none"/>
        </w:rPr>
      </w:pPr>
      <w:r w:rsidRPr="00037DA8">
        <w:rPr>
          <w:rFonts w:ascii="Times New Roman" w:eastAsia="Times New Roman" w:hAnsi="Times New Roman"/>
          <w:b/>
          <w:bCs/>
          <w:iCs/>
          <w:snapToGrid w:val="0"/>
          <w:lang w:eastAsia="x-none"/>
        </w:rPr>
        <w:t>III PRIEDAS</w:t>
      </w:r>
    </w:p>
    <w:p w14:paraId="20C21A50"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51782BC1" w14:textId="77777777" w:rsidR="00267DDB" w:rsidRPr="00037DA8" w:rsidRDefault="00267DDB" w:rsidP="00267DDB">
      <w:pPr>
        <w:keepNext/>
        <w:tabs>
          <w:tab w:val="left" w:pos="567"/>
        </w:tabs>
        <w:spacing w:after="0" w:line="240" w:lineRule="auto"/>
        <w:jc w:val="center"/>
        <w:outlineLvl w:val="1"/>
        <w:rPr>
          <w:rFonts w:ascii="Times New Roman" w:eastAsia="Times New Roman" w:hAnsi="Times New Roman"/>
          <w:b/>
          <w:snapToGrid w:val="0"/>
          <w:lang w:eastAsia="x-none"/>
        </w:rPr>
      </w:pPr>
      <w:r w:rsidRPr="00037DA8">
        <w:rPr>
          <w:rFonts w:ascii="Times New Roman" w:eastAsia="Times New Roman" w:hAnsi="Times New Roman"/>
          <w:b/>
          <w:bCs/>
          <w:iCs/>
          <w:snapToGrid w:val="0"/>
          <w:lang w:eastAsia="x-none"/>
        </w:rPr>
        <w:t>ŽENKLINIMAS IR PAKUOTĖS LAPELIS</w:t>
      </w:r>
    </w:p>
    <w:p w14:paraId="0A3369E7" w14:textId="77777777" w:rsidR="00267DDB" w:rsidRPr="00037DA8" w:rsidRDefault="00267DDB" w:rsidP="00267DD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br w:type="page"/>
      </w:r>
    </w:p>
    <w:p w14:paraId="71726DC6"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4DEA413C"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2ED581D3"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4FE24C20"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378F449D"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0E47FE79"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7AFA2DB6"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6AB8A370"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4862F77F"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17BDADFD"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62C87722"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3F8F4458"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763DBA82"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39290590"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75C7345C"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76309F76"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42625D64"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52A591FB"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34DE1D0E"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480D77E1"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47BCCBC1"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30E17CDC"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557FE447"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26656843" w14:textId="77777777" w:rsidR="00267DDB" w:rsidRPr="00037DA8" w:rsidRDefault="00267DDB" w:rsidP="00267DDB">
      <w:pPr>
        <w:keepNext/>
        <w:tabs>
          <w:tab w:val="left" w:pos="567"/>
        </w:tabs>
        <w:spacing w:after="0" w:line="240" w:lineRule="auto"/>
        <w:jc w:val="center"/>
        <w:outlineLvl w:val="1"/>
        <w:rPr>
          <w:rFonts w:ascii="Times New Roman" w:eastAsia="Times New Roman" w:hAnsi="Times New Roman"/>
          <w:b/>
          <w:snapToGrid w:val="0"/>
          <w:lang w:eastAsia="x-none"/>
        </w:rPr>
      </w:pPr>
      <w:r w:rsidRPr="00037DA8">
        <w:rPr>
          <w:rFonts w:ascii="Times New Roman" w:eastAsia="Times New Roman" w:hAnsi="Times New Roman"/>
          <w:b/>
          <w:bCs/>
          <w:iCs/>
          <w:snapToGrid w:val="0"/>
          <w:lang w:eastAsia="x-none"/>
        </w:rPr>
        <w:t>A. ŽENKLINIMAS</w:t>
      </w:r>
    </w:p>
    <w:p w14:paraId="1B5D9E78" w14:textId="77777777" w:rsidR="00267DDB" w:rsidRPr="00037DA8" w:rsidRDefault="00267DDB" w:rsidP="00267DD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br w:type="page"/>
      </w:r>
    </w:p>
    <w:p w14:paraId="71952A0C" w14:textId="77777777" w:rsidR="00267DDB" w:rsidRPr="00037DA8"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037DA8">
        <w:rPr>
          <w:rFonts w:ascii="Times New Roman" w:eastAsia="Times New Roman" w:hAnsi="Times New Roman"/>
          <w:b/>
          <w:noProof/>
          <w:snapToGrid w:val="0"/>
        </w:rPr>
        <w:lastRenderedPageBreak/>
        <w:t>INFORMACIJA ANT IŠORINĖS PAKUOTĖS</w:t>
      </w:r>
    </w:p>
    <w:p w14:paraId="027B0101" w14:textId="77777777" w:rsidR="00267DDB" w:rsidRPr="00037DA8"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14:paraId="43E2338B" w14:textId="77777777" w:rsidR="00267DDB" w:rsidRPr="00037DA8"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037DA8">
        <w:rPr>
          <w:rFonts w:ascii="Times New Roman" w:eastAsia="Times New Roman" w:hAnsi="Times New Roman"/>
          <w:b/>
          <w:noProof/>
          <w:snapToGrid w:val="0"/>
        </w:rPr>
        <w:t>KARTONO DĖŽUTĖ</w:t>
      </w:r>
    </w:p>
    <w:p w14:paraId="57E02D78"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4E3D3A7F"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1DF9F52D" w14:textId="77777777" w:rsidR="00267DDB" w:rsidRPr="00037DA8"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037DA8">
        <w:rPr>
          <w:rFonts w:ascii="Times New Roman" w:eastAsia="Times New Roman" w:hAnsi="Times New Roman"/>
          <w:b/>
          <w:snapToGrid w:val="0"/>
        </w:rPr>
        <w:t>1.</w:t>
      </w:r>
      <w:r w:rsidRPr="00037DA8">
        <w:rPr>
          <w:rFonts w:ascii="Times New Roman" w:eastAsia="Times New Roman" w:hAnsi="Times New Roman"/>
          <w:b/>
          <w:snapToGrid w:val="0"/>
        </w:rPr>
        <w:tab/>
      </w:r>
      <w:r w:rsidRPr="00037DA8">
        <w:rPr>
          <w:rFonts w:ascii="Times New Roman" w:eastAsia="Times New Roman" w:hAnsi="Times New Roman"/>
          <w:b/>
          <w:caps/>
          <w:noProof/>
          <w:snapToGrid w:val="0"/>
        </w:rPr>
        <w:t>VAISTINIO</w:t>
      </w:r>
      <w:r w:rsidRPr="00037DA8">
        <w:rPr>
          <w:rFonts w:ascii="Times New Roman" w:eastAsia="Times New Roman" w:hAnsi="Times New Roman"/>
          <w:b/>
          <w:noProof/>
          <w:snapToGrid w:val="0"/>
        </w:rPr>
        <w:t xml:space="preserve"> PREPARATO PAVADINIMAS</w:t>
      </w:r>
    </w:p>
    <w:p w14:paraId="193F8D6D"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36214C6A" w14:textId="77777777" w:rsidR="00267DDB" w:rsidRPr="00037DA8" w:rsidRDefault="00FE3805" w:rsidP="00267DDB">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Cabazitaxel</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Sandoz</w:t>
      </w:r>
      <w:proofErr w:type="spellEnd"/>
      <w:r w:rsidR="00267DDB" w:rsidRPr="00037DA8">
        <w:rPr>
          <w:rFonts w:ascii="Times New Roman" w:eastAsia="Times New Roman" w:hAnsi="Times New Roman"/>
          <w:snapToGrid w:val="0"/>
        </w:rPr>
        <w:t xml:space="preserve"> </w:t>
      </w:r>
      <w:r w:rsidRPr="00037DA8">
        <w:rPr>
          <w:rFonts w:ascii="Times New Roman" w:eastAsia="Times New Roman" w:hAnsi="Times New Roman"/>
          <w:noProof/>
          <w:snapToGrid w:val="0"/>
        </w:rPr>
        <w:t>10</w:t>
      </w:r>
      <w:r w:rsidR="00267DDB" w:rsidRPr="00037DA8">
        <w:rPr>
          <w:rFonts w:ascii="Times New Roman" w:eastAsia="Times New Roman" w:hAnsi="Times New Roman"/>
          <w:noProof/>
          <w:snapToGrid w:val="0"/>
        </w:rPr>
        <w:t> mg/ml koncentratas infuziniam tirpalui</w:t>
      </w:r>
      <w:r w:rsidR="00267DDB" w:rsidRPr="00037DA8">
        <w:rPr>
          <w:rFonts w:ascii="Times New Roman" w:eastAsia="Times New Roman" w:hAnsi="Times New Roman"/>
          <w:snapToGrid w:val="0"/>
        </w:rPr>
        <w:t xml:space="preserve"> </w:t>
      </w:r>
    </w:p>
    <w:p w14:paraId="367D52BA" w14:textId="77777777" w:rsidR="00267DDB" w:rsidRPr="00037DA8" w:rsidRDefault="004D0952" w:rsidP="00267DDB">
      <w:pPr>
        <w:tabs>
          <w:tab w:val="left" w:pos="567"/>
        </w:tabs>
        <w:spacing w:after="0" w:line="260" w:lineRule="exact"/>
        <w:rPr>
          <w:rFonts w:ascii="Times New Roman" w:eastAsia="Times New Roman" w:hAnsi="Times New Roman"/>
          <w:snapToGrid w:val="0"/>
        </w:rPr>
      </w:pPr>
      <w:proofErr w:type="spellStart"/>
      <w:r w:rsidRPr="00037DA8">
        <w:rPr>
          <w:rFonts w:ascii="Times New Roman" w:eastAsia="Times New Roman" w:hAnsi="Times New Roman"/>
          <w:snapToGrid w:val="0"/>
        </w:rPr>
        <w:t>cabazitaxelum</w:t>
      </w:r>
      <w:proofErr w:type="spellEnd"/>
    </w:p>
    <w:p w14:paraId="00DB89B5" w14:textId="77777777" w:rsidR="00267DDB" w:rsidRPr="007523B2" w:rsidRDefault="00267DDB" w:rsidP="00267DDB">
      <w:pPr>
        <w:tabs>
          <w:tab w:val="left" w:pos="567"/>
        </w:tabs>
        <w:spacing w:after="0" w:line="260" w:lineRule="exact"/>
        <w:rPr>
          <w:rFonts w:ascii="Times New Roman" w:eastAsia="Times New Roman" w:hAnsi="Times New Roman"/>
          <w:snapToGrid w:val="0"/>
          <w:sz w:val="16"/>
          <w:szCs w:val="16"/>
        </w:rPr>
      </w:pPr>
    </w:p>
    <w:p w14:paraId="013E99F5"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59A4FE22" w14:textId="77777777" w:rsidR="00267DDB" w:rsidRPr="00037DA8"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037DA8">
        <w:rPr>
          <w:rFonts w:ascii="Times New Roman" w:eastAsia="Times New Roman" w:hAnsi="Times New Roman"/>
          <w:b/>
          <w:snapToGrid w:val="0"/>
        </w:rPr>
        <w:t>2.</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VEIKLIOJI (-IOS) MEDŽIAGA (-OS) IR JOS (-Ų) KIEKIS (-IAI)</w:t>
      </w:r>
    </w:p>
    <w:p w14:paraId="29B6312F"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4D89A699" w14:textId="3CC094A3" w:rsidR="00C13C9E" w:rsidRPr="00BC3E54" w:rsidRDefault="008655E6" w:rsidP="00C13C9E">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K</w:t>
      </w:r>
      <w:r w:rsidR="00C13C9E" w:rsidRPr="00037DA8">
        <w:rPr>
          <w:rFonts w:ascii="Times New Roman" w:eastAsia="Times New Roman" w:hAnsi="Times New Roman"/>
          <w:snapToGrid w:val="0"/>
        </w:rPr>
        <w:t xml:space="preserve">iekviename ml yra </w:t>
      </w:r>
      <w:proofErr w:type="spellStart"/>
      <w:r w:rsidR="00C13C9E" w:rsidRPr="00037DA8">
        <w:rPr>
          <w:rFonts w:ascii="Times New Roman" w:eastAsia="Times New Roman" w:hAnsi="Times New Roman"/>
          <w:snapToGrid w:val="0"/>
        </w:rPr>
        <w:t>kabazitakselio</w:t>
      </w:r>
      <w:proofErr w:type="spellEnd"/>
      <w:r w:rsidR="00C13C9E" w:rsidRPr="00037DA8">
        <w:rPr>
          <w:rFonts w:ascii="Times New Roman" w:eastAsia="Times New Roman" w:hAnsi="Times New Roman"/>
          <w:snapToGrid w:val="0"/>
        </w:rPr>
        <w:t xml:space="preserve"> </w:t>
      </w:r>
      <w:proofErr w:type="spellStart"/>
      <w:r w:rsidR="00C13C9E" w:rsidRPr="00037DA8">
        <w:rPr>
          <w:rFonts w:ascii="Times New Roman" w:eastAsia="Times New Roman" w:hAnsi="Times New Roman"/>
          <w:snapToGrid w:val="0"/>
        </w:rPr>
        <w:t>monohidrato</w:t>
      </w:r>
      <w:proofErr w:type="spellEnd"/>
      <w:r w:rsidR="00C13C9E" w:rsidRPr="00037DA8">
        <w:rPr>
          <w:rFonts w:ascii="Times New Roman" w:eastAsia="Times New Roman" w:hAnsi="Times New Roman"/>
          <w:snapToGrid w:val="0"/>
        </w:rPr>
        <w:t xml:space="preserve"> kiekis</w:t>
      </w:r>
      <w:r w:rsidR="00BC3E54">
        <w:rPr>
          <w:rFonts w:ascii="Times New Roman" w:eastAsia="Times New Roman" w:hAnsi="Times New Roman"/>
          <w:snapToGrid w:val="0"/>
        </w:rPr>
        <w:t xml:space="preserve">, </w:t>
      </w:r>
      <w:r w:rsidR="00C13C9E" w:rsidRPr="00BC3E54">
        <w:rPr>
          <w:rFonts w:ascii="Times New Roman" w:eastAsia="Times New Roman" w:hAnsi="Times New Roman"/>
          <w:snapToGrid w:val="0"/>
        </w:rPr>
        <w:t xml:space="preserve">ekvivalentiškas 10 mg </w:t>
      </w:r>
      <w:proofErr w:type="spellStart"/>
      <w:r w:rsidR="00C13C9E" w:rsidRPr="00BC3E54">
        <w:rPr>
          <w:rFonts w:ascii="Times New Roman" w:eastAsia="Times New Roman" w:hAnsi="Times New Roman"/>
          <w:snapToGrid w:val="0"/>
        </w:rPr>
        <w:t>kabazitakselio</w:t>
      </w:r>
      <w:proofErr w:type="spellEnd"/>
      <w:r w:rsidR="009B1415">
        <w:rPr>
          <w:rFonts w:ascii="Times New Roman" w:eastAsia="Times New Roman" w:hAnsi="Times New Roman"/>
          <w:snapToGrid w:val="0"/>
        </w:rPr>
        <w:t xml:space="preserve"> </w:t>
      </w:r>
      <w:r w:rsidR="009B1415" w:rsidRPr="003F069E">
        <w:rPr>
          <w:rFonts w:ascii="Times New Roman" w:eastAsia="Times New Roman" w:hAnsi="Times New Roman"/>
          <w:snapToGrid w:val="0"/>
          <w:highlight w:val="lightGray"/>
        </w:rPr>
        <w:t>(</w:t>
      </w:r>
      <w:proofErr w:type="spellStart"/>
      <w:r w:rsidR="00566539" w:rsidRPr="003F069E">
        <w:rPr>
          <w:rFonts w:ascii="Times New Roman" w:eastAsia="Times New Roman" w:hAnsi="Times New Roman"/>
          <w:snapToGrid w:val="0"/>
          <w:highlight w:val="lightGray"/>
        </w:rPr>
        <w:t>monohi</w:t>
      </w:r>
      <w:r w:rsidR="00664AFE">
        <w:rPr>
          <w:rFonts w:ascii="Times New Roman" w:eastAsia="Times New Roman" w:hAnsi="Times New Roman"/>
          <w:snapToGrid w:val="0"/>
          <w:highlight w:val="lightGray"/>
        </w:rPr>
        <w:t>d</w:t>
      </w:r>
      <w:r w:rsidR="00566539" w:rsidRPr="003F069E">
        <w:rPr>
          <w:rFonts w:ascii="Times New Roman" w:eastAsia="Times New Roman" w:hAnsi="Times New Roman"/>
          <w:snapToGrid w:val="0"/>
          <w:highlight w:val="lightGray"/>
        </w:rPr>
        <w:t>rato</w:t>
      </w:r>
      <w:proofErr w:type="spellEnd"/>
      <w:r w:rsidR="00566539" w:rsidRPr="003F069E">
        <w:rPr>
          <w:rFonts w:ascii="Times New Roman" w:eastAsia="Times New Roman" w:hAnsi="Times New Roman"/>
          <w:snapToGrid w:val="0"/>
          <w:highlight w:val="lightGray"/>
        </w:rPr>
        <w:t xml:space="preserve"> pavidalu).</w:t>
      </w:r>
    </w:p>
    <w:p w14:paraId="34C92335" w14:textId="431305A9" w:rsidR="00C13C9E" w:rsidRPr="00BC3E54" w:rsidRDefault="00C13C9E" w:rsidP="00C13C9E">
      <w:pPr>
        <w:tabs>
          <w:tab w:val="left" w:pos="567"/>
        </w:tabs>
        <w:spacing w:after="0" w:line="260" w:lineRule="exact"/>
        <w:rPr>
          <w:rFonts w:ascii="Times New Roman" w:eastAsia="Times New Roman" w:hAnsi="Times New Roman"/>
          <w:snapToGrid w:val="0"/>
        </w:rPr>
      </w:pPr>
      <w:r w:rsidRPr="00BC3E54">
        <w:rPr>
          <w:rFonts w:ascii="Times New Roman" w:eastAsia="Times New Roman" w:hAnsi="Times New Roman"/>
          <w:snapToGrid w:val="0"/>
        </w:rPr>
        <w:t xml:space="preserve">Kiekviename 4,5 ml flakone yra </w:t>
      </w:r>
      <w:proofErr w:type="spellStart"/>
      <w:r w:rsidRPr="00BC3E54">
        <w:rPr>
          <w:rFonts w:ascii="Times New Roman" w:eastAsia="Times New Roman" w:hAnsi="Times New Roman"/>
          <w:snapToGrid w:val="0"/>
        </w:rPr>
        <w:t>kabazitakselio</w:t>
      </w:r>
      <w:proofErr w:type="spellEnd"/>
      <w:r w:rsidRPr="00BC3E54">
        <w:rPr>
          <w:rFonts w:ascii="Times New Roman" w:eastAsia="Times New Roman" w:hAnsi="Times New Roman"/>
          <w:snapToGrid w:val="0"/>
        </w:rPr>
        <w:t xml:space="preserve"> </w:t>
      </w:r>
      <w:proofErr w:type="spellStart"/>
      <w:r w:rsidRPr="00BC3E54">
        <w:rPr>
          <w:rFonts w:ascii="Times New Roman" w:eastAsia="Times New Roman" w:hAnsi="Times New Roman"/>
          <w:snapToGrid w:val="0"/>
        </w:rPr>
        <w:t>monohidrato</w:t>
      </w:r>
      <w:proofErr w:type="spellEnd"/>
      <w:r w:rsidRPr="00BC3E54">
        <w:rPr>
          <w:rFonts w:ascii="Times New Roman" w:eastAsia="Times New Roman" w:hAnsi="Times New Roman"/>
          <w:snapToGrid w:val="0"/>
        </w:rPr>
        <w:t xml:space="preserve"> kiekis</w:t>
      </w:r>
      <w:r w:rsidR="00BC3E54">
        <w:rPr>
          <w:rFonts w:ascii="Times New Roman" w:eastAsia="Times New Roman" w:hAnsi="Times New Roman"/>
          <w:snapToGrid w:val="0"/>
        </w:rPr>
        <w:t xml:space="preserve">, </w:t>
      </w:r>
      <w:r w:rsidRPr="00BC3E54">
        <w:rPr>
          <w:rFonts w:ascii="Times New Roman" w:eastAsia="Times New Roman" w:hAnsi="Times New Roman"/>
          <w:snapToGrid w:val="0"/>
        </w:rPr>
        <w:t>ekvivalentiškas</w:t>
      </w:r>
      <w:r w:rsidR="003F069E">
        <w:rPr>
          <w:rFonts w:ascii="Times New Roman" w:eastAsia="Times New Roman" w:hAnsi="Times New Roman"/>
          <w:snapToGrid w:val="0"/>
        </w:rPr>
        <w:t xml:space="preserve"> </w:t>
      </w:r>
      <w:r w:rsidRPr="00BC3E54">
        <w:rPr>
          <w:rFonts w:ascii="Times New Roman" w:eastAsia="Times New Roman" w:hAnsi="Times New Roman"/>
          <w:snapToGrid w:val="0"/>
        </w:rPr>
        <w:t xml:space="preserve">45 mg </w:t>
      </w:r>
      <w:proofErr w:type="spellStart"/>
      <w:r w:rsidRPr="00BC3E54">
        <w:rPr>
          <w:rFonts w:ascii="Times New Roman" w:eastAsia="Times New Roman" w:hAnsi="Times New Roman"/>
          <w:snapToGrid w:val="0"/>
        </w:rPr>
        <w:t>kabazitakselio</w:t>
      </w:r>
      <w:proofErr w:type="spellEnd"/>
      <w:r w:rsidR="009B1415">
        <w:rPr>
          <w:rFonts w:ascii="Times New Roman" w:eastAsia="Times New Roman" w:hAnsi="Times New Roman"/>
          <w:snapToGrid w:val="0"/>
        </w:rPr>
        <w:t xml:space="preserve"> </w:t>
      </w:r>
      <w:r w:rsidR="00566539" w:rsidRPr="003F069E">
        <w:rPr>
          <w:rFonts w:ascii="Times New Roman" w:eastAsia="Times New Roman" w:hAnsi="Times New Roman"/>
          <w:snapToGrid w:val="0"/>
          <w:highlight w:val="lightGray"/>
        </w:rPr>
        <w:t>(</w:t>
      </w:r>
      <w:proofErr w:type="spellStart"/>
      <w:r w:rsidR="00566539" w:rsidRPr="003F069E">
        <w:rPr>
          <w:rFonts w:ascii="Times New Roman" w:eastAsia="Times New Roman" w:hAnsi="Times New Roman"/>
          <w:snapToGrid w:val="0"/>
          <w:highlight w:val="lightGray"/>
        </w:rPr>
        <w:t>monohi</w:t>
      </w:r>
      <w:r w:rsidR="00664AFE">
        <w:rPr>
          <w:rFonts w:ascii="Times New Roman" w:eastAsia="Times New Roman" w:hAnsi="Times New Roman"/>
          <w:snapToGrid w:val="0"/>
          <w:highlight w:val="lightGray"/>
        </w:rPr>
        <w:t>d</w:t>
      </w:r>
      <w:r w:rsidR="00566539" w:rsidRPr="003F069E">
        <w:rPr>
          <w:rFonts w:ascii="Times New Roman" w:eastAsia="Times New Roman" w:hAnsi="Times New Roman"/>
          <w:snapToGrid w:val="0"/>
          <w:highlight w:val="lightGray"/>
        </w:rPr>
        <w:t>rato</w:t>
      </w:r>
      <w:proofErr w:type="spellEnd"/>
      <w:r w:rsidR="00566539" w:rsidRPr="003F069E">
        <w:rPr>
          <w:rFonts w:ascii="Times New Roman" w:eastAsia="Times New Roman" w:hAnsi="Times New Roman"/>
          <w:snapToGrid w:val="0"/>
          <w:highlight w:val="lightGray"/>
        </w:rPr>
        <w:t xml:space="preserve"> pavidalu).</w:t>
      </w:r>
    </w:p>
    <w:p w14:paraId="23588A1D" w14:textId="4BCCF312" w:rsidR="00C13C9E" w:rsidRPr="00BC3E54" w:rsidRDefault="00C13C9E" w:rsidP="00C13C9E">
      <w:pPr>
        <w:tabs>
          <w:tab w:val="left" w:pos="567"/>
        </w:tabs>
        <w:spacing w:after="0" w:line="260" w:lineRule="exact"/>
        <w:rPr>
          <w:rFonts w:ascii="Times New Roman" w:eastAsia="Times New Roman" w:hAnsi="Times New Roman"/>
          <w:snapToGrid w:val="0"/>
        </w:rPr>
      </w:pPr>
      <w:r w:rsidRPr="00BC3E54">
        <w:rPr>
          <w:rFonts w:ascii="Times New Roman" w:eastAsia="Times New Roman" w:hAnsi="Times New Roman"/>
          <w:snapToGrid w:val="0"/>
          <w:highlight w:val="lightGray"/>
        </w:rPr>
        <w:t xml:space="preserve">Kiekviename 6 ml flakone yra </w:t>
      </w:r>
      <w:proofErr w:type="spellStart"/>
      <w:r w:rsidRPr="00BC3E54">
        <w:rPr>
          <w:rFonts w:ascii="Times New Roman" w:eastAsia="Times New Roman" w:hAnsi="Times New Roman"/>
          <w:snapToGrid w:val="0"/>
          <w:highlight w:val="lightGray"/>
        </w:rPr>
        <w:t>kabazitakselio</w:t>
      </w:r>
      <w:proofErr w:type="spellEnd"/>
      <w:r w:rsidRPr="00BC3E54">
        <w:rPr>
          <w:rFonts w:ascii="Times New Roman" w:eastAsia="Times New Roman" w:hAnsi="Times New Roman"/>
          <w:snapToGrid w:val="0"/>
          <w:highlight w:val="lightGray"/>
        </w:rPr>
        <w:t xml:space="preserve"> </w:t>
      </w:r>
      <w:proofErr w:type="spellStart"/>
      <w:r w:rsidRPr="00BC3E54">
        <w:rPr>
          <w:rFonts w:ascii="Times New Roman" w:eastAsia="Times New Roman" w:hAnsi="Times New Roman"/>
          <w:snapToGrid w:val="0"/>
          <w:highlight w:val="lightGray"/>
        </w:rPr>
        <w:t>monohidrato</w:t>
      </w:r>
      <w:proofErr w:type="spellEnd"/>
      <w:r w:rsidRPr="00BC3E54">
        <w:rPr>
          <w:rFonts w:ascii="Times New Roman" w:eastAsia="Times New Roman" w:hAnsi="Times New Roman"/>
          <w:snapToGrid w:val="0"/>
          <w:highlight w:val="lightGray"/>
        </w:rPr>
        <w:t xml:space="preserve"> kiekis</w:t>
      </w:r>
      <w:r w:rsidR="00BC3E54">
        <w:rPr>
          <w:rFonts w:ascii="Times New Roman" w:eastAsia="Times New Roman" w:hAnsi="Times New Roman"/>
          <w:snapToGrid w:val="0"/>
          <w:highlight w:val="lightGray"/>
        </w:rPr>
        <w:t xml:space="preserve">, </w:t>
      </w:r>
      <w:r w:rsidRPr="00BC3E54">
        <w:rPr>
          <w:rFonts w:ascii="Times New Roman" w:eastAsia="Times New Roman" w:hAnsi="Times New Roman"/>
          <w:snapToGrid w:val="0"/>
          <w:highlight w:val="lightGray"/>
        </w:rPr>
        <w:t xml:space="preserve">ekvivalentiškas 60 mg </w:t>
      </w:r>
      <w:proofErr w:type="spellStart"/>
      <w:r w:rsidRPr="00BC3E54">
        <w:rPr>
          <w:rFonts w:ascii="Times New Roman" w:eastAsia="Times New Roman" w:hAnsi="Times New Roman"/>
          <w:snapToGrid w:val="0"/>
          <w:highlight w:val="lightGray"/>
        </w:rPr>
        <w:t>kabazitakselio</w:t>
      </w:r>
      <w:proofErr w:type="spellEnd"/>
      <w:r w:rsidR="00566539">
        <w:rPr>
          <w:rFonts w:ascii="Times New Roman" w:eastAsia="Times New Roman" w:hAnsi="Times New Roman"/>
          <w:snapToGrid w:val="0"/>
          <w:highlight w:val="lightGray"/>
        </w:rPr>
        <w:t xml:space="preserve"> </w:t>
      </w:r>
      <w:r w:rsidR="00C67E9C">
        <w:rPr>
          <w:rFonts w:ascii="Times New Roman" w:eastAsia="Times New Roman" w:hAnsi="Times New Roman"/>
          <w:snapToGrid w:val="0"/>
          <w:highlight w:val="lightGray"/>
        </w:rPr>
        <w:t>(</w:t>
      </w:r>
      <w:proofErr w:type="spellStart"/>
      <w:r w:rsidR="00566539" w:rsidRPr="003F069E">
        <w:rPr>
          <w:rFonts w:ascii="Times New Roman" w:eastAsia="Times New Roman" w:hAnsi="Times New Roman"/>
          <w:snapToGrid w:val="0"/>
          <w:highlight w:val="lightGray"/>
        </w:rPr>
        <w:t>monohi</w:t>
      </w:r>
      <w:r w:rsidR="00664AFE">
        <w:rPr>
          <w:rFonts w:ascii="Times New Roman" w:eastAsia="Times New Roman" w:hAnsi="Times New Roman"/>
          <w:snapToGrid w:val="0"/>
          <w:highlight w:val="lightGray"/>
        </w:rPr>
        <w:t>d</w:t>
      </w:r>
      <w:r w:rsidR="00566539" w:rsidRPr="003F069E">
        <w:rPr>
          <w:rFonts w:ascii="Times New Roman" w:eastAsia="Times New Roman" w:hAnsi="Times New Roman"/>
          <w:snapToGrid w:val="0"/>
          <w:highlight w:val="lightGray"/>
        </w:rPr>
        <w:t>rato</w:t>
      </w:r>
      <w:proofErr w:type="spellEnd"/>
      <w:r w:rsidR="00566539" w:rsidRPr="003F069E">
        <w:rPr>
          <w:rFonts w:ascii="Times New Roman" w:eastAsia="Times New Roman" w:hAnsi="Times New Roman"/>
          <w:snapToGrid w:val="0"/>
          <w:highlight w:val="lightGray"/>
        </w:rPr>
        <w:t xml:space="preserve"> pavidalu).</w:t>
      </w:r>
      <w:r w:rsidR="009B1415" w:rsidRPr="009B1415">
        <w:rPr>
          <w:rFonts w:ascii="Times New Roman" w:eastAsia="Times New Roman" w:hAnsi="Times New Roman"/>
          <w:snapToGrid w:val="0"/>
          <w:highlight w:val="lightGray"/>
        </w:rPr>
        <w:t xml:space="preserve"> </w:t>
      </w:r>
    </w:p>
    <w:p w14:paraId="16B7368E" w14:textId="77777777" w:rsidR="00E86431" w:rsidRPr="007523B2" w:rsidRDefault="00E86431" w:rsidP="007523B2">
      <w:pPr>
        <w:tabs>
          <w:tab w:val="left" w:pos="567"/>
        </w:tabs>
        <w:spacing w:after="0" w:line="240" w:lineRule="auto"/>
        <w:rPr>
          <w:rFonts w:ascii="Times New Roman" w:hAnsi="Times New Roman"/>
          <w:sz w:val="16"/>
          <w:szCs w:val="16"/>
          <w:highlight w:val="lightGray"/>
        </w:rPr>
      </w:pPr>
    </w:p>
    <w:p w14:paraId="0DB4AC06" w14:textId="77777777" w:rsidR="00267DDB" w:rsidRPr="0085406C" w:rsidRDefault="00267DDB" w:rsidP="007523B2">
      <w:pPr>
        <w:tabs>
          <w:tab w:val="left" w:pos="567"/>
        </w:tabs>
        <w:spacing w:after="0" w:line="240" w:lineRule="auto"/>
        <w:rPr>
          <w:rFonts w:ascii="Times New Roman" w:eastAsia="Times New Roman" w:hAnsi="Times New Roman"/>
          <w:snapToGrid w:val="0"/>
        </w:rPr>
      </w:pPr>
    </w:p>
    <w:p w14:paraId="67380BC3" w14:textId="77777777" w:rsidR="00267DDB" w:rsidRPr="004200DB" w:rsidRDefault="00267DDB" w:rsidP="007523B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4200DB">
        <w:rPr>
          <w:rFonts w:ascii="Times New Roman" w:eastAsia="Times New Roman" w:hAnsi="Times New Roman"/>
          <w:b/>
          <w:snapToGrid w:val="0"/>
        </w:rPr>
        <w:t>3.</w:t>
      </w:r>
      <w:r w:rsidRPr="004200DB">
        <w:rPr>
          <w:rFonts w:ascii="Times New Roman" w:eastAsia="Times New Roman" w:hAnsi="Times New Roman"/>
          <w:b/>
          <w:snapToGrid w:val="0"/>
        </w:rPr>
        <w:tab/>
      </w:r>
      <w:r w:rsidRPr="004200DB">
        <w:rPr>
          <w:rFonts w:ascii="Times New Roman" w:eastAsia="Times New Roman" w:hAnsi="Times New Roman"/>
          <w:b/>
          <w:noProof/>
          <w:snapToGrid w:val="0"/>
        </w:rPr>
        <w:t>PAGALBINIŲ MEDŽIAGŲ SĄRAŠAS</w:t>
      </w:r>
    </w:p>
    <w:p w14:paraId="6C2830C6" w14:textId="77777777" w:rsidR="00267DDB" w:rsidRPr="00037DA8" w:rsidRDefault="00267DDB" w:rsidP="007523B2">
      <w:pPr>
        <w:tabs>
          <w:tab w:val="left" w:pos="567"/>
        </w:tabs>
        <w:spacing w:after="0" w:line="240" w:lineRule="auto"/>
        <w:rPr>
          <w:rFonts w:ascii="Times New Roman" w:eastAsia="Times New Roman" w:hAnsi="Times New Roman"/>
          <w:snapToGrid w:val="0"/>
        </w:rPr>
      </w:pPr>
    </w:p>
    <w:p w14:paraId="5CE3FC36" w14:textId="77777777" w:rsidR="00C95B72" w:rsidRPr="0085406C" w:rsidRDefault="00C13C9E" w:rsidP="007523B2">
      <w:pPr>
        <w:tabs>
          <w:tab w:val="left" w:pos="567"/>
        </w:tabs>
        <w:spacing w:after="0" w:line="240" w:lineRule="auto"/>
        <w:rPr>
          <w:rFonts w:ascii="Times New Roman" w:eastAsia="Times New Roman" w:hAnsi="Times New Roman"/>
          <w:snapToGrid w:val="0"/>
        </w:rPr>
      </w:pPr>
      <w:proofErr w:type="spellStart"/>
      <w:r w:rsidRPr="00074768">
        <w:rPr>
          <w:rFonts w:ascii="Times New Roman" w:eastAsia="Times New Roman" w:hAnsi="Times New Roman"/>
          <w:snapToGrid w:val="0"/>
          <w:lang w:eastAsia="en-GB"/>
        </w:rPr>
        <w:t>Polysorbatum</w:t>
      </w:r>
      <w:proofErr w:type="spellEnd"/>
      <w:r w:rsidRPr="00074768">
        <w:rPr>
          <w:rFonts w:ascii="Times New Roman" w:eastAsia="Times New Roman" w:hAnsi="Times New Roman"/>
          <w:snapToGrid w:val="0"/>
          <w:lang w:eastAsia="en-GB"/>
        </w:rPr>
        <w:t xml:space="preserve"> 80, </w:t>
      </w:r>
      <w:proofErr w:type="spellStart"/>
      <w:r w:rsidRPr="00074768">
        <w:rPr>
          <w:rFonts w:ascii="Times New Roman" w:eastAsia="Times New Roman" w:hAnsi="Times New Roman"/>
          <w:snapToGrid w:val="0"/>
          <w:lang w:eastAsia="en-GB"/>
        </w:rPr>
        <w:t>Acidum</w:t>
      </w:r>
      <w:proofErr w:type="spellEnd"/>
      <w:r w:rsidRPr="00074768">
        <w:rPr>
          <w:rFonts w:ascii="Times New Roman" w:eastAsia="Times New Roman" w:hAnsi="Times New Roman"/>
          <w:snapToGrid w:val="0"/>
          <w:lang w:eastAsia="en-GB"/>
        </w:rPr>
        <w:t xml:space="preserve"> </w:t>
      </w:r>
      <w:proofErr w:type="spellStart"/>
      <w:r w:rsidRPr="00074768">
        <w:rPr>
          <w:rFonts w:ascii="Times New Roman" w:eastAsia="Times New Roman" w:hAnsi="Times New Roman"/>
          <w:snapToGrid w:val="0"/>
          <w:lang w:eastAsia="en-GB"/>
        </w:rPr>
        <w:t>citricum</w:t>
      </w:r>
      <w:proofErr w:type="spellEnd"/>
      <w:r w:rsidRPr="00074768">
        <w:rPr>
          <w:rFonts w:ascii="Times New Roman" w:eastAsia="Times New Roman" w:hAnsi="Times New Roman"/>
          <w:snapToGrid w:val="0"/>
          <w:lang w:eastAsia="en-GB"/>
        </w:rPr>
        <w:t xml:space="preserve"> </w:t>
      </w:r>
      <w:proofErr w:type="spellStart"/>
      <w:r w:rsidRPr="00074768">
        <w:rPr>
          <w:rFonts w:ascii="Times New Roman" w:eastAsia="Times New Roman" w:hAnsi="Times New Roman"/>
          <w:snapToGrid w:val="0"/>
          <w:lang w:eastAsia="en-GB"/>
        </w:rPr>
        <w:t>anhydricum</w:t>
      </w:r>
      <w:proofErr w:type="spellEnd"/>
      <w:r w:rsidRPr="00074768">
        <w:rPr>
          <w:rFonts w:ascii="Times New Roman" w:eastAsia="Times New Roman" w:hAnsi="Times New Roman"/>
          <w:snapToGrid w:val="0"/>
          <w:lang w:eastAsia="en-GB"/>
        </w:rPr>
        <w:t xml:space="preserve">, </w:t>
      </w:r>
      <w:proofErr w:type="spellStart"/>
      <w:r w:rsidR="00C95B72" w:rsidRPr="0085406C">
        <w:rPr>
          <w:rFonts w:ascii="Times New Roman" w:eastAsia="Times New Roman" w:hAnsi="Times New Roman"/>
          <w:snapToGrid w:val="0"/>
        </w:rPr>
        <w:t>Ethanolum</w:t>
      </w:r>
      <w:proofErr w:type="spellEnd"/>
      <w:r w:rsidR="00C95B72" w:rsidRPr="0085406C">
        <w:rPr>
          <w:rFonts w:ascii="Times New Roman" w:eastAsia="Times New Roman" w:hAnsi="Times New Roman"/>
          <w:snapToGrid w:val="0"/>
        </w:rPr>
        <w:t xml:space="preserve"> </w:t>
      </w:r>
      <w:proofErr w:type="spellStart"/>
      <w:r w:rsidR="00C95B72" w:rsidRPr="0085406C">
        <w:rPr>
          <w:rFonts w:ascii="Times New Roman" w:eastAsia="Times New Roman" w:hAnsi="Times New Roman"/>
          <w:snapToGrid w:val="0"/>
        </w:rPr>
        <w:t>anhydricum</w:t>
      </w:r>
      <w:proofErr w:type="spellEnd"/>
      <w:r w:rsidR="00C95B72" w:rsidRPr="0085406C">
        <w:rPr>
          <w:rFonts w:ascii="Times New Roman" w:eastAsia="Times New Roman" w:hAnsi="Times New Roman"/>
          <w:snapToGrid w:val="0"/>
        </w:rPr>
        <w:t xml:space="preserve">, </w:t>
      </w:r>
      <w:proofErr w:type="spellStart"/>
      <w:r w:rsidR="00C95B72" w:rsidRPr="0085406C">
        <w:rPr>
          <w:rFonts w:ascii="Times New Roman" w:eastAsia="Times New Roman" w:hAnsi="Times New Roman"/>
          <w:snapToGrid w:val="0"/>
        </w:rPr>
        <w:t>Macrogolum</w:t>
      </w:r>
      <w:proofErr w:type="spellEnd"/>
      <w:r w:rsidR="00C95B72" w:rsidRPr="0085406C">
        <w:rPr>
          <w:rFonts w:ascii="Times New Roman" w:eastAsia="Times New Roman" w:hAnsi="Times New Roman"/>
          <w:snapToGrid w:val="0"/>
        </w:rPr>
        <w:t xml:space="preserve"> 300</w:t>
      </w:r>
    </w:p>
    <w:p w14:paraId="314F8D31" w14:textId="77777777" w:rsidR="00594093" w:rsidRPr="004200DB" w:rsidRDefault="00594093" w:rsidP="007523B2">
      <w:pPr>
        <w:tabs>
          <w:tab w:val="left" w:pos="567"/>
        </w:tabs>
        <w:spacing w:after="0" w:line="240" w:lineRule="auto"/>
        <w:rPr>
          <w:rFonts w:ascii="Times New Roman" w:eastAsia="Times New Roman" w:hAnsi="Times New Roman"/>
          <w:snapToGrid w:val="0"/>
        </w:rPr>
      </w:pPr>
      <w:r w:rsidRPr="004200DB">
        <w:rPr>
          <w:rFonts w:ascii="Times New Roman" w:eastAsia="Times New Roman" w:hAnsi="Times New Roman"/>
          <w:snapToGrid w:val="0"/>
          <w:highlight w:val="lightGray"/>
        </w:rPr>
        <w:t>Daugiau informacijos žr. pakuotės lapelyje</w:t>
      </w:r>
      <w:r w:rsidR="00352B3D" w:rsidRPr="004200DB">
        <w:rPr>
          <w:rFonts w:ascii="Times New Roman" w:eastAsia="Times New Roman" w:hAnsi="Times New Roman"/>
          <w:snapToGrid w:val="0"/>
          <w:highlight w:val="lightGray"/>
        </w:rPr>
        <w:t>.</w:t>
      </w:r>
    </w:p>
    <w:p w14:paraId="53E86804" w14:textId="77777777" w:rsidR="00267DDB" w:rsidRPr="007523B2" w:rsidRDefault="00267DDB" w:rsidP="007523B2">
      <w:pPr>
        <w:tabs>
          <w:tab w:val="left" w:pos="567"/>
        </w:tabs>
        <w:spacing w:after="0" w:line="240" w:lineRule="auto"/>
        <w:rPr>
          <w:rFonts w:ascii="Times New Roman" w:eastAsia="Times New Roman" w:hAnsi="Times New Roman"/>
          <w:snapToGrid w:val="0"/>
          <w:sz w:val="16"/>
          <w:szCs w:val="16"/>
        </w:rPr>
      </w:pPr>
    </w:p>
    <w:p w14:paraId="15EB4BC7" w14:textId="77777777" w:rsidR="00BC3E54" w:rsidRPr="00BC3E54" w:rsidRDefault="00BC3E54" w:rsidP="007523B2">
      <w:pPr>
        <w:tabs>
          <w:tab w:val="left" w:pos="567"/>
        </w:tabs>
        <w:spacing w:after="0" w:line="240" w:lineRule="auto"/>
        <w:rPr>
          <w:rFonts w:ascii="Times New Roman" w:eastAsia="Times New Roman" w:hAnsi="Times New Roman"/>
          <w:snapToGrid w:val="0"/>
        </w:rPr>
      </w:pPr>
    </w:p>
    <w:p w14:paraId="7EC6E176" w14:textId="77777777" w:rsidR="00267DDB" w:rsidRPr="0085406C" w:rsidRDefault="00267DDB" w:rsidP="007523B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85406C">
        <w:rPr>
          <w:rFonts w:ascii="Times New Roman" w:eastAsia="Times New Roman" w:hAnsi="Times New Roman"/>
          <w:b/>
          <w:snapToGrid w:val="0"/>
        </w:rPr>
        <w:t>4.</w:t>
      </w:r>
      <w:r w:rsidRPr="0085406C">
        <w:rPr>
          <w:rFonts w:ascii="Times New Roman" w:eastAsia="Times New Roman" w:hAnsi="Times New Roman"/>
          <w:b/>
          <w:snapToGrid w:val="0"/>
        </w:rPr>
        <w:tab/>
      </w:r>
      <w:r w:rsidRPr="0085406C">
        <w:rPr>
          <w:rFonts w:ascii="Times New Roman" w:eastAsia="Times New Roman" w:hAnsi="Times New Roman"/>
          <w:b/>
          <w:noProof/>
          <w:snapToGrid w:val="0"/>
        </w:rPr>
        <w:t>FARMACINĖ FORMA IR KIEKIS PAKUOTĖJE</w:t>
      </w:r>
    </w:p>
    <w:p w14:paraId="2EC479B5" w14:textId="77777777" w:rsidR="00267DDB" w:rsidRPr="004200DB" w:rsidRDefault="00267DDB" w:rsidP="007523B2">
      <w:pPr>
        <w:tabs>
          <w:tab w:val="left" w:pos="567"/>
        </w:tabs>
        <w:spacing w:after="0" w:line="240" w:lineRule="auto"/>
        <w:rPr>
          <w:rFonts w:ascii="Times New Roman" w:eastAsia="Times New Roman" w:hAnsi="Times New Roman"/>
          <w:snapToGrid w:val="0"/>
        </w:rPr>
      </w:pPr>
    </w:p>
    <w:p w14:paraId="427DE8C0" w14:textId="77777777" w:rsidR="00267DDB" w:rsidRPr="0085406C" w:rsidRDefault="00267DDB" w:rsidP="007523B2">
      <w:pPr>
        <w:tabs>
          <w:tab w:val="left" w:pos="567"/>
        </w:tabs>
        <w:spacing w:after="0" w:line="240" w:lineRule="auto"/>
        <w:rPr>
          <w:rFonts w:ascii="Times New Roman" w:eastAsia="Times New Roman" w:hAnsi="Times New Roman"/>
          <w:snapToGrid w:val="0"/>
        </w:rPr>
      </w:pPr>
      <w:r w:rsidRPr="00074768">
        <w:rPr>
          <w:rFonts w:ascii="Times New Roman" w:hAnsi="Times New Roman"/>
          <w:highlight w:val="lightGray"/>
        </w:rPr>
        <w:t>Koncentratas infuziniam tirpalui</w:t>
      </w:r>
    </w:p>
    <w:p w14:paraId="7356D8FA" w14:textId="77777777" w:rsidR="00352B3D" w:rsidRPr="004200DB" w:rsidRDefault="00352B3D" w:rsidP="007523B2">
      <w:pPr>
        <w:tabs>
          <w:tab w:val="left" w:pos="567"/>
        </w:tabs>
        <w:spacing w:after="0" w:line="240" w:lineRule="auto"/>
        <w:rPr>
          <w:rFonts w:ascii="Times New Roman" w:eastAsia="Times New Roman" w:hAnsi="Times New Roman"/>
          <w:snapToGrid w:val="0"/>
        </w:rPr>
      </w:pPr>
    </w:p>
    <w:p w14:paraId="65CED6BE" w14:textId="3F70E42C" w:rsidR="00C95B72" w:rsidRPr="00037DA8" w:rsidRDefault="00267DDB" w:rsidP="007523B2">
      <w:pPr>
        <w:tabs>
          <w:tab w:val="left" w:pos="567"/>
        </w:tabs>
        <w:spacing w:after="0" w:line="240" w:lineRule="auto"/>
        <w:rPr>
          <w:rFonts w:ascii="Times New Roman" w:eastAsia="Times New Roman" w:hAnsi="Times New Roman"/>
          <w:snapToGrid w:val="0"/>
        </w:rPr>
      </w:pPr>
      <w:r w:rsidRPr="004200DB">
        <w:rPr>
          <w:rFonts w:ascii="Times New Roman" w:eastAsia="Times New Roman" w:hAnsi="Times New Roman"/>
          <w:snapToGrid w:val="0"/>
        </w:rPr>
        <w:t>1 flakonas</w:t>
      </w:r>
      <w:r w:rsidR="00352B3D" w:rsidRPr="00037DA8">
        <w:rPr>
          <w:rFonts w:ascii="Times New Roman" w:eastAsia="Times New Roman" w:hAnsi="Times New Roman"/>
          <w:snapToGrid w:val="0"/>
        </w:rPr>
        <w:t>, kuriame yra 4</w:t>
      </w:r>
      <w:r w:rsidR="00C95B72" w:rsidRPr="00037DA8">
        <w:rPr>
          <w:rFonts w:ascii="Times New Roman" w:eastAsia="Times New Roman" w:hAnsi="Times New Roman"/>
          <w:snapToGrid w:val="0"/>
        </w:rPr>
        <w:t>5</w:t>
      </w:r>
      <w:r w:rsidR="00352B3D" w:rsidRPr="00037DA8">
        <w:rPr>
          <w:rFonts w:ascii="Times New Roman" w:eastAsia="Times New Roman" w:hAnsi="Times New Roman"/>
          <w:snapToGrid w:val="0"/>
        </w:rPr>
        <w:t> m</w:t>
      </w:r>
      <w:r w:rsidR="00C95B72" w:rsidRPr="00037DA8">
        <w:rPr>
          <w:rFonts w:ascii="Times New Roman" w:eastAsia="Times New Roman" w:hAnsi="Times New Roman"/>
          <w:snapToGrid w:val="0"/>
        </w:rPr>
        <w:t xml:space="preserve">g </w:t>
      </w:r>
      <w:proofErr w:type="spellStart"/>
      <w:r w:rsidR="00C95B72" w:rsidRPr="00037DA8">
        <w:rPr>
          <w:rFonts w:ascii="Times New Roman" w:eastAsia="Times New Roman" w:hAnsi="Times New Roman"/>
          <w:snapToGrid w:val="0"/>
        </w:rPr>
        <w:t>kabazitakselio</w:t>
      </w:r>
      <w:proofErr w:type="spellEnd"/>
    </w:p>
    <w:p w14:paraId="4B1134D4" w14:textId="68EE4A3E" w:rsidR="00352B3D" w:rsidRPr="00037DA8" w:rsidRDefault="00352B3D" w:rsidP="007523B2">
      <w:pPr>
        <w:tabs>
          <w:tab w:val="left" w:pos="567"/>
        </w:tabs>
        <w:spacing w:after="0" w:line="240" w:lineRule="auto"/>
        <w:rPr>
          <w:rFonts w:ascii="Times New Roman" w:eastAsia="Times New Roman" w:hAnsi="Times New Roman"/>
          <w:snapToGrid w:val="0"/>
          <w:highlight w:val="lightGray"/>
        </w:rPr>
      </w:pPr>
      <w:r w:rsidRPr="00037DA8">
        <w:rPr>
          <w:rFonts w:ascii="Times New Roman" w:eastAsia="Times New Roman" w:hAnsi="Times New Roman"/>
          <w:snapToGrid w:val="0"/>
          <w:highlight w:val="lightGray"/>
        </w:rPr>
        <w:t xml:space="preserve">5 flakonai, kurių kiekviename yra </w:t>
      </w:r>
      <w:r w:rsidR="00C95B72" w:rsidRPr="00037DA8">
        <w:rPr>
          <w:rFonts w:ascii="Times New Roman" w:eastAsia="Times New Roman" w:hAnsi="Times New Roman"/>
          <w:snapToGrid w:val="0"/>
          <w:highlight w:val="lightGray"/>
        </w:rPr>
        <w:t xml:space="preserve">45 mg </w:t>
      </w:r>
      <w:proofErr w:type="spellStart"/>
      <w:r w:rsidR="00C95B72" w:rsidRPr="00037DA8">
        <w:rPr>
          <w:rFonts w:ascii="Times New Roman" w:eastAsia="Times New Roman" w:hAnsi="Times New Roman"/>
          <w:snapToGrid w:val="0"/>
          <w:highlight w:val="lightGray"/>
        </w:rPr>
        <w:t>kabazitakselio</w:t>
      </w:r>
      <w:proofErr w:type="spellEnd"/>
    </w:p>
    <w:p w14:paraId="6E2481E1" w14:textId="18A319B2" w:rsidR="00C95B72" w:rsidRPr="00037DA8" w:rsidRDefault="00C95B72" w:rsidP="007523B2">
      <w:pPr>
        <w:tabs>
          <w:tab w:val="left" w:pos="567"/>
        </w:tabs>
        <w:spacing w:after="0" w:line="240" w:lineRule="auto"/>
        <w:rPr>
          <w:rFonts w:ascii="Times New Roman" w:eastAsia="Times New Roman" w:hAnsi="Times New Roman"/>
          <w:snapToGrid w:val="0"/>
        </w:rPr>
      </w:pPr>
      <w:r w:rsidRPr="00037DA8">
        <w:rPr>
          <w:rFonts w:ascii="Times New Roman" w:eastAsia="Times New Roman" w:hAnsi="Times New Roman"/>
          <w:snapToGrid w:val="0"/>
          <w:highlight w:val="lightGray"/>
        </w:rPr>
        <w:t xml:space="preserve">1 flakonas, kuriame yra 60 mg </w:t>
      </w:r>
      <w:proofErr w:type="spellStart"/>
      <w:r w:rsidRPr="00037DA8">
        <w:rPr>
          <w:rFonts w:ascii="Times New Roman" w:eastAsia="Times New Roman" w:hAnsi="Times New Roman"/>
          <w:snapToGrid w:val="0"/>
          <w:highlight w:val="lightGray"/>
        </w:rPr>
        <w:t>kabazitakselio</w:t>
      </w:r>
      <w:proofErr w:type="spellEnd"/>
    </w:p>
    <w:p w14:paraId="09977EEA" w14:textId="441D8E17" w:rsidR="00C95B72" w:rsidRPr="00037DA8" w:rsidRDefault="00C95B72" w:rsidP="007523B2">
      <w:pPr>
        <w:tabs>
          <w:tab w:val="left" w:pos="567"/>
        </w:tabs>
        <w:spacing w:after="0" w:line="240" w:lineRule="auto"/>
        <w:rPr>
          <w:rFonts w:ascii="Times New Roman" w:eastAsia="Times New Roman" w:hAnsi="Times New Roman"/>
          <w:snapToGrid w:val="0"/>
          <w:highlight w:val="lightGray"/>
        </w:rPr>
      </w:pPr>
      <w:r w:rsidRPr="00037DA8">
        <w:rPr>
          <w:rFonts w:ascii="Times New Roman" w:eastAsia="Times New Roman" w:hAnsi="Times New Roman"/>
          <w:snapToGrid w:val="0"/>
          <w:highlight w:val="lightGray"/>
        </w:rPr>
        <w:t xml:space="preserve">5 flakonai, kurių kiekviename yra 60 mg </w:t>
      </w:r>
      <w:proofErr w:type="spellStart"/>
      <w:r w:rsidRPr="00037DA8">
        <w:rPr>
          <w:rFonts w:ascii="Times New Roman" w:eastAsia="Times New Roman" w:hAnsi="Times New Roman"/>
          <w:snapToGrid w:val="0"/>
          <w:highlight w:val="lightGray"/>
        </w:rPr>
        <w:t>kabazitakselio</w:t>
      </w:r>
      <w:proofErr w:type="spellEnd"/>
    </w:p>
    <w:p w14:paraId="13EC9953" w14:textId="77777777" w:rsidR="00267DDB" w:rsidRPr="007523B2" w:rsidRDefault="00267DDB" w:rsidP="007523B2">
      <w:pPr>
        <w:tabs>
          <w:tab w:val="left" w:pos="567"/>
        </w:tabs>
        <w:spacing w:after="0" w:line="240" w:lineRule="auto"/>
        <w:rPr>
          <w:rFonts w:ascii="Times New Roman" w:eastAsia="Times New Roman" w:hAnsi="Times New Roman"/>
          <w:snapToGrid w:val="0"/>
          <w:sz w:val="16"/>
          <w:szCs w:val="16"/>
        </w:rPr>
      </w:pPr>
    </w:p>
    <w:p w14:paraId="76C2AF1C" w14:textId="77777777" w:rsidR="00352B3D" w:rsidRPr="00037DA8" w:rsidRDefault="00352B3D" w:rsidP="007523B2">
      <w:pPr>
        <w:tabs>
          <w:tab w:val="left" w:pos="567"/>
        </w:tabs>
        <w:spacing w:after="0" w:line="240" w:lineRule="auto"/>
        <w:rPr>
          <w:rFonts w:ascii="Times New Roman" w:eastAsia="Times New Roman" w:hAnsi="Times New Roman"/>
          <w:snapToGrid w:val="0"/>
        </w:rPr>
      </w:pPr>
    </w:p>
    <w:p w14:paraId="25C4BA96" w14:textId="77777777" w:rsidR="00267DDB" w:rsidRPr="00037DA8" w:rsidRDefault="00267DDB" w:rsidP="007523B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037DA8">
        <w:rPr>
          <w:rFonts w:ascii="Times New Roman" w:eastAsia="Times New Roman" w:hAnsi="Times New Roman"/>
          <w:b/>
          <w:snapToGrid w:val="0"/>
        </w:rPr>
        <w:t>5.</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VARTOJIMO METODAS IR BŪDAS (-AI)</w:t>
      </w:r>
    </w:p>
    <w:p w14:paraId="0736D840" w14:textId="77777777" w:rsidR="00267DDB" w:rsidRPr="00037DA8" w:rsidRDefault="00267DDB" w:rsidP="007523B2">
      <w:pPr>
        <w:tabs>
          <w:tab w:val="left" w:pos="567"/>
        </w:tabs>
        <w:spacing w:after="0" w:line="240" w:lineRule="auto"/>
        <w:rPr>
          <w:rFonts w:ascii="Times New Roman" w:eastAsia="Times New Roman" w:hAnsi="Times New Roman"/>
          <w:snapToGrid w:val="0"/>
        </w:rPr>
      </w:pPr>
    </w:p>
    <w:p w14:paraId="5E12B4DD" w14:textId="20B3E399" w:rsidR="00352B3D" w:rsidRPr="00BC3E54" w:rsidRDefault="00123FFB" w:rsidP="007523B2">
      <w:pPr>
        <w:tabs>
          <w:tab w:val="left" w:pos="567"/>
        </w:tabs>
        <w:spacing w:after="0" w:line="240" w:lineRule="auto"/>
        <w:rPr>
          <w:rFonts w:ascii="Times New Roman" w:eastAsia="Times New Roman" w:hAnsi="Times New Roman"/>
          <w:noProof/>
          <w:snapToGrid w:val="0"/>
        </w:rPr>
      </w:pPr>
      <w:r w:rsidRPr="00037DA8">
        <w:rPr>
          <w:rFonts w:ascii="Times New Roman" w:eastAsia="Times New Roman" w:hAnsi="Times New Roman"/>
          <w:noProof/>
          <w:snapToGrid w:val="0"/>
        </w:rPr>
        <w:t>L</w:t>
      </w:r>
      <w:r w:rsidR="00352B3D" w:rsidRPr="00037DA8">
        <w:rPr>
          <w:rFonts w:ascii="Times New Roman" w:eastAsia="Times New Roman" w:hAnsi="Times New Roman"/>
          <w:noProof/>
          <w:snapToGrid w:val="0"/>
        </w:rPr>
        <w:t>eisti į veną</w:t>
      </w:r>
      <w:r w:rsidRPr="00037DA8">
        <w:rPr>
          <w:rFonts w:ascii="Times New Roman" w:eastAsia="Times New Roman" w:hAnsi="Times New Roman"/>
          <w:noProof/>
          <w:snapToGrid w:val="0"/>
        </w:rPr>
        <w:t xml:space="preserve"> </w:t>
      </w:r>
      <w:r w:rsidR="008655E6" w:rsidRPr="00037DA8">
        <w:rPr>
          <w:rFonts w:ascii="Times New Roman" w:eastAsia="Times New Roman" w:hAnsi="Times New Roman"/>
          <w:noProof/>
          <w:snapToGrid w:val="0"/>
        </w:rPr>
        <w:t>(</w:t>
      </w:r>
      <w:r w:rsidR="00BC3E54">
        <w:rPr>
          <w:rFonts w:ascii="Times New Roman" w:eastAsia="Times New Roman" w:hAnsi="Times New Roman"/>
          <w:noProof/>
          <w:snapToGrid w:val="0"/>
        </w:rPr>
        <w:t>i</w:t>
      </w:r>
      <w:r w:rsidR="008655E6" w:rsidRPr="00BC3E54">
        <w:rPr>
          <w:rFonts w:ascii="Times New Roman" w:eastAsia="Times New Roman" w:hAnsi="Times New Roman"/>
          <w:noProof/>
          <w:snapToGrid w:val="0"/>
        </w:rPr>
        <w:t>nfuzija) po</w:t>
      </w:r>
      <w:r w:rsidRPr="00BC3E54">
        <w:rPr>
          <w:rFonts w:ascii="Times New Roman" w:eastAsia="Times New Roman" w:hAnsi="Times New Roman"/>
          <w:noProof/>
          <w:snapToGrid w:val="0"/>
        </w:rPr>
        <w:t xml:space="preserve"> praskiedimo</w:t>
      </w:r>
      <w:r w:rsidR="00352B3D" w:rsidRPr="00BC3E54">
        <w:rPr>
          <w:rFonts w:ascii="Times New Roman" w:eastAsia="Times New Roman" w:hAnsi="Times New Roman"/>
          <w:noProof/>
          <w:snapToGrid w:val="0"/>
        </w:rPr>
        <w:t xml:space="preserve">. </w:t>
      </w:r>
    </w:p>
    <w:p w14:paraId="0EB1632C" w14:textId="77777777" w:rsidR="00123FFB" w:rsidRPr="0085406C" w:rsidRDefault="00123FFB" w:rsidP="007523B2">
      <w:pPr>
        <w:tabs>
          <w:tab w:val="left" w:pos="567"/>
        </w:tabs>
        <w:spacing w:after="0" w:line="240" w:lineRule="auto"/>
        <w:rPr>
          <w:rFonts w:ascii="Times New Roman" w:eastAsia="Times New Roman" w:hAnsi="Times New Roman"/>
          <w:noProof/>
          <w:snapToGrid w:val="0"/>
        </w:rPr>
      </w:pPr>
    </w:p>
    <w:p w14:paraId="46363D24" w14:textId="77777777" w:rsidR="00267DDB" w:rsidRPr="004200DB" w:rsidRDefault="00267DDB" w:rsidP="007523B2">
      <w:pPr>
        <w:tabs>
          <w:tab w:val="left" w:pos="567"/>
        </w:tabs>
        <w:spacing w:after="0" w:line="240" w:lineRule="auto"/>
        <w:rPr>
          <w:rFonts w:ascii="Times New Roman" w:eastAsia="Times New Roman" w:hAnsi="Times New Roman"/>
          <w:noProof/>
          <w:snapToGrid w:val="0"/>
        </w:rPr>
      </w:pPr>
      <w:r w:rsidRPr="004200DB">
        <w:rPr>
          <w:rFonts w:ascii="Times New Roman" w:eastAsia="Times New Roman" w:hAnsi="Times New Roman"/>
          <w:noProof/>
          <w:snapToGrid w:val="0"/>
        </w:rPr>
        <w:t>Prieš vartojimą perskaitykite pakuotės lapelį.</w:t>
      </w:r>
    </w:p>
    <w:p w14:paraId="29D463B9" w14:textId="77777777" w:rsidR="00267DDB" w:rsidRPr="007523B2" w:rsidRDefault="00267DDB" w:rsidP="007523B2">
      <w:pPr>
        <w:tabs>
          <w:tab w:val="left" w:pos="567"/>
        </w:tabs>
        <w:spacing w:after="0" w:line="240" w:lineRule="auto"/>
        <w:rPr>
          <w:rFonts w:ascii="Times New Roman" w:eastAsia="Times New Roman" w:hAnsi="Times New Roman"/>
          <w:snapToGrid w:val="0"/>
          <w:sz w:val="16"/>
          <w:szCs w:val="16"/>
        </w:rPr>
      </w:pPr>
    </w:p>
    <w:p w14:paraId="54027B49" w14:textId="77777777" w:rsidR="00267DDB" w:rsidRPr="00037DA8" w:rsidRDefault="00267DDB" w:rsidP="007523B2">
      <w:pPr>
        <w:tabs>
          <w:tab w:val="left" w:pos="567"/>
        </w:tabs>
        <w:spacing w:after="0" w:line="240" w:lineRule="auto"/>
        <w:rPr>
          <w:rFonts w:ascii="Times New Roman" w:eastAsia="Times New Roman" w:hAnsi="Times New Roman"/>
          <w:snapToGrid w:val="0"/>
        </w:rPr>
      </w:pPr>
    </w:p>
    <w:p w14:paraId="7E407981" w14:textId="77777777" w:rsidR="00267DDB" w:rsidRPr="00037DA8" w:rsidRDefault="00267DDB" w:rsidP="007523B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037DA8">
        <w:rPr>
          <w:rFonts w:ascii="Times New Roman" w:eastAsia="Times New Roman" w:hAnsi="Times New Roman"/>
          <w:b/>
          <w:snapToGrid w:val="0"/>
        </w:rPr>
        <w:t>6.</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SPECIALUS ĮSPĖJIMAS, KAD VAISTINĮ PREPARATĄ BŪTINA LAIKYTI VAIKAMS NEPASTEBIMOJE IR NEPASIEKIAMOJE VIETOJE</w:t>
      </w:r>
    </w:p>
    <w:p w14:paraId="0A824FD7" w14:textId="77777777" w:rsidR="00267DDB" w:rsidRPr="00037DA8" w:rsidRDefault="00267DDB" w:rsidP="007523B2">
      <w:pPr>
        <w:tabs>
          <w:tab w:val="left" w:pos="567"/>
        </w:tabs>
        <w:spacing w:after="0" w:line="240" w:lineRule="auto"/>
        <w:rPr>
          <w:rFonts w:ascii="Times New Roman" w:eastAsia="Times New Roman" w:hAnsi="Times New Roman"/>
          <w:snapToGrid w:val="0"/>
        </w:rPr>
      </w:pPr>
    </w:p>
    <w:p w14:paraId="443D95E4" w14:textId="77777777" w:rsidR="00267DDB" w:rsidRPr="00037DA8" w:rsidRDefault="00267DDB" w:rsidP="007523B2">
      <w:pPr>
        <w:tabs>
          <w:tab w:val="left" w:pos="567"/>
        </w:tabs>
        <w:spacing w:after="0" w:line="240" w:lineRule="auto"/>
        <w:rPr>
          <w:rFonts w:ascii="Times New Roman" w:eastAsia="Times New Roman" w:hAnsi="Times New Roman"/>
          <w:snapToGrid w:val="0"/>
        </w:rPr>
      </w:pPr>
      <w:r w:rsidRPr="00037DA8">
        <w:rPr>
          <w:rFonts w:ascii="Times New Roman" w:eastAsia="Times New Roman" w:hAnsi="Times New Roman"/>
          <w:noProof/>
          <w:snapToGrid w:val="0"/>
        </w:rPr>
        <w:t>Laikyti vaikams nepastebimoje ir nepasiekiamoje vietoje.</w:t>
      </w:r>
    </w:p>
    <w:p w14:paraId="09AC1ACE" w14:textId="77777777" w:rsidR="00267DDB" w:rsidRPr="00037DA8" w:rsidRDefault="00267DDB" w:rsidP="007523B2">
      <w:pPr>
        <w:tabs>
          <w:tab w:val="left" w:pos="567"/>
        </w:tabs>
        <w:spacing w:after="0" w:line="240" w:lineRule="auto"/>
        <w:rPr>
          <w:rFonts w:ascii="Times New Roman" w:eastAsia="Times New Roman" w:hAnsi="Times New Roman"/>
          <w:snapToGrid w:val="0"/>
        </w:rPr>
      </w:pPr>
    </w:p>
    <w:p w14:paraId="2A8D158C" w14:textId="77777777" w:rsidR="00267DDB" w:rsidRPr="00037DA8" w:rsidRDefault="00267DDB" w:rsidP="007523B2">
      <w:pPr>
        <w:tabs>
          <w:tab w:val="left" w:pos="567"/>
        </w:tabs>
        <w:spacing w:after="0" w:line="240" w:lineRule="auto"/>
        <w:rPr>
          <w:rFonts w:ascii="Times New Roman" w:eastAsia="Times New Roman" w:hAnsi="Times New Roman"/>
          <w:snapToGrid w:val="0"/>
        </w:rPr>
      </w:pPr>
    </w:p>
    <w:p w14:paraId="018064FE" w14:textId="77777777" w:rsidR="00267DDB" w:rsidRPr="00037DA8" w:rsidRDefault="00267DDB" w:rsidP="007523B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037DA8">
        <w:rPr>
          <w:rFonts w:ascii="Times New Roman" w:eastAsia="Times New Roman" w:hAnsi="Times New Roman"/>
          <w:b/>
          <w:snapToGrid w:val="0"/>
        </w:rPr>
        <w:t>7.</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KITAS (-I) SPECIALUS (-ŪS) ĮSPĖJIMAS (-AI) (JEI REIKIA)</w:t>
      </w:r>
    </w:p>
    <w:p w14:paraId="35AF228A" w14:textId="77777777" w:rsidR="00267DDB" w:rsidRPr="007523B2" w:rsidRDefault="00267DDB" w:rsidP="007523B2">
      <w:pPr>
        <w:tabs>
          <w:tab w:val="left" w:pos="567"/>
        </w:tabs>
        <w:spacing w:after="0" w:line="240" w:lineRule="auto"/>
        <w:rPr>
          <w:rFonts w:ascii="Times New Roman" w:eastAsia="Times New Roman" w:hAnsi="Times New Roman"/>
          <w:snapToGrid w:val="0"/>
          <w:sz w:val="16"/>
          <w:szCs w:val="16"/>
        </w:rPr>
      </w:pPr>
    </w:p>
    <w:p w14:paraId="1ACCDFCD" w14:textId="77777777" w:rsidR="00267DDB" w:rsidRPr="00037DA8" w:rsidRDefault="00267DDB" w:rsidP="007523B2">
      <w:pPr>
        <w:tabs>
          <w:tab w:val="left" w:pos="567"/>
        </w:tabs>
        <w:spacing w:after="0" w:line="240" w:lineRule="auto"/>
        <w:rPr>
          <w:rFonts w:ascii="Times New Roman" w:eastAsia="Times New Roman" w:hAnsi="Times New Roman"/>
          <w:snapToGrid w:val="0"/>
        </w:rPr>
      </w:pPr>
      <w:proofErr w:type="spellStart"/>
      <w:r w:rsidRPr="00037DA8">
        <w:rPr>
          <w:rFonts w:ascii="Times New Roman" w:eastAsia="Times New Roman" w:hAnsi="Times New Roman"/>
          <w:snapToGrid w:val="0"/>
        </w:rPr>
        <w:t>Citotoksi</w:t>
      </w:r>
      <w:r w:rsidR="00123FFB" w:rsidRPr="00037DA8">
        <w:rPr>
          <w:rFonts w:ascii="Times New Roman" w:eastAsia="Times New Roman" w:hAnsi="Times New Roman"/>
          <w:snapToGrid w:val="0"/>
        </w:rPr>
        <w:t>škas</w:t>
      </w:r>
      <w:proofErr w:type="spellEnd"/>
    </w:p>
    <w:p w14:paraId="40B28E58" w14:textId="77777777" w:rsidR="00C95B72" w:rsidRDefault="00C95B72" w:rsidP="007523B2">
      <w:pPr>
        <w:tabs>
          <w:tab w:val="left" w:pos="567"/>
        </w:tabs>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Ruošiant ir vartojant negalima naudoti PVC infuzinių </w:t>
      </w:r>
      <w:proofErr w:type="spellStart"/>
      <w:r w:rsidRPr="00037DA8">
        <w:rPr>
          <w:rFonts w:ascii="Times New Roman" w:eastAsia="Times New Roman" w:hAnsi="Times New Roman"/>
          <w:snapToGrid w:val="0"/>
        </w:rPr>
        <w:t>talpyklių</w:t>
      </w:r>
      <w:proofErr w:type="spellEnd"/>
      <w:r w:rsidRPr="00037DA8">
        <w:rPr>
          <w:rFonts w:ascii="Times New Roman" w:eastAsia="Times New Roman" w:hAnsi="Times New Roman"/>
          <w:snapToGrid w:val="0"/>
        </w:rPr>
        <w:t xml:space="preserve"> arba poliuretano infuzinių komplektų</w:t>
      </w:r>
      <w:r w:rsidRPr="00BC3E54">
        <w:rPr>
          <w:rFonts w:ascii="Times New Roman" w:eastAsia="Times New Roman" w:hAnsi="Times New Roman"/>
          <w:snapToGrid w:val="0"/>
        </w:rPr>
        <w:t>.</w:t>
      </w:r>
    </w:p>
    <w:p w14:paraId="1D0B9BC4" w14:textId="77777777" w:rsidR="0085406C" w:rsidRPr="00D9458E" w:rsidRDefault="0085406C" w:rsidP="007523B2">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 xml:space="preserve">Privaloma </w:t>
      </w:r>
      <w:r w:rsidRPr="0085406C">
        <w:rPr>
          <w:rFonts w:ascii="Times New Roman" w:eastAsia="Times New Roman" w:hAnsi="Times New Roman"/>
          <w:snapToGrid w:val="0"/>
        </w:rPr>
        <w:t>naudoti 0,22 mikrometro</w:t>
      </w:r>
      <w:r>
        <w:rPr>
          <w:rFonts w:ascii="Times New Roman" w:eastAsia="Times New Roman" w:hAnsi="Times New Roman"/>
          <w:snapToGrid w:val="0"/>
        </w:rPr>
        <w:t xml:space="preserve"> </w:t>
      </w:r>
      <w:r w:rsidRPr="0085406C">
        <w:rPr>
          <w:rFonts w:ascii="Times New Roman" w:eastAsia="Times New Roman" w:hAnsi="Times New Roman"/>
          <w:snapToGrid w:val="0"/>
        </w:rPr>
        <w:t>infuzinės sistemos vidinį</w:t>
      </w:r>
      <w:r>
        <w:rPr>
          <w:rFonts w:ascii="Times New Roman" w:eastAsia="Times New Roman" w:hAnsi="Times New Roman"/>
          <w:snapToGrid w:val="0"/>
        </w:rPr>
        <w:t xml:space="preserve"> filtrą.</w:t>
      </w:r>
    </w:p>
    <w:p w14:paraId="616360DA" w14:textId="77777777" w:rsidR="00267DDB" w:rsidRPr="0085406C" w:rsidRDefault="00267DDB" w:rsidP="007523B2">
      <w:pPr>
        <w:tabs>
          <w:tab w:val="left" w:pos="567"/>
        </w:tabs>
        <w:spacing w:after="0" w:line="240" w:lineRule="auto"/>
        <w:rPr>
          <w:rFonts w:ascii="Times New Roman" w:eastAsia="Times New Roman" w:hAnsi="Times New Roman"/>
          <w:snapToGrid w:val="0"/>
        </w:rPr>
      </w:pPr>
    </w:p>
    <w:p w14:paraId="3C87834E" w14:textId="77777777" w:rsidR="00267DDB" w:rsidRPr="0085406C" w:rsidRDefault="00267DDB" w:rsidP="00267DDB">
      <w:pPr>
        <w:tabs>
          <w:tab w:val="left" w:pos="567"/>
        </w:tabs>
        <w:spacing w:after="0" w:line="260" w:lineRule="exact"/>
        <w:rPr>
          <w:rFonts w:ascii="Times New Roman" w:eastAsia="Times New Roman" w:hAnsi="Times New Roman"/>
          <w:snapToGrid w:val="0"/>
        </w:rPr>
      </w:pPr>
    </w:p>
    <w:p w14:paraId="35C527B2" w14:textId="77777777" w:rsidR="00267DDB" w:rsidRPr="004200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4200DB">
        <w:rPr>
          <w:rFonts w:ascii="Times New Roman" w:eastAsia="Times New Roman" w:hAnsi="Times New Roman"/>
          <w:b/>
          <w:snapToGrid w:val="0"/>
        </w:rPr>
        <w:t>8.</w:t>
      </w:r>
      <w:r w:rsidRPr="004200DB">
        <w:rPr>
          <w:rFonts w:ascii="Times New Roman" w:eastAsia="Times New Roman" w:hAnsi="Times New Roman"/>
          <w:b/>
          <w:snapToGrid w:val="0"/>
        </w:rPr>
        <w:tab/>
      </w:r>
      <w:r w:rsidRPr="004200DB">
        <w:rPr>
          <w:rFonts w:ascii="Times New Roman" w:eastAsia="Times New Roman" w:hAnsi="Times New Roman"/>
          <w:b/>
          <w:noProof/>
          <w:snapToGrid w:val="0"/>
        </w:rPr>
        <w:t>TINKAMUMO LAIKAS</w:t>
      </w:r>
    </w:p>
    <w:p w14:paraId="6790A1C4"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329ACEB2" w14:textId="77777777" w:rsidR="00267DDB" w:rsidRPr="00037DA8" w:rsidRDefault="00E80005" w:rsidP="00267DD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EXP</w:t>
      </w:r>
      <w:r w:rsidR="00267DDB" w:rsidRPr="00037DA8">
        <w:rPr>
          <w:rFonts w:ascii="Times New Roman" w:eastAsia="Times New Roman" w:hAnsi="Times New Roman"/>
          <w:snapToGrid w:val="0"/>
        </w:rPr>
        <w:t xml:space="preserve"> {mm MMMM}</w:t>
      </w:r>
    </w:p>
    <w:p w14:paraId="77F84B1E"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0B66B08B" w14:textId="77777777" w:rsidR="00267DDB" w:rsidRPr="00037DA8" w:rsidRDefault="00123FFB" w:rsidP="00267DD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Perskaitykite pakuotės lapelyje </w:t>
      </w:r>
      <w:r w:rsidR="009C4797" w:rsidRPr="00037DA8">
        <w:rPr>
          <w:rFonts w:ascii="Times New Roman" w:eastAsia="Times New Roman" w:hAnsi="Times New Roman"/>
          <w:snapToGrid w:val="0"/>
        </w:rPr>
        <w:t xml:space="preserve">apie flakono po pirmojo atidarymo ir praskiesto tirpalo </w:t>
      </w:r>
      <w:r w:rsidR="00C95B72" w:rsidRPr="00037DA8">
        <w:rPr>
          <w:rFonts w:ascii="Times New Roman" w:eastAsia="Times New Roman" w:hAnsi="Times New Roman"/>
          <w:snapToGrid w:val="0"/>
        </w:rPr>
        <w:t>tinkamumo laik</w:t>
      </w:r>
      <w:r w:rsidR="009C4797" w:rsidRPr="00037DA8">
        <w:rPr>
          <w:rFonts w:ascii="Times New Roman" w:eastAsia="Times New Roman" w:hAnsi="Times New Roman"/>
          <w:snapToGrid w:val="0"/>
        </w:rPr>
        <w:t>ą</w:t>
      </w:r>
      <w:r w:rsidR="00C95B72" w:rsidRPr="00037DA8">
        <w:rPr>
          <w:rFonts w:ascii="Times New Roman" w:eastAsia="Times New Roman" w:hAnsi="Times New Roman"/>
          <w:snapToGrid w:val="0"/>
        </w:rPr>
        <w:t xml:space="preserve"> ir laikymo sąlyg</w:t>
      </w:r>
      <w:r w:rsidR="009C4797" w:rsidRPr="00037DA8">
        <w:rPr>
          <w:rFonts w:ascii="Times New Roman" w:eastAsia="Times New Roman" w:hAnsi="Times New Roman"/>
          <w:snapToGrid w:val="0"/>
        </w:rPr>
        <w:t>as</w:t>
      </w:r>
      <w:r w:rsidRPr="00037DA8">
        <w:rPr>
          <w:rFonts w:ascii="Times New Roman" w:eastAsia="Times New Roman" w:hAnsi="Times New Roman"/>
          <w:snapToGrid w:val="0"/>
        </w:rPr>
        <w:t>.</w:t>
      </w:r>
    </w:p>
    <w:p w14:paraId="7D8F74AC" w14:textId="77777777" w:rsidR="00123FFB" w:rsidRPr="00037DA8" w:rsidRDefault="00123FFB" w:rsidP="00267DDB">
      <w:pPr>
        <w:tabs>
          <w:tab w:val="left" w:pos="567"/>
        </w:tabs>
        <w:spacing w:after="0" w:line="260" w:lineRule="exact"/>
        <w:rPr>
          <w:rFonts w:ascii="Times New Roman" w:eastAsia="Times New Roman" w:hAnsi="Times New Roman"/>
          <w:snapToGrid w:val="0"/>
        </w:rPr>
      </w:pPr>
    </w:p>
    <w:p w14:paraId="037BE2D3" w14:textId="77777777" w:rsidR="00123FFB" w:rsidRPr="00037DA8" w:rsidRDefault="00123FFB" w:rsidP="00267DDB">
      <w:pPr>
        <w:tabs>
          <w:tab w:val="left" w:pos="567"/>
        </w:tabs>
        <w:spacing w:after="0" w:line="260" w:lineRule="exact"/>
        <w:rPr>
          <w:rFonts w:ascii="Times New Roman" w:eastAsia="Times New Roman" w:hAnsi="Times New Roman"/>
          <w:snapToGrid w:val="0"/>
        </w:rPr>
      </w:pPr>
    </w:p>
    <w:p w14:paraId="42B96157" w14:textId="77777777" w:rsidR="00267DDB" w:rsidRPr="00037DA8" w:rsidRDefault="00267DDB" w:rsidP="00267DD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037DA8">
        <w:rPr>
          <w:rFonts w:ascii="Times New Roman" w:eastAsia="Times New Roman" w:hAnsi="Times New Roman"/>
          <w:b/>
          <w:snapToGrid w:val="0"/>
        </w:rPr>
        <w:t>9.</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SPECIALIOS LAIKYMO SĄLYGOS</w:t>
      </w:r>
    </w:p>
    <w:p w14:paraId="5CD81248"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68423F87" w14:textId="77777777" w:rsidR="00123FFB" w:rsidRPr="00037DA8" w:rsidRDefault="00267DDB" w:rsidP="00267DD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Laikyti </w:t>
      </w:r>
      <w:r w:rsidR="00123FFB" w:rsidRPr="00037DA8">
        <w:rPr>
          <w:rFonts w:ascii="Times New Roman" w:eastAsia="Times New Roman" w:hAnsi="Times New Roman"/>
          <w:snapToGrid w:val="0"/>
        </w:rPr>
        <w:t xml:space="preserve">ne aukštesnėje kaip </w:t>
      </w:r>
      <w:r w:rsidR="009C4797" w:rsidRPr="00037DA8">
        <w:rPr>
          <w:rFonts w:ascii="Times New Roman" w:eastAsia="Times New Roman" w:hAnsi="Times New Roman"/>
          <w:snapToGrid w:val="0"/>
        </w:rPr>
        <w:t>25</w:t>
      </w:r>
      <w:r w:rsidR="00123FFB" w:rsidRPr="00037DA8">
        <w:rPr>
          <w:rFonts w:ascii="Times New Roman" w:eastAsia="Times New Roman" w:hAnsi="Times New Roman"/>
          <w:snapToGrid w:val="0"/>
        </w:rPr>
        <w:t xml:space="preserve"> </w:t>
      </w:r>
      <w:r w:rsidRPr="00037DA8">
        <w:rPr>
          <w:rFonts w:ascii="Times New Roman" w:eastAsia="Times New Roman" w:hAnsi="Times New Roman"/>
          <w:snapToGrid w:val="0"/>
        </w:rPr>
        <w:t>°C</w:t>
      </w:r>
      <w:r w:rsidR="00123FFB" w:rsidRPr="00037DA8">
        <w:rPr>
          <w:rFonts w:ascii="Times New Roman" w:eastAsia="Times New Roman" w:hAnsi="Times New Roman"/>
          <w:snapToGrid w:val="0"/>
        </w:rPr>
        <w:t xml:space="preserve"> temperatūroje.</w:t>
      </w:r>
    </w:p>
    <w:p w14:paraId="508C030C"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265DB781"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7455A906" w14:textId="77777777" w:rsidR="00267DDB" w:rsidRPr="00037DA8"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037DA8">
        <w:rPr>
          <w:rFonts w:ascii="Times New Roman" w:eastAsia="Times New Roman" w:hAnsi="Times New Roman"/>
          <w:b/>
          <w:snapToGrid w:val="0"/>
        </w:rPr>
        <w:t>10.</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SPECIALIOS ATSARGUMO PRIEMONĖS DĖL NESUVARTOTO VAISTINIO PREPARATO AR JO ATLIEKŲ TVARKYMO (JEI REIKIA)</w:t>
      </w:r>
    </w:p>
    <w:p w14:paraId="1542513B"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2C32F643" w14:textId="77777777" w:rsidR="00267DDB" w:rsidRPr="0085406C" w:rsidRDefault="00267DDB" w:rsidP="00267DDB">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highlight w:val="lightGray"/>
        </w:rPr>
        <w:t>Nesuvartotą vaistą ar atliekas reikia tvarkyti laikantis vietinių reikalavimų.</w:t>
      </w:r>
    </w:p>
    <w:p w14:paraId="3A1E3A2A" w14:textId="77777777" w:rsidR="00267DDB" w:rsidRPr="004200DB" w:rsidRDefault="00267DDB" w:rsidP="00267DDB">
      <w:pPr>
        <w:tabs>
          <w:tab w:val="left" w:pos="567"/>
        </w:tabs>
        <w:spacing w:after="0" w:line="260" w:lineRule="exact"/>
        <w:rPr>
          <w:rFonts w:ascii="Times New Roman" w:eastAsia="Times New Roman" w:hAnsi="Times New Roman"/>
          <w:snapToGrid w:val="0"/>
        </w:rPr>
      </w:pPr>
    </w:p>
    <w:p w14:paraId="34AA1E39" w14:textId="77777777" w:rsidR="00267DDB" w:rsidRPr="004200DB" w:rsidRDefault="00267DDB" w:rsidP="00267DDB">
      <w:pPr>
        <w:tabs>
          <w:tab w:val="left" w:pos="567"/>
        </w:tabs>
        <w:spacing w:after="0" w:line="260" w:lineRule="exact"/>
        <w:rPr>
          <w:rFonts w:ascii="Times New Roman" w:eastAsia="Times New Roman" w:hAnsi="Times New Roman"/>
          <w:snapToGrid w:val="0"/>
        </w:rPr>
      </w:pPr>
    </w:p>
    <w:p w14:paraId="7D5636B0" w14:textId="77777777" w:rsidR="00267DDB" w:rsidRPr="00037DA8"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037DA8">
        <w:rPr>
          <w:rFonts w:ascii="Times New Roman" w:eastAsia="Times New Roman" w:hAnsi="Times New Roman"/>
          <w:b/>
          <w:snapToGrid w:val="0"/>
        </w:rPr>
        <w:t>11.</w:t>
      </w:r>
      <w:r w:rsidRPr="00037DA8">
        <w:rPr>
          <w:rFonts w:ascii="Times New Roman" w:eastAsia="Times New Roman" w:hAnsi="Times New Roman"/>
          <w:b/>
          <w:snapToGrid w:val="0"/>
        </w:rPr>
        <w:tab/>
      </w:r>
      <w:r w:rsidRPr="00037DA8">
        <w:rPr>
          <w:rFonts w:ascii="Times New Roman" w:eastAsia="Times New Roman" w:hAnsi="Times New Roman"/>
          <w:b/>
          <w:caps/>
          <w:noProof/>
          <w:snapToGrid w:val="0"/>
        </w:rPr>
        <w:t xml:space="preserve"> REGISTRUOTOJO PAVADINIMAS IR ADRESAS</w:t>
      </w:r>
    </w:p>
    <w:p w14:paraId="6F7CF0CD"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272ED3D9" w14:textId="77777777" w:rsidR="00A63339" w:rsidRPr="00074768" w:rsidRDefault="00A63339" w:rsidP="00A63339">
      <w:pPr>
        <w:tabs>
          <w:tab w:val="left" w:pos="425"/>
          <w:tab w:val="left" w:pos="567"/>
        </w:tabs>
        <w:suppressAutoHyphens/>
        <w:spacing w:after="0" w:line="240" w:lineRule="auto"/>
        <w:rPr>
          <w:rFonts w:ascii="Times New Roman" w:eastAsia="Times New Roman" w:hAnsi="Times New Roman"/>
          <w:color w:val="000000"/>
          <w:lang w:eastAsia="ar-SA"/>
        </w:rPr>
      </w:pPr>
      <w:proofErr w:type="spellStart"/>
      <w:r w:rsidRPr="00074768">
        <w:rPr>
          <w:rFonts w:ascii="Times New Roman" w:eastAsia="Times New Roman" w:hAnsi="Times New Roman"/>
          <w:color w:val="000000"/>
          <w:lang w:eastAsia="ar-SA"/>
        </w:rPr>
        <w:t>Sandoz</w:t>
      </w:r>
      <w:proofErr w:type="spellEnd"/>
      <w:r w:rsidRPr="00074768">
        <w:rPr>
          <w:rFonts w:ascii="Times New Roman" w:eastAsia="Times New Roman" w:hAnsi="Times New Roman"/>
          <w:color w:val="000000"/>
          <w:lang w:eastAsia="ar-SA"/>
        </w:rPr>
        <w:t xml:space="preserve"> </w:t>
      </w:r>
      <w:proofErr w:type="spellStart"/>
      <w:r w:rsidRPr="00074768">
        <w:rPr>
          <w:rFonts w:ascii="Times New Roman" w:eastAsia="Times New Roman" w:hAnsi="Times New Roman"/>
          <w:color w:val="000000"/>
          <w:lang w:eastAsia="ar-SA"/>
        </w:rPr>
        <w:t>d.d</w:t>
      </w:r>
      <w:proofErr w:type="spellEnd"/>
      <w:r w:rsidRPr="00074768">
        <w:rPr>
          <w:rFonts w:ascii="Times New Roman" w:eastAsia="Times New Roman" w:hAnsi="Times New Roman"/>
          <w:color w:val="000000"/>
          <w:lang w:eastAsia="ar-SA"/>
        </w:rPr>
        <w:t>.</w:t>
      </w:r>
    </w:p>
    <w:p w14:paraId="4A81EA8C" w14:textId="77777777" w:rsidR="00A63339" w:rsidRPr="00074768" w:rsidRDefault="00A63339" w:rsidP="00A63339">
      <w:pPr>
        <w:tabs>
          <w:tab w:val="left" w:pos="425"/>
          <w:tab w:val="left" w:pos="567"/>
        </w:tabs>
        <w:suppressAutoHyphens/>
        <w:spacing w:after="0" w:line="240" w:lineRule="auto"/>
        <w:rPr>
          <w:rFonts w:ascii="Times New Roman" w:eastAsia="Times New Roman" w:hAnsi="Times New Roman"/>
          <w:color w:val="000000"/>
          <w:lang w:eastAsia="ar-SA"/>
        </w:rPr>
      </w:pPr>
      <w:proofErr w:type="spellStart"/>
      <w:r w:rsidRPr="00074768">
        <w:rPr>
          <w:rFonts w:ascii="Times New Roman" w:eastAsia="Times New Roman" w:hAnsi="Times New Roman"/>
          <w:color w:val="000000"/>
          <w:lang w:eastAsia="ar-SA"/>
        </w:rPr>
        <w:t>Verovškova</w:t>
      </w:r>
      <w:proofErr w:type="spellEnd"/>
      <w:r w:rsidRPr="00074768">
        <w:rPr>
          <w:rFonts w:ascii="Times New Roman" w:eastAsia="Times New Roman" w:hAnsi="Times New Roman"/>
          <w:color w:val="000000"/>
          <w:lang w:eastAsia="ar-SA"/>
        </w:rPr>
        <w:t xml:space="preserve"> 57</w:t>
      </w:r>
    </w:p>
    <w:p w14:paraId="750FD7F8" w14:textId="77777777" w:rsidR="00A63339" w:rsidRPr="00074768" w:rsidRDefault="00A63339" w:rsidP="00A63339">
      <w:pPr>
        <w:tabs>
          <w:tab w:val="left" w:pos="425"/>
          <w:tab w:val="left" w:pos="567"/>
        </w:tabs>
        <w:suppressAutoHyphens/>
        <w:spacing w:after="0" w:line="240" w:lineRule="auto"/>
        <w:rPr>
          <w:rFonts w:ascii="Times New Roman" w:eastAsia="Times New Roman" w:hAnsi="Times New Roman"/>
          <w:color w:val="000000"/>
          <w:lang w:eastAsia="ar-SA"/>
        </w:rPr>
      </w:pPr>
      <w:r w:rsidRPr="00074768">
        <w:rPr>
          <w:rFonts w:ascii="Times New Roman" w:eastAsia="Times New Roman" w:hAnsi="Times New Roman"/>
          <w:color w:val="000000"/>
          <w:lang w:eastAsia="ar-SA"/>
        </w:rPr>
        <w:t xml:space="preserve">SI-1000 </w:t>
      </w:r>
      <w:proofErr w:type="spellStart"/>
      <w:r w:rsidRPr="00074768">
        <w:rPr>
          <w:rFonts w:ascii="Times New Roman" w:eastAsia="Times New Roman" w:hAnsi="Times New Roman"/>
          <w:color w:val="000000"/>
          <w:lang w:eastAsia="ar-SA"/>
        </w:rPr>
        <w:t>Ljubljana</w:t>
      </w:r>
      <w:proofErr w:type="spellEnd"/>
    </w:p>
    <w:p w14:paraId="7BDD407F" w14:textId="77777777" w:rsidR="00A63339" w:rsidRPr="00074768" w:rsidRDefault="00A63339" w:rsidP="00A63339">
      <w:pPr>
        <w:tabs>
          <w:tab w:val="left" w:pos="425"/>
          <w:tab w:val="left" w:pos="567"/>
        </w:tabs>
        <w:suppressAutoHyphens/>
        <w:spacing w:after="0" w:line="240" w:lineRule="auto"/>
        <w:rPr>
          <w:rFonts w:ascii="Times New Roman" w:eastAsia="SimSun" w:hAnsi="Times New Roman"/>
          <w:color w:val="000000"/>
          <w:lang w:eastAsia="ar-SA"/>
        </w:rPr>
      </w:pPr>
      <w:r w:rsidRPr="00074768">
        <w:rPr>
          <w:rFonts w:ascii="Times New Roman" w:eastAsia="Times New Roman" w:hAnsi="Times New Roman"/>
          <w:color w:val="000000"/>
          <w:lang w:eastAsia="ar-SA"/>
        </w:rPr>
        <w:t>Slovėnija</w:t>
      </w:r>
    </w:p>
    <w:p w14:paraId="72004EA1" w14:textId="77777777" w:rsidR="00267DDB" w:rsidRPr="0085406C" w:rsidRDefault="00267DDB" w:rsidP="00267DDB">
      <w:pPr>
        <w:tabs>
          <w:tab w:val="left" w:pos="567"/>
        </w:tabs>
        <w:spacing w:after="0" w:line="240" w:lineRule="auto"/>
        <w:rPr>
          <w:rFonts w:ascii="Times New Roman" w:eastAsia="Times New Roman" w:hAnsi="Times New Roman"/>
          <w:snapToGrid w:val="0"/>
        </w:rPr>
      </w:pPr>
    </w:p>
    <w:p w14:paraId="10D5787E" w14:textId="77777777" w:rsidR="00267DDB" w:rsidRPr="004200DB" w:rsidRDefault="00267DDB" w:rsidP="00267DDB">
      <w:pPr>
        <w:tabs>
          <w:tab w:val="left" w:pos="567"/>
        </w:tabs>
        <w:spacing w:after="0" w:line="260" w:lineRule="exact"/>
        <w:rPr>
          <w:rFonts w:ascii="Times New Roman" w:eastAsia="Times New Roman" w:hAnsi="Times New Roman"/>
          <w:snapToGrid w:val="0"/>
        </w:rPr>
      </w:pPr>
    </w:p>
    <w:p w14:paraId="687C32F1" w14:textId="77777777" w:rsidR="00267DDB" w:rsidRPr="00037DA8"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4200DB">
        <w:rPr>
          <w:rFonts w:ascii="Times New Roman" w:eastAsia="Times New Roman" w:hAnsi="Times New Roman"/>
          <w:b/>
          <w:snapToGrid w:val="0"/>
        </w:rPr>
        <w:t>12.</w:t>
      </w:r>
      <w:r w:rsidRPr="004200DB">
        <w:rPr>
          <w:rFonts w:ascii="Times New Roman" w:eastAsia="Times New Roman" w:hAnsi="Times New Roman"/>
          <w:b/>
          <w:snapToGrid w:val="0"/>
        </w:rPr>
        <w:tab/>
      </w:r>
      <w:r w:rsidRPr="00037DA8">
        <w:rPr>
          <w:rFonts w:ascii="Times New Roman" w:eastAsia="Times New Roman" w:hAnsi="Times New Roman"/>
          <w:b/>
          <w:noProof/>
          <w:snapToGrid w:val="0"/>
        </w:rPr>
        <w:t>REGISTRACIJOS PAŽYMĖJIMO NUMERIS (-IAI)</w:t>
      </w:r>
      <w:r w:rsidRPr="00037DA8">
        <w:rPr>
          <w:rFonts w:ascii="Times New Roman" w:eastAsia="Times New Roman" w:hAnsi="Times New Roman"/>
          <w:b/>
          <w:snapToGrid w:val="0"/>
        </w:rPr>
        <w:t xml:space="preserve"> </w:t>
      </w:r>
    </w:p>
    <w:p w14:paraId="6DE641DD" w14:textId="77777777" w:rsidR="00582BD8" w:rsidRPr="002B549A" w:rsidRDefault="00582BD8" w:rsidP="00582BD8">
      <w:pPr>
        <w:pStyle w:val="Betarp1"/>
        <w:rPr>
          <w:rFonts w:ascii="Times New Roman" w:hAnsi="Times New Roman"/>
          <w:lang w:val="pt-PT"/>
        </w:rPr>
      </w:pPr>
    </w:p>
    <w:p w14:paraId="26995C8D" w14:textId="0E5F0241" w:rsidR="00582BD8" w:rsidRPr="00582BD8" w:rsidRDefault="00582BD8" w:rsidP="00582BD8">
      <w:pPr>
        <w:tabs>
          <w:tab w:val="left" w:pos="567"/>
        </w:tabs>
        <w:spacing w:after="0" w:line="260" w:lineRule="exact"/>
        <w:rPr>
          <w:rFonts w:ascii="Times New Roman" w:eastAsia="Times New Roman" w:hAnsi="Times New Roman"/>
          <w:snapToGrid w:val="0"/>
          <w:highlight w:val="lightGray"/>
        </w:rPr>
      </w:pPr>
      <w:r w:rsidRPr="0096780E">
        <w:rPr>
          <w:rFonts w:ascii="Times New Roman" w:hAnsi="Times New Roman"/>
        </w:rPr>
        <w:t>LT/1/20/</w:t>
      </w:r>
      <w:r w:rsidRPr="0096780E">
        <w:rPr>
          <w:rFonts w:ascii="Times New Roman" w:hAnsi="Times New Roman"/>
          <w:bCs/>
        </w:rPr>
        <w:t xml:space="preserve">4630/001 </w:t>
      </w:r>
      <w:r w:rsidRPr="00582BD8">
        <w:rPr>
          <w:rFonts w:ascii="Times New Roman" w:eastAsia="Times New Roman" w:hAnsi="Times New Roman"/>
          <w:snapToGrid w:val="0"/>
          <w:highlight w:val="lightGray"/>
        </w:rPr>
        <w:t xml:space="preserve">– 4,5 ml N1  </w:t>
      </w:r>
    </w:p>
    <w:p w14:paraId="648042CB" w14:textId="77777777" w:rsidR="00582BD8" w:rsidRPr="00582BD8" w:rsidRDefault="00582BD8" w:rsidP="00582BD8">
      <w:pPr>
        <w:tabs>
          <w:tab w:val="left" w:pos="567"/>
        </w:tabs>
        <w:spacing w:after="0" w:line="260" w:lineRule="exact"/>
        <w:rPr>
          <w:rFonts w:ascii="Times New Roman" w:eastAsia="Times New Roman" w:hAnsi="Times New Roman"/>
          <w:snapToGrid w:val="0"/>
          <w:highlight w:val="lightGray"/>
        </w:rPr>
      </w:pPr>
      <w:r w:rsidRPr="00582BD8">
        <w:rPr>
          <w:rFonts w:ascii="Times New Roman" w:eastAsia="Times New Roman" w:hAnsi="Times New Roman"/>
          <w:snapToGrid w:val="0"/>
          <w:highlight w:val="lightGray"/>
        </w:rPr>
        <w:t>LT/1/20/4630/002 – 4,5 ml N5</w:t>
      </w:r>
    </w:p>
    <w:p w14:paraId="278F6114" w14:textId="77777777" w:rsidR="00582BD8" w:rsidRPr="00582BD8" w:rsidRDefault="00582BD8" w:rsidP="00582BD8">
      <w:pPr>
        <w:tabs>
          <w:tab w:val="left" w:pos="567"/>
        </w:tabs>
        <w:spacing w:after="0" w:line="260" w:lineRule="exact"/>
        <w:rPr>
          <w:rFonts w:ascii="Times New Roman" w:eastAsia="Times New Roman" w:hAnsi="Times New Roman"/>
          <w:snapToGrid w:val="0"/>
          <w:highlight w:val="lightGray"/>
        </w:rPr>
      </w:pPr>
      <w:r w:rsidRPr="00582BD8">
        <w:rPr>
          <w:rFonts w:ascii="Times New Roman" w:eastAsia="Times New Roman" w:hAnsi="Times New Roman"/>
          <w:snapToGrid w:val="0"/>
          <w:highlight w:val="lightGray"/>
        </w:rPr>
        <w:t>LT/1/20/4630/003 – 6 ml N1</w:t>
      </w:r>
    </w:p>
    <w:p w14:paraId="428C155B" w14:textId="77777777" w:rsidR="00582BD8" w:rsidRPr="00582BD8" w:rsidRDefault="00582BD8" w:rsidP="00582BD8">
      <w:pPr>
        <w:tabs>
          <w:tab w:val="left" w:pos="567"/>
        </w:tabs>
        <w:spacing w:after="0" w:line="260" w:lineRule="exact"/>
        <w:rPr>
          <w:rFonts w:ascii="Times New Roman" w:eastAsia="Times New Roman" w:hAnsi="Times New Roman"/>
          <w:snapToGrid w:val="0"/>
          <w:highlight w:val="lightGray"/>
        </w:rPr>
      </w:pPr>
      <w:r w:rsidRPr="00582BD8">
        <w:rPr>
          <w:rFonts w:ascii="Times New Roman" w:eastAsia="Times New Roman" w:hAnsi="Times New Roman"/>
          <w:snapToGrid w:val="0"/>
          <w:highlight w:val="lightGray"/>
        </w:rPr>
        <w:t>LT/1/20/4630/004 – 6 ml N5</w:t>
      </w:r>
    </w:p>
    <w:p w14:paraId="2A5BED56" w14:textId="77777777" w:rsidR="00267DDB" w:rsidRPr="00582BD8" w:rsidRDefault="00267DDB" w:rsidP="00267DDB">
      <w:pPr>
        <w:tabs>
          <w:tab w:val="left" w:pos="567"/>
        </w:tabs>
        <w:spacing w:after="0" w:line="260" w:lineRule="exact"/>
        <w:rPr>
          <w:rFonts w:ascii="Times New Roman" w:eastAsia="Times New Roman" w:hAnsi="Times New Roman"/>
          <w:snapToGrid w:val="0"/>
          <w:highlight w:val="lightGray"/>
        </w:rPr>
      </w:pPr>
    </w:p>
    <w:p w14:paraId="23ACCFDD"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37AF2009" w14:textId="77777777" w:rsidR="00267DDB" w:rsidRPr="00037DA8"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37DA8">
        <w:rPr>
          <w:rFonts w:ascii="Times New Roman" w:eastAsia="Times New Roman" w:hAnsi="Times New Roman"/>
          <w:b/>
          <w:snapToGrid w:val="0"/>
        </w:rPr>
        <w:t>13.</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 xml:space="preserve">SERIJOS NUMERIS </w:t>
      </w:r>
    </w:p>
    <w:p w14:paraId="546CCF70"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6D5ED12E" w14:textId="77777777" w:rsidR="00267DDB" w:rsidRPr="00037DA8" w:rsidRDefault="00E80005" w:rsidP="00267DD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Lot </w:t>
      </w:r>
      <w:r w:rsidR="00267DDB" w:rsidRPr="00037DA8">
        <w:rPr>
          <w:rFonts w:ascii="Times New Roman" w:eastAsia="Times New Roman" w:hAnsi="Times New Roman"/>
          <w:snapToGrid w:val="0"/>
        </w:rPr>
        <w:t>{numeris}</w:t>
      </w:r>
    </w:p>
    <w:p w14:paraId="698BB537"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2FB3E136"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22D3B37A" w14:textId="77777777" w:rsidR="00267DDB" w:rsidRPr="00037DA8"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37DA8">
        <w:rPr>
          <w:rFonts w:ascii="Times New Roman" w:eastAsia="Times New Roman" w:hAnsi="Times New Roman"/>
          <w:b/>
          <w:snapToGrid w:val="0"/>
        </w:rPr>
        <w:t>14.</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PARDAVIMO (IŠDAVIMO) TVARKA</w:t>
      </w:r>
    </w:p>
    <w:p w14:paraId="2E992783"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448D9E69" w14:textId="77777777" w:rsidR="00267DDB" w:rsidRPr="00037DA8" w:rsidRDefault="00267DDB" w:rsidP="00267DD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Receptinis vaistas</w:t>
      </w:r>
    </w:p>
    <w:p w14:paraId="08030979"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778F2CF0"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4ABBE60D" w14:textId="77777777" w:rsidR="00267DDB" w:rsidRPr="00037DA8" w:rsidRDefault="00267DDB" w:rsidP="00267DD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37DA8">
        <w:rPr>
          <w:rFonts w:ascii="Times New Roman" w:eastAsia="Times New Roman" w:hAnsi="Times New Roman"/>
          <w:b/>
          <w:snapToGrid w:val="0"/>
        </w:rPr>
        <w:t>15.</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VARTOJIMO INSTRUKCIJA</w:t>
      </w:r>
    </w:p>
    <w:p w14:paraId="25756C19"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24C0B9B9"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10A1C25B" w14:textId="77777777" w:rsidR="00267DDB" w:rsidRPr="00037DA8" w:rsidRDefault="00267DDB" w:rsidP="00267DD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037DA8">
        <w:rPr>
          <w:rFonts w:ascii="Times New Roman" w:eastAsia="Times New Roman" w:hAnsi="Times New Roman"/>
          <w:b/>
          <w:snapToGrid w:val="0"/>
        </w:rPr>
        <w:t>16.</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INFORMACIJA BRAILIO RAŠTU</w:t>
      </w:r>
    </w:p>
    <w:p w14:paraId="28A9CFDD" w14:textId="77777777" w:rsidR="00267DDB" w:rsidRPr="00037DA8" w:rsidRDefault="00267DDB" w:rsidP="00267DDB">
      <w:pPr>
        <w:tabs>
          <w:tab w:val="left" w:pos="567"/>
        </w:tabs>
        <w:spacing w:after="0" w:line="260" w:lineRule="exact"/>
        <w:rPr>
          <w:rFonts w:ascii="Times New Roman" w:eastAsia="Times New Roman" w:hAnsi="Times New Roman"/>
          <w:snapToGrid w:val="0"/>
        </w:rPr>
      </w:pPr>
    </w:p>
    <w:p w14:paraId="15980A9C" w14:textId="77777777" w:rsidR="00267DDB" w:rsidRPr="0085406C" w:rsidRDefault="00267DDB" w:rsidP="00267DDB">
      <w:pPr>
        <w:tabs>
          <w:tab w:val="left" w:pos="567"/>
        </w:tabs>
        <w:spacing w:after="0" w:line="260" w:lineRule="exact"/>
        <w:rPr>
          <w:rFonts w:ascii="Times New Roman" w:eastAsia="Times New Roman" w:hAnsi="Times New Roman"/>
          <w:snapToGrid w:val="0"/>
        </w:rPr>
      </w:pPr>
      <w:r w:rsidRPr="00074768">
        <w:rPr>
          <w:rFonts w:ascii="Times New Roman" w:hAnsi="Times New Roman"/>
          <w:highlight w:val="lightGray"/>
        </w:rPr>
        <w:t>Priimtas pagrindimas informacijos Brailio raštu nepateikti.</w:t>
      </w:r>
    </w:p>
    <w:p w14:paraId="04DBB46E" w14:textId="77777777" w:rsidR="00267DDB" w:rsidRPr="004200DB" w:rsidRDefault="00267DDB" w:rsidP="00267DDB">
      <w:pPr>
        <w:tabs>
          <w:tab w:val="left" w:pos="567"/>
        </w:tabs>
        <w:spacing w:after="0" w:line="260" w:lineRule="exact"/>
        <w:rPr>
          <w:rFonts w:ascii="Times New Roman" w:eastAsia="Times New Roman" w:hAnsi="Times New Roman"/>
          <w:snapToGrid w:val="0"/>
        </w:rPr>
      </w:pPr>
    </w:p>
    <w:p w14:paraId="7BA58473" w14:textId="77777777" w:rsidR="00267DDB" w:rsidRPr="00074768" w:rsidRDefault="00267DDB" w:rsidP="00267DDB">
      <w:pPr>
        <w:tabs>
          <w:tab w:val="left" w:pos="567"/>
        </w:tabs>
        <w:spacing w:after="0" w:line="260" w:lineRule="exact"/>
        <w:ind w:left="567" w:hanging="567"/>
        <w:rPr>
          <w:rFonts w:ascii="Times New Roman" w:eastAsia="Times New Roman" w:hAnsi="Times New Roman"/>
          <w:snapToGrid w:val="0"/>
        </w:rPr>
      </w:pPr>
    </w:p>
    <w:p w14:paraId="17D71B3A" w14:textId="77777777" w:rsidR="00267DDB" w:rsidRPr="0085406C" w:rsidRDefault="00267DDB" w:rsidP="00267DDB">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i/>
          <w:noProof/>
          <w:snapToGrid w:val="0"/>
        </w:rPr>
      </w:pPr>
      <w:r w:rsidRPr="0085406C">
        <w:rPr>
          <w:rFonts w:ascii="Times New Roman" w:eastAsia="Times New Roman" w:hAnsi="Times New Roman"/>
          <w:b/>
          <w:noProof/>
          <w:snapToGrid w:val="0"/>
        </w:rPr>
        <w:t>17.</w:t>
      </w:r>
      <w:r w:rsidRPr="0085406C">
        <w:rPr>
          <w:rFonts w:ascii="Times New Roman" w:eastAsia="Times New Roman" w:hAnsi="Times New Roman"/>
          <w:b/>
          <w:noProof/>
          <w:snapToGrid w:val="0"/>
        </w:rPr>
        <w:tab/>
        <w:t>UNIKALUS IDENTIFIKATORIUS – 2D BRŪKŠNINIS KODAS</w:t>
      </w:r>
    </w:p>
    <w:p w14:paraId="323C45D4" w14:textId="77777777" w:rsidR="00267DDB" w:rsidRPr="0085406C" w:rsidRDefault="00267DDB" w:rsidP="00267DDB">
      <w:pPr>
        <w:tabs>
          <w:tab w:val="left" w:pos="567"/>
        </w:tabs>
        <w:spacing w:after="0" w:line="260" w:lineRule="exact"/>
        <w:rPr>
          <w:rFonts w:ascii="Times New Roman" w:eastAsia="Times New Roman" w:hAnsi="Times New Roman"/>
          <w:noProof/>
          <w:snapToGrid w:val="0"/>
        </w:rPr>
      </w:pPr>
    </w:p>
    <w:p w14:paraId="4D4FB3FA" w14:textId="77777777" w:rsidR="00267DDB" w:rsidRPr="0085406C" w:rsidRDefault="00267DDB" w:rsidP="00267DDB">
      <w:pPr>
        <w:tabs>
          <w:tab w:val="left" w:pos="567"/>
        </w:tabs>
        <w:spacing w:after="0" w:line="260" w:lineRule="exact"/>
        <w:rPr>
          <w:rFonts w:ascii="Times New Roman" w:eastAsia="Times New Roman" w:hAnsi="Times New Roman"/>
          <w:noProof/>
          <w:snapToGrid w:val="0"/>
          <w:shd w:val="clear" w:color="auto" w:fill="CCCCCC"/>
        </w:rPr>
      </w:pPr>
      <w:r w:rsidRPr="00074768">
        <w:rPr>
          <w:rFonts w:ascii="Times New Roman" w:hAnsi="Times New Roman"/>
          <w:highlight w:val="lightGray"/>
        </w:rPr>
        <w:t>2D brūkšninis kodas su nurodytu unikaliu identifikatoriumi.</w:t>
      </w:r>
    </w:p>
    <w:p w14:paraId="05B84F1F" w14:textId="77777777" w:rsidR="00267DDB" w:rsidRPr="004200DB" w:rsidRDefault="00267DDB" w:rsidP="00267DDB">
      <w:pPr>
        <w:tabs>
          <w:tab w:val="left" w:pos="567"/>
        </w:tabs>
        <w:spacing w:after="0" w:line="260" w:lineRule="exact"/>
        <w:rPr>
          <w:rFonts w:ascii="Times New Roman" w:eastAsia="Times New Roman" w:hAnsi="Times New Roman"/>
          <w:noProof/>
          <w:snapToGrid w:val="0"/>
          <w:shd w:val="clear" w:color="auto" w:fill="CCCCCC"/>
        </w:rPr>
      </w:pPr>
    </w:p>
    <w:p w14:paraId="0AC00ED0" w14:textId="77777777" w:rsidR="00267DDB" w:rsidRPr="004200DB" w:rsidRDefault="00267DDB" w:rsidP="00267DDB">
      <w:pPr>
        <w:tabs>
          <w:tab w:val="left" w:pos="567"/>
        </w:tabs>
        <w:spacing w:after="0" w:line="260" w:lineRule="exact"/>
        <w:rPr>
          <w:rFonts w:ascii="Times New Roman" w:eastAsia="Times New Roman" w:hAnsi="Times New Roman"/>
          <w:noProof/>
          <w:snapToGrid w:val="0"/>
        </w:rPr>
      </w:pPr>
    </w:p>
    <w:p w14:paraId="0504FE09" w14:textId="77777777" w:rsidR="00267DDB" w:rsidRPr="00037DA8" w:rsidRDefault="00267DDB" w:rsidP="00267DDB">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i/>
          <w:noProof/>
          <w:snapToGrid w:val="0"/>
        </w:rPr>
      </w:pPr>
      <w:r w:rsidRPr="00037DA8">
        <w:rPr>
          <w:rFonts w:ascii="Times New Roman" w:eastAsia="Times New Roman" w:hAnsi="Times New Roman"/>
          <w:b/>
          <w:noProof/>
          <w:snapToGrid w:val="0"/>
        </w:rPr>
        <w:t>18.</w:t>
      </w:r>
      <w:r w:rsidRPr="00037DA8">
        <w:rPr>
          <w:rFonts w:ascii="Times New Roman" w:eastAsia="Times New Roman" w:hAnsi="Times New Roman"/>
          <w:b/>
          <w:noProof/>
          <w:snapToGrid w:val="0"/>
        </w:rPr>
        <w:tab/>
        <w:t>UNIKALUS IDENTIFIKATORIUS – ŽMONĖMS SUPRANTAMI DUOMENYS</w:t>
      </w:r>
    </w:p>
    <w:p w14:paraId="2B9242CA" w14:textId="77777777" w:rsidR="00267DDB" w:rsidRPr="00037DA8" w:rsidRDefault="00267DDB" w:rsidP="00267DDB">
      <w:pPr>
        <w:tabs>
          <w:tab w:val="left" w:pos="567"/>
        </w:tabs>
        <w:spacing w:after="0" w:line="260" w:lineRule="exact"/>
        <w:rPr>
          <w:rFonts w:ascii="Times New Roman" w:eastAsia="Times New Roman" w:hAnsi="Times New Roman"/>
          <w:noProof/>
          <w:snapToGrid w:val="0"/>
        </w:rPr>
      </w:pPr>
    </w:p>
    <w:p w14:paraId="2518F69B" w14:textId="302F1776" w:rsidR="00267DDB" w:rsidRPr="00037DA8" w:rsidRDefault="00267DDB" w:rsidP="00267DD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PC</w:t>
      </w:r>
    </w:p>
    <w:p w14:paraId="49B96D21" w14:textId="19A3CA29" w:rsidR="00267DDB" w:rsidRPr="00037DA8" w:rsidRDefault="00267DDB" w:rsidP="00267DDB">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SN </w:t>
      </w:r>
    </w:p>
    <w:p w14:paraId="699C5624" w14:textId="3B8F3487" w:rsidR="00267DDB" w:rsidRPr="00D9458E" w:rsidRDefault="00267DDB" w:rsidP="00267DDB">
      <w:pPr>
        <w:tabs>
          <w:tab w:val="left" w:pos="567"/>
        </w:tabs>
        <w:spacing w:after="0" w:line="260" w:lineRule="exact"/>
        <w:rPr>
          <w:rFonts w:ascii="Times New Roman" w:eastAsia="Times New Roman" w:hAnsi="Times New Roman"/>
          <w:b/>
          <w:noProof/>
          <w:snapToGrid w:val="0"/>
          <w:u w:val="single"/>
        </w:rPr>
      </w:pPr>
      <w:r w:rsidRPr="00037DA8">
        <w:rPr>
          <w:rFonts w:ascii="Times New Roman" w:hAnsi="Times New Roman"/>
          <w:highlight w:val="lightGray"/>
        </w:rPr>
        <w:t>NN</w:t>
      </w:r>
      <w:r w:rsidRPr="00BC3E54">
        <w:rPr>
          <w:rFonts w:ascii="Times New Roman" w:hAnsi="Times New Roman"/>
        </w:rPr>
        <w:t xml:space="preserve"> </w:t>
      </w:r>
    </w:p>
    <w:p w14:paraId="2DA18409" w14:textId="77777777" w:rsidR="00267DDB" w:rsidRPr="00074768"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eastAsia="lt-LT" w:bidi="lt-LT"/>
        </w:rPr>
      </w:pPr>
      <w:r w:rsidRPr="00074768">
        <w:rPr>
          <w:rFonts w:ascii="Times New Roman" w:hAnsi="Times New Roman"/>
          <w:highlight w:val="lightGray"/>
        </w:rPr>
        <w:br w:type="page"/>
      </w:r>
      <w:r w:rsidRPr="0085406C">
        <w:rPr>
          <w:rFonts w:ascii="Times New Roman" w:eastAsia="Times New Roman" w:hAnsi="Times New Roman"/>
          <w:b/>
          <w:noProof/>
          <w:lang w:eastAsia="lt-LT" w:bidi="lt-LT"/>
        </w:rPr>
        <w:lastRenderedPageBreak/>
        <w:t>MINIMALI INFORMACIJA ANT MAŽŲ VIDINIŲ PAKUOČIŲ</w:t>
      </w:r>
    </w:p>
    <w:p w14:paraId="285328C2" w14:textId="77777777" w:rsidR="00267DDB" w:rsidRPr="00074768"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eastAsia="lt-LT" w:bidi="lt-LT"/>
        </w:rPr>
      </w:pPr>
    </w:p>
    <w:p w14:paraId="16EF0775" w14:textId="7FDEEA44" w:rsidR="009C4797" w:rsidRPr="004200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rPr>
      </w:pPr>
      <w:r w:rsidRPr="0085406C">
        <w:rPr>
          <w:rFonts w:ascii="Times New Roman" w:eastAsia="Times New Roman" w:hAnsi="Times New Roman"/>
          <w:b/>
          <w:noProof/>
          <w:snapToGrid w:val="0"/>
        </w:rPr>
        <w:t>FLAKON</w:t>
      </w:r>
      <w:r w:rsidR="009C4797" w:rsidRPr="0085406C">
        <w:rPr>
          <w:rFonts w:ascii="Times New Roman" w:eastAsia="Times New Roman" w:hAnsi="Times New Roman"/>
          <w:b/>
          <w:noProof/>
          <w:snapToGrid w:val="0"/>
        </w:rPr>
        <w:t>AS</w:t>
      </w:r>
      <w:r w:rsidRPr="0085406C">
        <w:rPr>
          <w:rFonts w:ascii="Times New Roman" w:eastAsia="Times New Roman" w:hAnsi="Times New Roman"/>
          <w:b/>
          <w:noProof/>
          <w:snapToGrid w:val="0"/>
        </w:rPr>
        <w:t xml:space="preserve"> </w:t>
      </w:r>
    </w:p>
    <w:p w14:paraId="6AFDC39B" w14:textId="77777777" w:rsidR="00267DDB" w:rsidRPr="00074768" w:rsidRDefault="00267DDB" w:rsidP="00267DDB">
      <w:pPr>
        <w:tabs>
          <w:tab w:val="left" w:pos="567"/>
        </w:tabs>
        <w:spacing w:after="0" w:line="240" w:lineRule="auto"/>
        <w:rPr>
          <w:rFonts w:ascii="Times New Roman" w:eastAsia="Times New Roman" w:hAnsi="Times New Roman"/>
          <w:noProof/>
          <w:lang w:eastAsia="lt-LT" w:bidi="lt-LT"/>
        </w:rPr>
      </w:pPr>
    </w:p>
    <w:p w14:paraId="244602AD" w14:textId="77777777" w:rsidR="00267DDB" w:rsidRPr="00074768" w:rsidRDefault="00267DDB" w:rsidP="00267DDB">
      <w:pPr>
        <w:tabs>
          <w:tab w:val="left" w:pos="567"/>
        </w:tabs>
        <w:spacing w:after="0" w:line="240" w:lineRule="auto"/>
        <w:rPr>
          <w:rFonts w:ascii="Times New Roman" w:eastAsia="Times New Roman" w:hAnsi="Times New Roman"/>
          <w:noProof/>
          <w:lang w:eastAsia="lt-LT" w:bidi="lt-LT"/>
        </w:rPr>
      </w:pPr>
    </w:p>
    <w:p w14:paraId="2CE179F2" w14:textId="77777777" w:rsidR="00267DDB" w:rsidRPr="00074768" w:rsidRDefault="00267DDB" w:rsidP="008A75C3">
      <w:pPr>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85406C">
        <w:rPr>
          <w:rFonts w:ascii="Times New Roman" w:eastAsia="Times New Roman" w:hAnsi="Times New Roman"/>
          <w:b/>
          <w:noProof/>
          <w:lang w:eastAsia="lt-LT" w:bidi="lt-LT"/>
        </w:rPr>
        <w:t>VAISTINIO PREPARATO PAVADINIMAS IR VARTOJIMO BŪDAS (-AI)</w:t>
      </w:r>
    </w:p>
    <w:p w14:paraId="610FFD3F" w14:textId="77777777" w:rsidR="00267DDB" w:rsidRPr="00074768" w:rsidRDefault="00267DDB" w:rsidP="00267DDB">
      <w:pPr>
        <w:tabs>
          <w:tab w:val="left" w:pos="567"/>
        </w:tabs>
        <w:spacing w:after="0" w:line="240" w:lineRule="auto"/>
        <w:ind w:left="567" w:hanging="567"/>
        <w:rPr>
          <w:rFonts w:ascii="Times New Roman" w:eastAsia="Times New Roman" w:hAnsi="Times New Roman"/>
          <w:noProof/>
          <w:lang w:eastAsia="lt-LT" w:bidi="lt-LT"/>
        </w:rPr>
      </w:pPr>
    </w:p>
    <w:p w14:paraId="3D734CE7" w14:textId="77777777" w:rsidR="00267DDB" w:rsidRPr="004200DB" w:rsidRDefault="00FE3805" w:rsidP="00267DDB">
      <w:pPr>
        <w:tabs>
          <w:tab w:val="left" w:pos="567"/>
        </w:tabs>
        <w:spacing w:after="0" w:line="260" w:lineRule="exact"/>
        <w:rPr>
          <w:rFonts w:ascii="Times New Roman" w:eastAsia="Times New Roman" w:hAnsi="Times New Roman"/>
          <w:snapToGrid w:val="0"/>
        </w:rPr>
      </w:pPr>
      <w:proofErr w:type="spellStart"/>
      <w:r w:rsidRPr="0085406C">
        <w:rPr>
          <w:rFonts w:ascii="Times New Roman" w:eastAsia="Times New Roman" w:hAnsi="Times New Roman"/>
          <w:snapToGrid w:val="0"/>
        </w:rPr>
        <w:t>Cabazitaxel</w:t>
      </w:r>
      <w:proofErr w:type="spellEnd"/>
      <w:r w:rsidRPr="0085406C">
        <w:rPr>
          <w:rFonts w:ascii="Times New Roman" w:eastAsia="Times New Roman" w:hAnsi="Times New Roman"/>
          <w:snapToGrid w:val="0"/>
        </w:rPr>
        <w:t xml:space="preserve"> </w:t>
      </w:r>
      <w:proofErr w:type="spellStart"/>
      <w:r w:rsidRPr="0085406C">
        <w:rPr>
          <w:rFonts w:ascii="Times New Roman" w:eastAsia="Times New Roman" w:hAnsi="Times New Roman"/>
          <w:snapToGrid w:val="0"/>
        </w:rPr>
        <w:t>Sandoz</w:t>
      </w:r>
      <w:proofErr w:type="spellEnd"/>
      <w:r w:rsidR="00267DDB" w:rsidRPr="0085406C">
        <w:rPr>
          <w:rFonts w:ascii="Times New Roman" w:eastAsia="Times New Roman" w:hAnsi="Times New Roman"/>
          <w:snapToGrid w:val="0"/>
        </w:rPr>
        <w:t xml:space="preserve"> </w:t>
      </w:r>
      <w:r w:rsidRPr="0085406C">
        <w:rPr>
          <w:rFonts w:ascii="Times New Roman" w:eastAsia="Times New Roman" w:hAnsi="Times New Roman"/>
          <w:noProof/>
          <w:snapToGrid w:val="0"/>
        </w:rPr>
        <w:t>10</w:t>
      </w:r>
      <w:r w:rsidR="00267DDB" w:rsidRPr="0085406C">
        <w:rPr>
          <w:rFonts w:ascii="Times New Roman" w:eastAsia="Times New Roman" w:hAnsi="Times New Roman"/>
          <w:noProof/>
          <w:snapToGrid w:val="0"/>
        </w:rPr>
        <w:t> mg/ml koncentratas</w:t>
      </w:r>
      <w:r w:rsidR="009C4797" w:rsidRPr="004200DB">
        <w:rPr>
          <w:rFonts w:ascii="Times New Roman" w:eastAsia="Times New Roman" w:hAnsi="Times New Roman"/>
          <w:noProof/>
          <w:snapToGrid w:val="0"/>
        </w:rPr>
        <w:t xml:space="preserve"> infuziniam tirpalui</w:t>
      </w:r>
    </w:p>
    <w:p w14:paraId="0B5A0CCB" w14:textId="25CE40FE" w:rsidR="00267DDB" w:rsidRPr="00037DA8" w:rsidRDefault="009C4797" w:rsidP="00267DDB">
      <w:pPr>
        <w:tabs>
          <w:tab w:val="left" w:pos="567"/>
        </w:tabs>
        <w:spacing w:after="0" w:line="240" w:lineRule="auto"/>
        <w:rPr>
          <w:rFonts w:ascii="Times New Roman" w:eastAsia="Times New Roman" w:hAnsi="Times New Roman"/>
          <w:snapToGrid w:val="0"/>
        </w:rPr>
      </w:pPr>
      <w:proofErr w:type="spellStart"/>
      <w:r w:rsidRPr="004200DB">
        <w:rPr>
          <w:rFonts w:ascii="Times New Roman" w:eastAsia="Times New Roman" w:hAnsi="Times New Roman"/>
          <w:snapToGrid w:val="0"/>
        </w:rPr>
        <w:t>cabazitaxelum</w:t>
      </w:r>
      <w:proofErr w:type="spellEnd"/>
      <w:r w:rsidR="00267DDB" w:rsidRPr="00037DA8">
        <w:rPr>
          <w:rFonts w:ascii="Times New Roman" w:eastAsia="Times New Roman" w:hAnsi="Times New Roman"/>
          <w:snapToGrid w:val="0"/>
        </w:rPr>
        <w:t xml:space="preserve"> </w:t>
      </w:r>
    </w:p>
    <w:p w14:paraId="18A9772E" w14:textId="77777777" w:rsidR="00267DDB" w:rsidRPr="00074768" w:rsidRDefault="00267DDB" w:rsidP="00267DDB">
      <w:pPr>
        <w:tabs>
          <w:tab w:val="left" w:pos="567"/>
        </w:tabs>
        <w:spacing w:after="0" w:line="240" w:lineRule="auto"/>
        <w:rPr>
          <w:rFonts w:ascii="Times New Roman" w:eastAsia="Times New Roman" w:hAnsi="Times New Roman"/>
          <w:noProof/>
          <w:lang w:eastAsia="lt-LT" w:bidi="lt-LT"/>
        </w:rPr>
      </w:pPr>
    </w:p>
    <w:p w14:paraId="384DD25D" w14:textId="77777777" w:rsidR="00267DDB" w:rsidRPr="0085406C" w:rsidRDefault="00206CA2" w:rsidP="00267DDB">
      <w:pPr>
        <w:tabs>
          <w:tab w:val="left" w:pos="567"/>
        </w:tabs>
        <w:spacing w:after="0" w:line="240" w:lineRule="auto"/>
        <w:rPr>
          <w:rFonts w:ascii="Times New Roman" w:eastAsia="Times New Roman" w:hAnsi="Times New Roman"/>
          <w:noProof/>
          <w:snapToGrid w:val="0"/>
        </w:rPr>
      </w:pPr>
      <w:r w:rsidRPr="0085406C">
        <w:rPr>
          <w:rFonts w:ascii="Times New Roman" w:eastAsia="Times New Roman" w:hAnsi="Times New Roman"/>
          <w:noProof/>
          <w:snapToGrid w:val="0"/>
          <w:highlight w:val="lightGray"/>
        </w:rPr>
        <w:t>Leisti</w:t>
      </w:r>
      <w:r w:rsidR="008A5DEA" w:rsidRPr="0085406C">
        <w:rPr>
          <w:rFonts w:ascii="Times New Roman" w:eastAsia="Times New Roman" w:hAnsi="Times New Roman"/>
          <w:noProof/>
          <w:snapToGrid w:val="0"/>
          <w:highlight w:val="lightGray"/>
        </w:rPr>
        <w:t xml:space="preserve"> į veną</w:t>
      </w:r>
      <w:r w:rsidR="008A5DEA" w:rsidRPr="0085406C">
        <w:rPr>
          <w:rFonts w:ascii="Times New Roman" w:eastAsia="Times New Roman" w:hAnsi="Times New Roman"/>
          <w:noProof/>
          <w:snapToGrid w:val="0"/>
        </w:rPr>
        <w:t xml:space="preserve"> </w:t>
      </w:r>
    </w:p>
    <w:p w14:paraId="1C8C0B89" w14:textId="77777777" w:rsidR="008A5DEA" w:rsidRPr="00074768" w:rsidRDefault="009C4797" w:rsidP="00267DDB">
      <w:pPr>
        <w:tabs>
          <w:tab w:val="left" w:pos="567"/>
        </w:tabs>
        <w:spacing w:after="0" w:line="240" w:lineRule="auto"/>
        <w:rPr>
          <w:rFonts w:ascii="Times New Roman" w:eastAsia="Times New Roman" w:hAnsi="Times New Roman"/>
          <w:i/>
          <w:noProof/>
          <w:lang w:eastAsia="lt-LT" w:bidi="lt-LT"/>
        </w:rPr>
      </w:pPr>
      <w:r w:rsidRPr="00074768">
        <w:rPr>
          <w:rFonts w:ascii="Times New Roman" w:eastAsia="Times New Roman" w:hAnsi="Times New Roman"/>
          <w:i/>
          <w:noProof/>
          <w:lang w:eastAsia="lt-LT" w:bidi="lt-LT"/>
        </w:rPr>
        <w:t>i.v.</w:t>
      </w:r>
    </w:p>
    <w:p w14:paraId="43A340C4" w14:textId="77777777" w:rsidR="008A5DEA" w:rsidRPr="00074768" w:rsidRDefault="008A5DEA" w:rsidP="00267DDB">
      <w:pPr>
        <w:tabs>
          <w:tab w:val="left" w:pos="567"/>
        </w:tabs>
        <w:spacing w:after="0" w:line="240" w:lineRule="auto"/>
        <w:rPr>
          <w:rFonts w:ascii="Times New Roman" w:eastAsia="Times New Roman" w:hAnsi="Times New Roman"/>
          <w:noProof/>
          <w:lang w:eastAsia="lt-LT" w:bidi="lt-LT"/>
        </w:rPr>
      </w:pPr>
    </w:p>
    <w:p w14:paraId="68F8694E" w14:textId="77777777" w:rsidR="00267DDB" w:rsidRPr="00074768" w:rsidRDefault="00267DDB" w:rsidP="008A75C3">
      <w:pPr>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85406C">
        <w:rPr>
          <w:rFonts w:ascii="Times New Roman" w:eastAsia="Times New Roman" w:hAnsi="Times New Roman"/>
          <w:b/>
          <w:noProof/>
          <w:lang w:eastAsia="lt-LT" w:bidi="lt-LT"/>
        </w:rPr>
        <w:t>VARTOJIMO METODAS</w:t>
      </w:r>
    </w:p>
    <w:p w14:paraId="1CECC7D4" w14:textId="77777777" w:rsidR="00267DDB" w:rsidRPr="00074768" w:rsidRDefault="00267DDB" w:rsidP="00267DDB">
      <w:pPr>
        <w:tabs>
          <w:tab w:val="left" w:pos="567"/>
        </w:tabs>
        <w:spacing w:after="0" w:line="240" w:lineRule="auto"/>
        <w:rPr>
          <w:rFonts w:ascii="Times New Roman" w:eastAsia="Times New Roman" w:hAnsi="Times New Roman"/>
          <w:noProof/>
          <w:lang w:eastAsia="lt-LT" w:bidi="lt-LT"/>
        </w:rPr>
      </w:pPr>
    </w:p>
    <w:p w14:paraId="42BAD879" w14:textId="77777777" w:rsidR="008A5DEA" w:rsidRPr="00D9458E" w:rsidRDefault="009C4797" w:rsidP="008A5DEA">
      <w:pPr>
        <w:tabs>
          <w:tab w:val="left" w:pos="567"/>
        </w:tabs>
        <w:spacing w:after="0" w:line="260" w:lineRule="exact"/>
        <w:rPr>
          <w:rFonts w:ascii="Times New Roman" w:eastAsia="Times New Roman" w:hAnsi="Times New Roman"/>
          <w:noProof/>
          <w:snapToGrid w:val="0"/>
        </w:rPr>
      </w:pPr>
      <w:r w:rsidRPr="0085406C">
        <w:rPr>
          <w:rFonts w:ascii="Times New Roman" w:eastAsia="Times New Roman" w:hAnsi="Times New Roman"/>
          <w:noProof/>
          <w:snapToGrid w:val="0"/>
        </w:rPr>
        <w:t>Prieš vartojan</w:t>
      </w:r>
      <w:r w:rsidR="00BC3E54">
        <w:rPr>
          <w:rFonts w:ascii="Times New Roman" w:eastAsia="Times New Roman" w:hAnsi="Times New Roman"/>
          <w:noProof/>
          <w:snapToGrid w:val="0"/>
        </w:rPr>
        <w:t>t</w:t>
      </w:r>
      <w:r w:rsidR="008A5DEA" w:rsidRPr="00BC3E54">
        <w:rPr>
          <w:rFonts w:ascii="Times New Roman" w:eastAsia="Times New Roman" w:hAnsi="Times New Roman"/>
          <w:noProof/>
          <w:snapToGrid w:val="0"/>
        </w:rPr>
        <w:t xml:space="preserve"> </w:t>
      </w:r>
      <w:r w:rsidRPr="00D9458E">
        <w:rPr>
          <w:rFonts w:ascii="Times New Roman" w:eastAsia="Times New Roman" w:hAnsi="Times New Roman"/>
          <w:noProof/>
          <w:snapToGrid w:val="0"/>
        </w:rPr>
        <w:t>praskiesti</w:t>
      </w:r>
      <w:r w:rsidR="008A5DEA" w:rsidRPr="00D9458E">
        <w:rPr>
          <w:rFonts w:ascii="Times New Roman" w:eastAsia="Times New Roman" w:hAnsi="Times New Roman"/>
          <w:noProof/>
          <w:snapToGrid w:val="0"/>
        </w:rPr>
        <w:t>.</w:t>
      </w:r>
    </w:p>
    <w:p w14:paraId="150F663D" w14:textId="77777777" w:rsidR="00267DDB" w:rsidRPr="00074768" w:rsidRDefault="00267DDB" w:rsidP="00267DDB">
      <w:pPr>
        <w:tabs>
          <w:tab w:val="left" w:pos="567"/>
        </w:tabs>
        <w:spacing w:after="0" w:line="240" w:lineRule="auto"/>
        <w:rPr>
          <w:rFonts w:ascii="Times New Roman" w:eastAsia="Times New Roman" w:hAnsi="Times New Roman"/>
          <w:noProof/>
          <w:lang w:eastAsia="lt-LT" w:bidi="lt-LT"/>
        </w:rPr>
      </w:pPr>
    </w:p>
    <w:p w14:paraId="0AD1E231" w14:textId="77777777" w:rsidR="00267DDB" w:rsidRPr="00074768" w:rsidRDefault="00267DDB" w:rsidP="00267DDB">
      <w:pPr>
        <w:tabs>
          <w:tab w:val="left" w:pos="567"/>
        </w:tabs>
        <w:spacing w:after="0" w:line="240" w:lineRule="auto"/>
        <w:rPr>
          <w:rFonts w:ascii="Times New Roman" w:eastAsia="Times New Roman" w:hAnsi="Times New Roman"/>
          <w:noProof/>
          <w:lang w:eastAsia="lt-LT" w:bidi="lt-LT"/>
        </w:rPr>
      </w:pPr>
    </w:p>
    <w:p w14:paraId="30DF35D6" w14:textId="77777777" w:rsidR="00267DDB" w:rsidRPr="00074768" w:rsidRDefault="00267DDB" w:rsidP="008A75C3">
      <w:pPr>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85406C">
        <w:rPr>
          <w:rFonts w:ascii="Times New Roman" w:eastAsia="Times New Roman" w:hAnsi="Times New Roman"/>
          <w:b/>
          <w:noProof/>
          <w:lang w:eastAsia="lt-LT" w:bidi="lt-LT"/>
        </w:rPr>
        <w:t>TINKAMUMO LAIKAS</w:t>
      </w:r>
    </w:p>
    <w:p w14:paraId="7E2129E1" w14:textId="77777777" w:rsidR="00267DDB" w:rsidRPr="0085406C" w:rsidRDefault="00267DDB" w:rsidP="00267DDB">
      <w:pPr>
        <w:tabs>
          <w:tab w:val="left" w:pos="567"/>
        </w:tabs>
        <w:spacing w:after="0" w:line="240" w:lineRule="auto"/>
        <w:rPr>
          <w:rFonts w:ascii="Times New Roman" w:eastAsia="Times New Roman" w:hAnsi="Times New Roman"/>
          <w:lang w:eastAsia="lt-LT" w:bidi="lt-LT"/>
        </w:rPr>
      </w:pPr>
    </w:p>
    <w:p w14:paraId="5950A675" w14:textId="77777777" w:rsidR="00267DDB" w:rsidRPr="004200DB" w:rsidRDefault="00267DDB" w:rsidP="00267DDB">
      <w:pPr>
        <w:tabs>
          <w:tab w:val="left" w:pos="567"/>
        </w:tabs>
        <w:spacing w:after="0" w:line="240" w:lineRule="auto"/>
        <w:rPr>
          <w:rFonts w:ascii="Times New Roman" w:eastAsia="Times New Roman" w:hAnsi="Times New Roman"/>
          <w:lang w:eastAsia="lt-LT" w:bidi="lt-LT"/>
        </w:rPr>
      </w:pPr>
      <w:r w:rsidRPr="004200DB">
        <w:rPr>
          <w:rFonts w:ascii="Times New Roman" w:eastAsia="Times New Roman" w:hAnsi="Times New Roman"/>
          <w:lang w:eastAsia="lt-LT" w:bidi="lt-LT"/>
        </w:rPr>
        <w:t>EXP {mm MMMM}</w:t>
      </w:r>
    </w:p>
    <w:p w14:paraId="060EAAF4" w14:textId="77777777" w:rsidR="009C4797" w:rsidRPr="00037DA8" w:rsidRDefault="009C4797" w:rsidP="009C4797">
      <w:pPr>
        <w:tabs>
          <w:tab w:val="left" w:pos="567"/>
        </w:tabs>
        <w:spacing w:after="0" w:line="240" w:lineRule="auto"/>
        <w:rPr>
          <w:rFonts w:ascii="Times New Roman" w:eastAsia="Times New Roman" w:hAnsi="Times New Roman"/>
          <w:lang w:eastAsia="lt-LT" w:bidi="lt-LT"/>
        </w:rPr>
      </w:pPr>
      <w:r w:rsidRPr="004200DB">
        <w:rPr>
          <w:rFonts w:ascii="Times New Roman" w:eastAsia="Times New Roman" w:hAnsi="Times New Roman"/>
          <w:highlight w:val="lightGray"/>
          <w:lang w:eastAsia="lt-LT" w:bidi="lt-LT"/>
        </w:rPr>
        <w:t>Perskaitykite pakuotės lapelyje apie flakono po pirmojo atidarymo ir praskies</w:t>
      </w:r>
      <w:r w:rsidRPr="00037DA8">
        <w:rPr>
          <w:rFonts w:ascii="Times New Roman" w:eastAsia="Times New Roman" w:hAnsi="Times New Roman"/>
          <w:highlight w:val="lightGray"/>
          <w:lang w:eastAsia="lt-LT" w:bidi="lt-LT"/>
        </w:rPr>
        <w:t>to tirpalo tinkamumo laiką ir laikymo sąlygas.</w:t>
      </w:r>
    </w:p>
    <w:p w14:paraId="7BC0FAF3" w14:textId="77777777" w:rsidR="00267DDB" w:rsidRPr="00037DA8" w:rsidRDefault="00267DDB" w:rsidP="00267DDB">
      <w:pPr>
        <w:tabs>
          <w:tab w:val="left" w:pos="567"/>
        </w:tabs>
        <w:spacing w:after="0" w:line="240" w:lineRule="auto"/>
        <w:rPr>
          <w:rFonts w:ascii="Times New Roman" w:eastAsia="Times New Roman" w:hAnsi="Times New Roman"/>
          <w:lang w:eastAsia="lt-LT" w:bidi="lt-LT"/>
        </w:rPr>
      </w:pPr>
    </w:p>
    <w:p w14:paraId="356831D7" w14:textId="77777777" w:rsidR="00267DDB" w:rsidRPr="00037DA8" w:rsidRDefault="00267DDB" w:rsidP="00267DDB">
      <w:pPr>
        <w:tabs>
          <w:tab w:val="left" w:pos="567"/>
        </w:tabs>
        <w:spacing w:after="0" w:line="240" w:lineRule="auto"/>
        <w:rPr>
          <w:rFonts w:ascii="Times New Roman" w:eastAsia="Times New Roman" w:hAnsi="Times New Roman"/>
          <w:lang w:eastAsia="lt-LT" w:bidi="lt-LT"/>
        </w:rPr>
      </w:pPr>
    </w:p>
    <w:p w14:paraId="794CDECB" w14:textId="77777777" w:rsidR="00267DDB" w:rsidRPr="00037DA8" w:rsidRDefault="00267DDB" w:rsidP="008A75C3">
      <w:pPr>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lang w:eastAsia="lt-LT" w:bidi="lt-LT"/>
        </w:rPr>
      </w:pPr>
      <w:r w:rsidRPr="00037DA8">
        <w:rPr>
          <w:rFonts w:ascii="Times New Roman" w:eastAsia="Times New Roman" w:hAnsi="Times New Roman"/>
          <w:b/>
          <w:lang w:eastAsia="lt-LT" w:bidi="lt-LT"/>
        </w:rPr>
        <w:t>SERIJOS NUMERIS</w:t>
      </w:r>
    </w:p>
    <w:p w14:paraId="150BFBD9" w14:textId="77777777" w:rsidR="00267DDB" w:rsidRPr="00037DA8" w:rsidRDefault="00267DDB" w:rsidP="00267DDB">
      <w:pPr>
        <w:tabs>
          <w:tab w:val="left" w:pos="567"/>
        </w:tabs>
        <w:spacing w:after="0" w:line="240" w:lineRule="auto"/>
        <w:ind w:right="113"/>
        <w:rPr>
          <w:rFonts w:ascii="Times New Roman" w:eastAsia="Times New Roman" w:hAnsi="Times New Roman"/>
          <w:lang w:eastAsia="lt-LT" w:bidi="lt-LT"/>
        </w:rPr>
      </w:pPr>
    </w:p>
    <w:p w14:paraId="07C96F1B" w14:textId="77777777" w:rsidR="00267DDB" w:rsidRPr="00037DA8" w:rsidRDefault="00267DDB" w:rsidP="00267DDB">
      <w:pPr>
        <w:tabs>
          <w:tab w:val="left" w:pos="567"/>
        </w:tabs>
        <w:spacing w:after="0" w:line="240" w:lineRule="auto"/>
        <w:ind w:right="113"/>
        <w:rPr>
          <w:rFonts w:ascii="Times New Roman" w:eastAsia="Times New Roman" w:hAnsi="Times New Roman"/>
          <w:lang w:eastAsia="lt-LT" w:bidi="lt-LT"/>
        </w:rPr>
      </w:pPr>
      <w:r w:rsidRPr="00037DA8">
        <w:rPr>
          <w:rFonts w:ascii="Times New Roman" w:eastAsia="Times New Roman" w:hAnsi="Times New Roman"/>
          <w:lang w:eastAsia="lt-LT" w:bidi="lt-LT"/>
        </w:rPr>
        <w:t>Lot</w:t>
      </w:r>
    </w:p>
    <w:p w14:paraId="55B805EC" w14:textId="77777777" w:rsidR="00267DDB" w:rsidRPr="00037DA8" w:rsidRDefault="00267DDB" w:rsidP="00267DDB">
      <w:pPr>
        <w:tabs>
          <w:tab w:val="left" w:pos="567"/>
        </w:tabs>
        <w:spacing w:after="0" w:line="240" w:lineRule="auto"/>
        <w:ind w:right="113"/>
        <w:rPr>
          <w:rFonts w:ascii="Times New Roman" w:eastAsia="Times New Roman" w:hAnsi="Times New Roman"/>
          <w:lang w:eastAsia="lt-LT" w:bidi="lt-LT"/>
        </w:rPr>
      </w:pPr>
    </w:p>
    <w:p w14:paraId="0FC80189" w14:textId="77777777" w:rsidR="00267DDB" w:rsidRPr="00037DA8" w:rsidRDefault="00267DDB" w:rsidP="00267DDB">
      <w:pPr>
        <w:tabs>
          <w:tab w:val="left" w:pos="567"/>
        </w:tabs>
        <w:spacing w:after="0" w:line="240" w:lineRule="auto"/>
        <w:ind w:right="113"/>
        <w:rPr>
          <w:rFonts w:ascii="Times New Roman" w:eastAsia="Times New Roman" w:hAnsi="Times New Roman"/>
          <w:lang w:eastAsia="lt-LT" w:bidi="lt-LT"/>
        </w:rPr>
      </w:pPr>
    </w:p>
    <w:p w14:paraId="06EF8D3C" w14:textId="77777777" w:rsidR="00267DDB" w:rsidRPr="00074768" w:rsidRDefault="00267DDB" w:rsidP="008A75C3">
      <w:pPr>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037DA8">
        <w:rPr>
          <w:rFonts w:ascii="Times New Roman" w:eastAsia="Times New Roman" w:hAnsi="Times New Roman"/>
          <w:b/>
          <w:noProof/>
          <w:lang w:eastAsia="lt-LT" w:bidi="lt-LT"/>
        </w:rPr>
        <w:t>KIEKIS (MASĖ, TŪRIS ARBA VIENETAI)</w:t>
      </w:r>
    </w:p>
    <w:p w14:paraId="2F09ED92" w14:textId="77777777" w:rsidR="00267DDB" w:rsidRPr="00074768" w:rsidRDefault="00267DDB" w:rsidP="00267DDB">
      <w:pPr>
        <w:tabs>
          <w:tab w:val="left" w:pos="567"/>
        </w:tabs>
        <w:spacing w:after="0" w:line="240" w:lineRule="auto"/>
        <w:ind w:right="113"/>
        <w:rPr>
          <w:rFonts w:ascii="Times New Roman" w:eastAsia="Times New Roman" w:hAnsi="Times New Roman"/>
          <w:noProof/>
          <w:lang w:eastAsia="lt-LT" w:bidi="lt-LT"/>
        </w:rPr>
      </w:pPr>
    </w:p>
    <w:p w14:paraId="2AEBCB6A" w14:textId="77777777" w:rsidR="009C4797" w:rsidRPr="00074768" w:rsidRDefault="009C4797" w:rsidP="009C4797">
      <w:pPr>
        <w:tabs>
          <w:tab w:val="left" w:pos="567"/>
        </w:tabs>
        <w:spacing w:after="0" w:line="240" w:lineRule="auto"/>
        <w:ind w:right="113"/>
        <w:rPr>
          <w:rFonts w:ascii="Times New Roman" w:eastAsia="Times New Roman" w:hAnsi="Times New Roman"/>
          <w:noProof/>
          <w:lang w:eastAsia="lt-LT" w:bidi="lt-LT"/>
        </w:rPr>
      </w:pPr>
      <w:r w:rsidRPr="00074768">
        <w:rPr>
          <w:rFonts w:ascii="Times New Roman" w:eastAsia="Times New Roman" w:hAnsi="Times New Roman"/>
          <w:noProof/>
          <w:lang w:eastAsia="lt-LT" w:bidi="lt-LT"/>
        </w:rPr>
        <w:t>45 mg/4,5 ml</w:t>
      </w:r>
    </w:p>
    <w:p w14:paraId="32E75F06" w14:textId="5D42D446" w:rsidR="009C4797" w:rsidRPr="00BC3E54" w:rsidRDefault="009C4797" w:rsidP="009C4797">
      <w:pPr>
        <w:tabs>
          <w:tab w:val="left" w:pos="567"/>
        </w:tabs>
        <w:spacing w:after="0" w:line="240" w:lineRule="auto"/>
        <w:ind w:right="113"/>
        <w:rPr>
          <w:rFonts w:ascii="Times New Roman" w:eastAsia="Times New Roman" w:hAnsi="Times New Roman"/>
          <w:noProof/>
          <w:lang w:eastAsia="lt-LT" w:bidi="lt-LT"/>
        </w:rPr>
      </w:pPr>
      <w:r w:rsidRPr="00074768">
        <w:rPr>
          <w:rFonts w:ascii="Times New Roman" w:eastAsia="Times New Roman" w:hAnsi="Times New Roman"/>
          <w:noProof/>
          <w:highlight w:val="lightGray"/>
          <w:lang w:eastAsia="lt-LT" w:bidi="lt-LT"/>
        </w:rPr>
        <w:t>60</w:t>
      </w:r>
      <w:r w:rsidR="00532584">
        <w:rPr>
          <w:rFonts w:ascii="Times New Roman" w:eastAsia="Times New Roman" w:hAnsi="Times New Roman"/>
          <w:noProof/>
          <w:highlight w:val="lightGray"/>
          <w:lang w:eastAsia="lt-LT" w:bidi="lt-LT"/>
        </w:rPr>
        <w:t> </w:t>
      </w:r>
      <w:r w:rsidRPr="00074768">
        <w:rPr>
          <w:rFonts w:ascii="Times New Roman" w:eastAsia="Times New Roman" w:hAnsi="Times New Roman"/>
          <w:noProof/>
          <w:highlight w:val="lightGray"/>
          <w:lang w:eastAsia="lt-LT" w:bidi="lt-LT"/>
        </w:rPr>
        <w:t>mg/6,0</w:t>
      </w:r>
      <w:r w:rsidR="00532584">
        <w:rPr>
          <w:rFonts w:ascii="Times New Roman" w:eastAsia="Times New Roman" w:hAnsi="Times New Roman"/>
          <w:noProof/>
          <w:highlight w:val="lightGray"/>
          <w:lang w:eastAsia="lt-LT" w:bidi="lt-LT"/>
        </w:rPr>
        <w:t> </w:t>
      </w:r>
      <w:r w:rsidRPr="00074768">
        <w:rPr>
          <w:rFonts w:ascii="Times New Roman" w:eastAsia="Times New Roman" w:hAnsi="Times New Roman"/>
          <w:noProof/>
          <w:highlight w:val="lightGray"/>
          <w:lang w:eastAsia="lt-LT" w:bidi="lt-LT"/>
        </w:rPr>
        <w:t>ml</w:t>
      </w:r>
    </w:p>
    <w:p w14:paraId="713547E3" w14:textId="77777777" w:rsidR="00267DDB" w:rsidRPr="00074768" w:rsidRDefault="00267DDB" w:rsidP="00267DDB">
      <w:pPr>
        <w:tabs>
          <w:tab w:val="left" w:pos="567"/>
        </w:tabs>
        <w:spacing w:after="0" w:line="240" w:lineRule="auto"/>
        <w:ind w:right="113"/>
        <w:rPr>
          <w:rFonts w:ascii="Times New Roman" w:eastAsia="Times New Roman" w:hAnsi="Times New Roman"/>
          <w:noProof/>
          <w:lang w:eastAsia="lt-LT" w:bidi="lt-LT"/>
        </w:rPr>
      </w:pPr>
    </w:p>
    <w:p w14:paraId="2413C016" w14:textId="77777777" w:rsidR="00267DDB" w:rsidRPr="00074768" w:rsidRDefault="00267DDB" w:rsidP="00267DDB">
      <w:pPr>
        <w:tabs>
          <w:tab w:val="left" w:pos="567"/>
        </w:tabs>
        <w:spacing w:after="0" w:line="240" w:lineRule="auto"/>
        <w:ind w:right="113"/>
        <w:rPr>
          <w:rFonts w:ascii="Times New Roman" w:eastAsia="Times New Roman" w:hAnsi="Times New Roman"/>
          <w:noProof/>
          <w:lang w:eastAsia="lt-LT" w:bidi="lt-LT"/>
        </w:rPr>
      </w:pPr>
    </w:p>
    <w:p w14:paraId="24BCBFC5" w14:textId="77777777" w:rsidR="00267DDB" w:rsidRPr="00074768" w:rsidRDefault="00267DDB" w:rsidP="008A75C3">
      <w:pPr>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85406C">
        <w:rPr>
          <w:rFonts w:ascii="Times New Roman" w:eastAsia="Times New Roman" w:hAnsi="Times New Roman"/>
          <w:b/>
          <w:noProof/>
          <w:lang w:eastAsia="lt-LT" w:bidi="lt-LT"/>
        </w:rPr>
        <w:t>KITA</w:t>
      </w:r>
    </w:p>
    <w:p w14:paraId="7815AFBF" w14:textId="77777777" w:rsidR="00267DDB" w:rsidRPr="00074768" w:rsidRDefault="00267DDB" w:rsidP="00267DDB">
      <w:pPr>
        <w:tabs>
          <w:tab w:val="left" w:pos="567"/>
        </w:tabs>
        <w:spacing w:after="0" w:line="240" w:lineRule="auto"/>
        <w:ind w:right="113"/>
        <w:rPr>
          <w:rFonts w:ascii="Times New Roman" w:eastAsia="Times New Roman" w:hAnsi="Times New Roman"/>
          <w:noProof/>
          <w:lang w:eastAsia="lt-LT" w:bidi="lt-LT"/>
        </w:rPr>
      </w:pPr>
    </w:p>
    <w:p w14:paraId="730421A7" w14:textId="77777777" w:rsidR="00267DDB" w:rsidRPr="00074768" w:rsidRDefault="009C4797" w:rsidP="00267DDB">
      <w:pPr>
        <w:tabs>
          <w:tab w:val="left" w:pos="567"/>
        </w:tabs>
        <w:spacing w:after="0" w:line="240" w:lineRule="auto"/>
        <w:rPr>
          <w:rFonts w:ascii="Times New Roman" w:eastAsia="Times New Roman" w:hAnsi="Times New Roman"/>
          <w:noProof/>
          <w:lang w:eastAsia="lt-LT" w:bidi="lt-LT"/>
        </w:rPr>
      </w:pPr>
      <w:proofErr w:type="spellStart"/>
      <w:r w:rsidRPr="0085406C">
        <w:rPr>
          <w:rFonts w:ascii="Times New Roman" w:eastAsia="Times New Roman" w:hAnsi="Times New Roman"/>
          <w:highlight w:val="lightGray"/>
          <w:lang w:eastAsia="lt-LT" w:bidi="lt-LT"/>
        </w:rPr>
        <w:t>logo</w:t>
      </w:r>
      <w:proofErr w:type="spellEnd"/>
    </w:p>
    <w:p w14:paraId="008BF9D6" w14:textId="77777777" w:rsidR="00267DDB" w:rsidRPr="0085406C" w:rsidRDefault="00267DDB" w:rsidP="00267DDB">
      <w:pPr>
        <w:tabs>
          <w:tab w:val="left" w:pos="567"/>
        </w:tabs>
        <w:spacing w:after="0" w:line="240" w:lineRule="auto"/>
        <w:ind w:right="113"/>
        <w:rPr>
          <w:rFonts w:ascii="Times New Roman" w:eastAsia="Times New Roman" w:hAnsi="Times New Roman"/>
          <w:lang w:eastAsia="lt-LT" w:bidi="lt-LT"/>
        </w:rPr>
      </w:pPr>
    </w:p>
    <w:p w14:paraId="14FC2517" w14:textId="77777777" w:rsidR="00267DDB" w:rsidRPr="004200DB" w:rsidRDefault="00267DDB" w:rsidP="00267DDB">
      <w:pPr>
        <w:tabs>
          <w:tab w:val="left" w:pos="567"/>
        </w:tabs>
        <w:spacing w:after="0" w:line="260" w:lineRule="exact"/>
        <w:rPr>
          <w:rFonts w:ascii="Times New Roman" w:eastAsia="Times New Roman" w:hAnsi="Times New Roman"/>
          <w:b/>
          <w:noProof/>
          <w:snapToGrid w:val="0"/>
          <w:u w:val="single"/>
        </w:rPr>
      </w:pPr>
    </w:p>
    <w:p w14:paraId="2827AC7D" w14:textId="77777777" w:rsidR="00267DDB" w:rsidRPr="00037DA8" w:rsidRDefault="00267DDB" w:rsidP="00267DDB">
      <w:pPr>
        <w:tabs>
          <w:tab w:val="left" w:pos="567"/>
        </w:tabs>
        <w:spacing w:after="0" w:line="260" w:lineRule="exact"/>
        <w:rPr>
          <w:rFonts w:ascii="Times New Roman" w:eastAsia="Times New Roman" w:hAnsi="Times New Roman"/>
          <w:b/>
          <w:noProof/>
          <w:snapToGrid w:val="0"/>
        </w:rPr>
      </w:pPr>
      <w:r w:rsidRPr="004200DB">
        <w:rPr>
          <w:rFonts w:ascii="Times New Roman" w:eastAsia="Times New Roman" w:hAnsi="Times New Roman"/>
          <w:snapToGrid w:val="0"/>
        </w:rPr>
        <w:br w:type="page"/>
      </w:r>
    </w:p>
    <w:p w14:paraId="1511012E"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486701A9"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32B79E94"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494B5E65"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6B711F3B"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6DC812C4"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2F84DE9E"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175D1F27"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6A80E725"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6E305752"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4F92DFAC"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509B9F20"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7D348010"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6221E62A"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4987B8F1"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76CECDAA"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76B4E3F9"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149AB2FB"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0DD113D7"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28F2CB9D"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057A1BD5"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388A6D08"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31859DA7" w14:textId="77777777" w:rsidR="00267DDB" w:rsidRPr="00037DA8" w:rsidRDefault="00267DDB" w:rsidP="00267DDB">
      <w:pPr>
        <w:tabs>
          <w:tab w:val="left" w:pos="567"/>
        </w:tabs>
        <w:spacing w:after="0" w:line="260" w:lineRule="exact"/>
        <w:outlineLvl w:val="0"/>
        <w:rPr>
          <w:rFonts w:ascii="Times New Roman" w:eastAsia="Times New Roman" w:hAnsi="Times New Roman"/>
          <w:snapToGrid w:val="0"/>
        </w:rPr>
      </w:pPr>
    </w:p>
    <w:p w14:paraId="6DFDF006" w14:textId="77777777" w:rsidR="00267DDB" w:rsidRPr="00037DA8" w:rsidRDefault="00267DDB" w:rsidP="00267DDB">
      <w:pPr>
        <w:tabs>
          <w:tab w:val="left" w:pos="567"/>
        </w:tabs>
        <w:spacing w:after="0" w:line="260" w:lineRule="exact"/>
        <w:jc w:val="center"/>
        <w:outlineLvl w:val="0"/>
        <w:rPr>
          <w:rFonts w:ascii="Times New Roman" w:eastAsia="Times New Roman" w:hAnsi="Times New Roman"/>
          <w:b/>
          <w:snapToGrid w:val="0"/>
        </w:rPr>
      </w:pPr>
      <w:r w:rsidRPr="00037DA8">
        <w:rPr>
          <w:rFonts w:ascii="Times New Roman" w:eastAsia="Times New Roman" w:hAnsi="Times New Roman"/>
          <w:b/>
          <w:snapToGrid w:val="0"/>
        </w:rPr>
        <w:t>B. PAKUOTĖS LAPELIS</w:t>
      </w:r>
    </w:p>
    <w:p w14:paraId="41EE06A6" w14:textId="77777777" w:rsidR="00267DDB" w:rsidRPr="00037DA8" w:rsidRDefault="00267DDB" w:rsidP="00267DDB">
      <w:pPr>
        <w:tabs>
          <w:tab w:val="left" w:pos="567"/>
        </w:tabs>
        <w:spacing w:after="0" w:line="240" w:lineRule="auto"/>
        <w:jc w:val="center"/>
        <w:rPr>
          <w:rFonts w:ascii="Times New Roman" w:eastAsia="Times New Roman" w:hAnsi="Times New Roman"/>
          <w:b/>
          <w:snapToGrid w:val="0"/>
        </w:rPr>
      </w:pPr>
      <w:r w:rsidRPr="00037DA8">
        <w:rPr>
          <w:rFonts w:ascii="Times New Roman" w:eastAsia="Times New Roman" w:hAnsi="Times New Roman"/>
          <w:i/>
          <w:snapToGrid w:val="0"/>
        </w:rPr>
        <w:br w:type="page"/>
      </w:r>
      <w:r w:rsidRPr="00037DA8">
        <w:rPr>
          <w:rFonts w:ascii="Times New Roman" w:eastAsia="Times New Roman" w:hAnsi="Times New Roman"/>
          <w:b/>
          <w:snapToGrid w:val="0"/>
        </w:rPr>
        <w:lastRenderedPageBreak/>
        <w:t>Pakuotės lapelis: informacija vartotojui</w:t>
      </w:r>
    </w:p>
    <w:p w14:paraId="6381DA81" w14:textId="77777777" w:rsidR="00267DDB" w:rsidRPr="00037DA8" w:rsidRDefault="00267DDB" w:rsidP="00267DDB">
      <w:pPr>
        <w:tabs>
          <w:tab w:val="left" w:pos="567"/>
        </w:tabs>
        <w:spacing w:after="0" w:line="240" w:lineRule="auto"/>
        <w:jc w:val="center"/>
        <w:rPr>
          <w:rFonts w:ascii="Times New Roman" w:eastAsia="Times New Roman" w:hAnsi="Times New Roman"/>
          <w:snapToGrid w:val="0"/>
        </w:rPr>
      </w:pPr>
    </w:p>
    <w:p w14:paraId="07A87CA8" w14:textId="77777777" w:rsidR="00267DDB" w:rsidRPr="00037DA8" w:rsidRDefault="00FE3805" w:rsidP="00267DDB">
      <w:pPr>
        <w:tabs>
          <w:tab w:val="left" w:pos="567"/>
        </w:tabs>
        <w:spacing w:after="0" w:line="240" w:lineRule="auto"/>
        <w:jc w:val="center"/>
        <w:rPr>
          <w:rFonts w:ascii="Times New Roman" w:eastAsia="Times New Roman" w:hAnsi="Times New Roman"/>
          <w:b/>
          <w:snapToGrid w:val="0"/>
        </w:rPr>
      </w:pPr>
      <w:proofErr w:type="spellStart"/>
      <w:r w:rsidRPr="00037DA8">
        <w:rPr>
          <w:rFonts w:ascii="Times New Roman" w:eastAsia="Times New Roman" w:hAnsi="Times New Roman"/>
          <w:b/>
          <w:snapToGrid w:val="0"/>
        </w:rPr>
        <w:t>Cabazitaxel</w:t>
      </w:r>
      <w:proofErr w:type="spellEnd"/>
      <w:r w:rsidRPr="00037DA8">
        <w:rPr>
          <w:rFonts w:ascii="Times New Roman" w:eastAsia="Times New Roman" w:hAnsi="Times New Roman"/>
          <w:b/>
          <w:snapToGrid w:val="0"/>
        </w:rPr>
        <w:t xml:space="preserve"> </w:t>
      </w:r>
      <w:proofErr w:type="spellStart"/>
      <w:r w:rsidRPr="00037DA8">
        <w:rPr>
          <w:rFonts w:ascii="Times New Roman" w:eastAsia="Times New Roman" w:hAnsi="Times New Roman"/>
          <w:b/>
          <w:snapToGrid w:val="0"/>
        </w:rPr>
        <w:t>Sandoz</w:t>
      </w:r>
      <w:proofErr w:type="spellEnd"/>
      <w:r w:rsidR="00267DDB" w:rsidRPr="00037DA8">
        <w:rPr>
          <w:rFonts w:ascii="Times New Roman" w:eastAsia="Times New Roman" w:hAnsi="Times New Roman"/>
          <w:b/>
          <w:snapToGrid w:val="0"/>
        </w:rPr>
        <w:t xml:space="preserve"> </w:t>
      </w:r>
      <w:r w:rsidRPr="00037DA8">
        <w:rPr>
          <w:rFonts w:ascii="Times New Roman" w:eastAsia="Times New Roman" w:hAnsi="Times New Roman"/>
          <w:b/>
          <w:noProof/>
          <w:snapToGrid w:val="0"/>
        </w:rPr>
        <w:t>10</w:t>
      </w:r>
      <w:r w:rsidR="00267DDB" w:rsidRPr="00037DA8">
        <w:rPr>
          <w:rFonts w:ascii="Times New Roman" w:eastAsia="Times New Roman" w:hAnsi="Times New Roman"/>
          <w:b/>
          <w:noProof/>
          <w:snapToGrid w:val="0"/>
        </w:rPr>
        <w:t> mg/ml koncentratas infuziniam tirpalui</w:t>
      </w:r>
    </w:p>
    <w:p w14:paraId="65C2DAD2" w14:textId="77777777" w:rsidR="004B08F2" w:rsidRPr="00074768" w:rsidRDefault="004B08F2" w:rsidP="00267DDB">
      <w:pPr>
        <w:spacing w:after="0" w:line="240" w:lineRule="auto"/>
        <w:jc w:val="center"/>
        <w:rPr>
          <w:rFonts w:ascii="Times New Roman" w:hAnsi="Times New Roman"/>
        </w:rPr>
      </w:pPr>
    </w:p>
    <w:p w14:paraId="7F51A76A" w14:textId="77777777" w:rsidR="00267DDB" w:rsidRPr="00074768" w:rsidRDefault="008655E6" w:rsidP="00267DDB">
      <w:pPr>
        <w:spacing w:after="0" w:line="240" w:lineRule="auto"/>
        <w:jc w:val="center"/>
        <w:rPr>
          <w:rFonts w:ascii="Times New Roman" w:hAnsi="Times New Roman"/>
        </w:rPr>
      </w:pPr>
      <w:proofErr w:type="spellStart"/>
      <w:r w:rsidRPr="00074768">
        <w:rPr>
          <w:rFonts w:ascii="Times New Roman" w:hAnsi="Times New Roman"/>
        </w:rPr>
        <w:t>ka</w:t>
      </w:r>
      <w:r w:rsidR="004B08F2" w:rsidRPr="00074768">
        <w:rPr>
          <w:rFonts w:ascii="Times New Roman" w:hAnsi="Times New Roman"/>
        </w:rPr>
        <w:t>bazitakselis</w:t>
      </w:r>
      <w:proofErr w:type="spellEnd"/>
    </w:p>
    <w:p w14:paraId="7A909ABF" w14:textId="77777777" w:rsidR="00267DDB" w:rsidRPr="00074768" w:rsidRDefault="00267DDB" w:rsidP="00267DDB">
      <w:pPr>
        <w:spacing w:after="0" w:line="240" w:lineRule="auto"/>
        <w:jc w:val="center"/>
        <w:rPr>
          <w:rFonts w:ascii="Times New Roman" w:hAnsi="Times New Roman"/>
        </w:rPr>
      </w:pPr>
    </w:p>
    <w:p w14:paraId="188D7A5D" w14:textId="77777777" w:rsidR="00267DDB" w:rsidRPr="00074768" w:rsidRDefault="00267DDB" w:rsidP="00267DDB">
      <w:pPr>
        <w:spacing w:after="0" w:line="240" w:lineRule="auto"/>
        <w:rPr>
          <w:rFonts w:ascii="Times New Roman" w:hAnsi="Times New Roman"/>
          <w:b/>
        </w:rPr>
      </w:pPr>
      <w:r w:rsidRPr="00074768">
        <w:rPr>
          <w:rFonts w:ascii="Times New Roman" w:hAnsi="Times New Roman"/>
          <w:b/>
        </w:rPr>
        <w:t>Atidžiai perskaitykite visą šį lapelį, prieš pradėdami vartoti vaistą, nes jame pateikiama Jums svarbi informacija.</w:t>
      </w:r>
    </w:p>
    <w:p w14:paraId="069C07B2" w14:textId="77777777" w:rsidR="00267DDB" w:rsidRPr="0085406C" w:rsidRDefault="00267DDB" w:rsidP="008A75C3">
      <w:pPr>
        <w:pStyle w:val="Sraopastraipa"/>
        <w:numPr>
          <w:ilvl w:val="0"/>
          <w:numId w:val="2"/>
        </w:numPr>
        <w:spacing w:line="240" w:lineRule="auto"/>
        <w:ind w:left="567" w:hanging="567"/>
        <w:rPr>
          <w:szCs w:val="22"/>
          <w:lang w:val="lt-LT"/>
        </w:rPr>
      </w:pPr>
      <w:r w:rsidRPr="0085406C">
        <w:rPr>
          <w:szCs w:val="22"/>
          <w:lang w:val="lt-LT"/>
        </w:rPr>
        <w:t>Neišmeskite šio lapelio, nes vėl gali prireikti jį perskaityti.</w:t>
      </w:r>
    </w:p>
    <w:p w14:paraId="2ADFFD33" w14:textId="74A027B6" w:rsidR="00267DDB" w:rsidRPr="004200DB" w:rsidRDefault="00267DDB" w:rsidP="008A75C3">
      <w:pPr>
        <w:pStyle w:val="Sraopastraipa"/>
        <w:numPr>
          <w:ilvl w:val="0"/>
          <w:numId w:val="2"/>
        </w:numPr>
        <w:spacing w:line="240" w:lineRule="auto"/>
        <w:ind w:left="567" w:hanging="567"/>
        <w:rPr>
          <w:szCs w:val="22"/>
          <w:lang w:val="lt-LT"/>
        </w:rPr>
      </w:pPr>
      <w:r w:rsidRPr="004200DB">
        <w:rPr>
          <w:szCs w:val="22"/>
          <w:lang w:val="lt-LT"/>
        </w:rPr>
        <w:t>Jeigu kiltų daugiau klausimų, kreipkitės į gydytoją</w:t>
      </w:r>
      <w:r w:rsidR="00844B83">
        <w:rPr>
          <w:szCs w:val="22"/>
          <w:lang w:val="lt-LT"/>
        </w:rPr>
        <w:t>,</w:t>
      </w:r>
      <w:r w:rsidR="00921743">
        <w:rPr>
          <w:szCs w:val="22"/>
          <w:lang w:val="lt-LT"/>
        </w:rPr>
        <w:t xml:space="preserve"> </w:t>
      </w:r>
      <w:r w:rsidRPr="004200DB">
        <w:rPr>
          <w:szCs w:val="22"/>
          <w:lang w:val="lt-LT"/>
        </w:rPr>
        <w:t>vaistininką</w:t>
      </w:r>
      <w:r w:rsidR="00844B83">
        <w:rPr>
          <w:szCs w:val="22"/>
          <w:lang w:val="lt-LT"/>
        </w:rPr>
        <w:t xml:space="preserve"> </w:t>
      </w:r>
      <w:r w:rsidR="00844B83" w:rsidRPr="00844B83">
        <w:rPr>
          <w:szCs w:val="22"/>
          <w:lang w:val="lt-LT"/>
        </w:rPr>
        <w:t>arba slaugytoją</w:t>
      </w:r>
      <w:r w:rsidRPr="004200DB">
        <w:rPr>
          <w:szCs w:val="22"/>
          <w:lang w:val="lt-LT"/>
        </w:rPr>
        <w:t>.</w:t>
      </w:r>
    </w:p>
    <w:p w14:paraId="6E015694" w14:textId="26DCA7B4" w:rsidR="00267DDB" w:rsidRPr="004200DB" w:rsidRDefault="00267DDB" w:rsidP="008A75C3">
      <w:pPr>
        <w:pStyle w:val="Sraopastraipa"/>
        <w:numPr>
          <w:ilvl w:val="0"/>
          <w:numId w:val="2"/>
        </w:numPr>
        <w:spacing w:line="240" w:lineRule="auto"/>
        <w:ind w:left="567" w:hanging="567"/>
        <w:rPr>
          <w:szCs w:val="22"/>
          <w:lang w:val="lt-LT"/>
        </w:rPr>
      </w:pPr>
      <w:r w:rsidRPr="004200DB">
        <w:rPr>
          <w:szCs w:val="22"/>
          <w:lang w:val="lt-LT"/>
        </w:rPr>
        <w:t>Jeigu pasireiškė šalutinis poveikis (net jeigu jis šiame lapelyje nenurodytas), kreipkitės į gydytoją</w:t>
      </w:r>
      <w:r w:rsidR="00921743">
        <w:rPr>
          <w:szCs w:val="22"/>
          <w:lang w:val="lt-LT"/>
        </w:rPr>
        <w:t xml:space="preserve">, </w:t>
      </w:r>
      <w:r w:rsidRPr="004200DB">
        <w:rPr>
          <w:szCs w:val="22"/>
          <w:lang w:val="lt-LT"/>
        </w:rPr>
        <w:t>vaistininką</w:t>
      </w:r>
      <w:r w:rsidR="00921743" w:rsidRPr="002642B8">
        <w:rPr>
          <w:lang w:val="lt-LT"/>
        </w:rPr>
        <w:t xml:space="preserve"> </w:t>
      </w:r>
      <w:r w:rsidR="00921743" w:rsidRPr="00921743">
        <w:rPr>
          <w:szCs w:val="22"/>
          <w:lang w:val="lt-LT"/>
        </w:rPr>
        <w:t>arba slaugytoją</w:t>
      </w:r>
      <w:r w:rsidRPr="004200DB">
        <w:rPr>
          <w:szCs w:val="22"/>
          <w:lang w:val="lt-LT"/>
        </w:rPr>
        <w:t>. Žr.</w:t>
      </w:r>
      <w:r w:rsidR="003317FF">
        <w:rPr>
          <w:szCs w:val="22"/>
          <w:lang w:val="lt-LT"/>
        </w:rPr>
        <w:t> </w:t>
      </w:r>
      <w:r w:rsidRPr="004200DB">
        <w:rPr>
          <w:szCs w:val="22"/>
          <w:lang w:val="lt-LT"/>
        </w:rPr>
        <w:t>4</w:t>
      </w:r>
      <w:r w:rsidR="003317FF">
        <w:rPr>
          <w:szCs w:val="22"/>
          <w:lang w:val="lt-LT"/>
        </w:rPr>
        <w:t> </w:t>
      </w:r>
      <w:r w:rsidRPr="004200DB">
        <w:rPr>
          <w:szCs w:val="22"/>
          <w:lang w:val="lt-LT"/>
        </w:rPr>
        <w:t>skyrių.</w:t>
      </w:r>
    </w:p>
    <w:p w14:paraId="44636FCA" w14:textId="77777777" w:rsidR="00267DDB" w:rsidRPr="00074768" w:rsidRDefault="00267DDB" w:rsidP="00267DDB">
      <w:pPr>
        <w:spacing w:after="0" w:line="240" w:lineRule="auto"/>
        <w:rPr>
          <w:rFonts w:ascii="Times New Roman" w:hAnsi="Times New Roman"/>
        </w:rPr>
      </w:pPr>
    </w:p>
    <w:p w14:paraId="35C47452" w14:textId="77777777" w:rsidR="00267DDB" w:rsidRPr="00074768" w:rsidRDefault="00267DDB" w:rsidP="00267DDB">
      <w:pPr>
        <w:spacing w:after="0" w:line="240" w:lineRule="auto"/>
        <w:rPr>
          <w:rFonts w:ascii="Times New Roman" w:hAnsi="Times New Roman"/>
        </w:rPr>
      </w:pPr>
    </w:p>
    <w:p w14:paraId="4CAF42C2" w14:textId="77777777" w:rsidR="00267DDB" w:rsidRPr="00074768" w:rsidRDefault="00267DDB" w:rsidP="00267DDB">
      <w:pPr>
        <w:spacing w:after="0" w:line="240" w:lineRule="auto"/>
        <w:rPr>
          <w:rFonts w:ascii="Times New Roman" w:hAnsi="Times New Roman"/>
          <w:b/>
        </w:rPr>
      </w:pPr>
      <w:r w:rsidRPr="00074768">
        <w:rPr>
          <w:rFonts w:ascii="Times New Roman" w:hAnsi="Times New Roman"/>
          <w:b/>
        </w:rPr>
        <w:t>Apie ką rašoma šiame lapelyje?</w:t>
      </w:r>
    </w:p>
    <w:p w14:paraId="7AA0E590" w14:textId="77777777" w:rsidR="00267DDB" w:rsidRPr="00074768" w:rsidRDefault="00267DDB" w:rsidP="00267DDB">
      <w:pPr>
        <w:spacing w:after="0" w:line="240" w:lineRule="auto"/>
        <w:rPr>
          <w:rFonts w:ascii="Times New Roman" w:hAnsi="Times New Roman"/>
          <w:b/>
        </w:rPr>
      </w:pPr>
    </w:p>
    <w:p w14:paraId="0993C465" w14:textId="77777777" w:rsidR="00267DDB" w:rsidRPr="0085406C" w:rsidRDefault="00267DDB" w:rsidP="00267DDB">
      <w:pPr>
        <w:numPr>
          <w:ilvl w:val="12"/>
          <w:numId w:val="0"/>
        </w:numPr>
        <w:tabs>
          <w:tab w:val="left" w:pos="567"/>
        </w:tabs>
        <w:spacing w:after="0" w:line="240" w:lineRule="auto"/>
        <w:ind w:right="-2"/>
        <w:rPr>
          <w:rFonts w:ascii="Times New Roman" w:eastAsia="Times New Roman" w:hAnsi="Times New Roman"/>
          <w:snapToGrid w:val="0"/>
        </w:rPr>
      </w:pPr>
      <w:r w:rsidRPr="0085406C">
        <w:rPr>
          <w:rFonts w:ascii="Times New Roman" w:eastAsia="Times New Roman" w:hAnsi="Times New Roman"/>
          <w:snapToGrid w:val="0"/>
        </w:rPr>
        <w:t>1.</w:t>
      </w:r>
      <w:r w:rsidRPr="0085406C">
        <w:rPr>
          <w:rFonts w:ascii="Times New Roman" w:eastAsia="Times New Roman" w:hAnsi="Times New Roman"/>
          <w:snapToGrid w:val="0"/>
        </w:rPr>
        <w:tab/>
        <w:t xml:space="preserve">Kas yra </w:t>
      </w:r>
      <w:proofErr w:type="spellStart"/>
      <w:r w:rsidR="00FE3805" w:rsidRPr="0085406C">
        <w:rPr>
          <w:rFonts w:ascii="Times New Roman" w:eastAsia="Times New Roman" w:hAnsi="Times New Roman"/>
          <w:snapToGrid w:val="0"/>
        </w:rPr>
        <w:t>Cabazitaxel</w:t>
      </w:r>
      <w:proofErr w:type="spellEnd"/>
      <w:r w:rsidR="00FE3805" w:rsidRPr="0085406C">
        <w:rPr>
          <w:rFonts w:ascii="Times New Roman" w:eastAsia="Times New Roman" w:hAnsi="Times New Roman"/>
          <w:snapToGrid w:val="0"/>
        </w:rPr>
        <w:t xml:space="preserve"> </w:t>
      </w:r>
      <w:proofErr w:type="spellStart"/>
      <w:r w:rsidR="00FE3805" w:rsidRPr="0085406C">
        <w:rPr>
          <w:rFonts w:ascii="Times New Roman" w:eastAsia="Times New Roman" w:hAnsi="Times New Roman"/>
          <w:snapToGrid w:val="0"/>
        </w:rPr>
        <w:t>Sandoz</w:t>
      </w:r>
      <w:proofErr w:type="spellEnd"/>
      <w:r w:rsidRPr="0085406C">
        <w:rPr>
          <w:rFonts w:ascii="Times New Roman" w:eastAsia="Times New Roman" w:hAnsi="Times New Roman"/>
          <w:snapToGrid w:val="0"/>
        </w:rPr>
        <w:t xml:space="preserve"> ir kam jis vartojamas </w:t>
      </w:r>
    </w:p>
    <w:p w14:paraId="04E20C92" w14:textId="77777777" w:rsidR="00267DDB" w:rsidRPr="004200DB" w:rsidRDefault="00267DDB" w:rsidP="00267DDB">
      <w:pPr>
        <w:numPr>
          <w:ilvl w:val="12"/>
          <w:numId w:val="0"/>
        </w:numPr>
        <w:tabs>
          <w:tab w:val="left" w:pos="567"/>
        </w:tabs>
        <w:spacing w:after="0" w:line="240" w:lineRule="auto"/>
        <w:ind w:right="-2"/>
        <w:rPr>
          <w:rFonts w:ascii="Times New Roman" w:eastAsia="Times New Roman" w:hAnsi="Times New Roman"/>
          <w:snapToGrid w:val="0"/>
        </w:rPr>
      </w:pPr>
      <w:r w:rsidRPr="004200DB">
        <w:rPr>
          <w:rFonts w:ascii="Times New Roman" w:eastAsia="Times New Roman" w:hAnsi="Times New Roman"/>
          <w:snapToGrid w:val="0"/>
        </w:rPr>
        <w:t>2.</w:t>
      </w:r>
      <w:r w:rsidRPr="004200DB">
        <w:rPr>
          <w:rFonts w:ascii="Times New Roman" w:eastAsia="Times New Roman" w:hAnsi="Times New Roman"/>
          <w:snapToGrid w:val="0"/>
        </w:rPr>
        <w:tab/>
      </w:r>
      <w:r w:rsidRPr="004200DB">
        <w:rPr>
          <w:rFonts w:ascii="Times New Roman" w:eastAsia="Times New Roman" w:hAnsi="Times New Roman"/>
          <w:noProof/>
          <w:snapToGrid w:val="0"/>
        </w:rPr>
        <w:t xml:space="preserve">Kas žinotina prieš vartojant </w:t>
      </w:r>
      <w:proofErr w:type="spellStart"/>
      <w:r w:rsidR="00FE3805" w:rsidRPr="004200DB">
        <w:rPr>
          <w:rFonts w:ascii="Times New Roman" w:eastAsia="Times New Roman" w:hAnsi="Times New Roman"/>
          <w:snapToGrid w:val="0"/>
        </w:rPr>
        <w:t>Cabazitaxel</w:t>
      </w:r>
      <w:proofErr w:type="spellEnd"/>
      <w:r w:rsidR="00FE3805" w:rsidRPr="004200DB">
        <w:rPr>
          <w:rFonts w:ascii="Times New Roman" w:eastAsia="Times New Roman" w:hAnsi="Times New Roman"/>
          <w:snapToGrid w:val="0"/>
        </w:rPr>
        <w:t xml:space="preserve"> </w:t>
      </w:r>
      <w:proofErr w:type="spellStart"/>
      <w:r w:rsidR="00FE3805" w:rsidRPr="004200DB">
        <w:rPr>
          <w:rFonts w:ascii="Times New Roman" w:eastAsia="Times New Roman" w:hAnsi="Times New Roman"/>
          <w:snapToGrid w:val="0"/>
        </w:rPr>
        <w:t>Sandoz</w:t>
      </w:r>
      <w:proofErr w:type="spellEnd"/>
    </w:p>
    <w:p w14:paraId="6F08E127" w14:textId="77777777" w:rsidR="00267DDB" w:rsidRPr="00037DA8" w:rsidRDefault="00267DDB" w:rsidP="00267DDB">
      <w:pPr>
        <w:numPr>
          <w:ilvl w:val="12"/>
          <w:numId w:val="0"/>
        </w:numPr>
        <w:tabs>
          <w:tab w:val="left" w:pos="567"/>
        </w:tabs>
        <w:spacing w:after="0" w:line="240" w:lineRule="auto"/>
        <w:ind w:right="-2"/>
        <w:rPr>
          <w:rFonts w:ascii="Times New Roman" w:eastAsia="Times New Roman" w:hAnsi="Times New Roman"/>
          <w:snapToGrid w:val="0"/>
        </w:rPr>
      </w:pPr>
      <w:r w:rsidRPr="00037DA8">
        <w:rPr>
          <w:rFonts w:ascii="Times New Roman" w:eastAsia="Times New Roman" w:hAnsi="Times New Roman"/>
          <w:snapToGrid w:val="0"/>
        </w:rPr>
        <w:t>3.</w:t>
      </w:r>
      <w:r w:rsidRPr="00037DA8">
        <w:rPr>
          <w:rFonts w:ascii="Times New Roman" w:eastAsia="Times New Roman" w:hAnsi="Times New Roman"/>
          <w:snapToGrid w:val="0"/>
        </w:rPr>
        <w:tab/>
      </w:r>
      <w:r w:rsidRPr="00037DA8">
        <w:rPr>
          <w:rFonts w:ascii="Times New Roman" w:eastAsia="Times New Roman" w:hAnsi="Times New Roman"/>
          <w:noProof/>
          <w:snapToGrid w:val="0"/>
        </w:rPr>
        <w:t xml:space="preserve">Kaip vartoti </w:t>
      </w:r>
      <w:proofErr w:type="spellStart"/>
      <w:r w:rsidR="00FE3805" w:rsidRPr="00037DA8">
        <w:rPr>
          <w:rFonts w:ascii="Times New Roman" w:eastAsia="Times New Roman" w:hAnsi="Times New Roman"/>
          <w:snapToGrid w:val="0"/>
        </w:rPr>
        <w:t>Cabazitaxel</w:t>
      </w:r>
      <w:proofErr w:type="spellEnd"/>
      <w:r w:rsidR="00FE3805" w:rsidRPr="00037DA8">
        <w:rPr>
          <w:rFonts w:ascii="Times New Roman" w:eastAsia="Times New Roman" w:hAnsi="Times New Roman"/>
          <w:snapToGrid w:val="0"/>
        </w:rPr>
        <w:t xml:space="preserve"> </w:t>
      </w:r>
      <w:proofErr w:type="spellStart"/>
      <w:r w:rsidR="00FE3805" w:rsidRPr="00037DA8">
        <w:rPr>
          <w:rFonts w:ascii="Times New Roman" w:eastAsia="Times New Roman" w:hAnsi="Times New Roman"/>
          <w:snapToGrid w:val="0"/>
        </w:rPr>
        <w:t>Sandoz</w:t>
      </w:r>
      <w:proofErr w:type="spellEnd"/>
    </w:p>
    <w:p w14:paraId="42B28423" w14:textId="77777777" w:rsidR="00267DDB" w:rsidRPr="00037DA8" w:rsidRDefault="00267DDB" w:rsidP="00267DDB">
      <w:pPr>
        <w:numPr>
          <w:ilvl w:val="12"/>
          <w:numId w:val="0"/>
        </w:numPr>
        <w:tabs>
          <w:tab w:val="left" w:pos="567"/>
        </w:tabs>
        <w:spacing w:after="0" w:line="240" w:lineRule="auto"/>
        <w:ind w:right="-2"/>
        <w:rPr>
          <w:rFonts w:ascii="Times New Roman" w:eastAsia="Times New Roman" w:hAnsi="Times New Roman"/>
          <w:snapToGrid w:val="0"/>
        </w:rPr>
      </w:pPr>
      <w:r w:rsidRPr="00037DA8">
        <w:rPr>
          <w:rFonts w:ascii="Times New Roman" w:eastAsia="Times New Roman" w:hAnsi="Times New Roman"/>
          <w:snapToGrid w:val="0"/>
        </w:rPr>
        <w:t>4.</w:t>
      </w:r>
      <w:r w:rsidRPr="00037DA8">
        <w:rPr>
          <w:rFonts w:ascii="Times New Roman" w:eastAsia="Times New Roman" w:hAnsi="Times New Roman"/>
          <w:snapToGrid w:val="0"/>
        </w:rPr>
        <w:tab/>
        <w:t xml:space="preserve">Galimas šalutinis poveikis </w:t>
      </w:r>
    </w:p>
    <w:p w14:paraId="55840D01" w14:textId="77777777" w:rsidR="00267DDB" w:rsidRPr="00037DA8" w:rsidRDefault="00267DDB" w:rsidP="00267DDB">
      <w:pPr>
        <w:numPr>
          <w:ilvl w:val="12"/>
          <w:numId w:val="0"/>
        </w:numPr>
        <w:tabs>
          <w:tab w:val="left" w:pos="567"/>
          <w:tab w:val="left" w:pos="709"/>
        </w:tabs>
        <w:spacing w:after="0" w:line="240" w:lineRule="auto"/>
        <w:ind w:right="-2"/>
        <w:rPr>
          <w:rFonts w:ascii="Times New Roman" w:eastAsia="Times New Roman" w:hAnsi="Times New Roman"/>
          <w:snapToGrid w:val="0"/>
        </w:rPr>
      </w:pPr>
      <w:r w:rsidRPr="00037DA8">
        <w:rPr>
          <w:rFonts w:ascii="Times New Roman" w:eastAsia="Times New Roman" w:hAnsi="Times New Roman"/>
          <w:snapToGrid w:val="0"/>
        </w:rPr>
        <w:t>5.</w:t>
      </w:r>
      <w:r w:rsidRPr="00037DA8">
        <w:rPr>
          <w:rFonts w:ascii="Times New Roman" w:eastAsia="Times New Roman" w:hAnsi="Times New Roman"/>
          <w:snapToGrid w:val="0"/>
        </w:rPr>
        <w:tab/>
        <w:t xml:space="preserve">Kaip laikyti </w:t>
      </w:r>
      <w:proofErr w:type="spellStart"/>
      <w:r w:rsidR="00FE3805" w:rsidRPr="00037DA8">
        <w:rPr>
          <w:rFonts w:ascii="Times New Roman" w:eastAsia="Times New Roman" w:hAnsi="Times New Roman"/>
          <w:snapToGrid w:val="0"/>
        </w:rPr>
        <w:t>Cabazitaxel</w:t>
      </w:r>
      <w:proofErr w:type="spellEnd"/>
      <w:r w:rsidR="00FE3805" w:rsidRPr="00037DA8">
        <w:rPr>
          <w:rFonts w:ascii="Times New Roman" w:eastAsia="Times New Roman" w:hAnsi="Times New Roman"/>
          <w:snapToGrid w:val="0"/>
        </w:rPr>
        <w:t xml:space="preserve"> </w:t>
      </w:r>
      <w:proofErr w:type="spellStart"/>
      <w:r w:rsidR="00FE3805" w:rsidRPr="00037DA8">
        <w:rPr>
          <w:rFonts w:ascii="Times New Roman" w:eastAsia="Times New Roman" w:hAnsi="Times New Roman"/>
          <w:snapToGrid w:val="0"/>
        </w:rPr>
        <w:t>Sandoz</w:t>
      </w:r>
      <w:proofErr w:type="spellEnd"/>
    </w:p>
    <w:p w14:paraId="45F3B47B" w14:textId="77777777" w:rsidR="00267DDB" w:rsidRPr="00074768" w:rsidRDefault="00267DDB" w:rsidP="00267DDB">
      <w:pPr>
        <w:tabs>
          <w:tab w:val="left" w:pos="567"/>
        </w:tabs>
        <w:spacing w:after="0" w:line="240" w:lineRule="auto"/>
        <w:rPr>
          <w:rFonts w:ascii="Times New Roman" w:hAnsi="Times New Roman"/>
        </w:rPr>
      </w:pPr>
      <w:r w:rsidRPr="00037DA8">
        <w:rPr>
          <w:rFonts w:ascii="Times New Roman" w:hAnsi="Times New Roman"/>
        </w:rPr>
        <w:t>6.</w:t>
      </w:r>
      <w:r w:rsidRPr="00037DA8">
        <w:rPr>
          <w:rFonts w:ascii="Times New Roman" w:hAnsi="Times New Roman"/>
        </w:rPr>
        <w:tab/>
      </w:r>
      <w:r w:rsidRPr="00037DA8">
        <w:rPr>
          <w:rFonts w:ascii="Times New Roman" w:hAnsi="Times New Roman"/>
          <w:noProof/>
        </w:rPr>
        <w:t>Pakuotės turinys ir kita informacija</w:t>
      </w:r>
    </w:p>
    <w:p w14:paraId="315FB9B6" w14:textId="77777777" w:rsidR="00267DDB" w:rsidRPr="00074768" w:rsidRDefault="00267DDB" w:rsidP="00267DDB">
      <w:pPr>
        <w:spacing w:after="0" w:line="240" w:lineRule="auto"/>
        <w:rPr>
          <w:rFonts w:ascii="Times New Roman" w:hAnsi="Times New Roman"/>
          <w:b/>
        </w:rPr>
      </w:pPr>
    </w:p>
    <w:p w14:paraId="40644B97" w14:textId="77777777" w:rsidR="00267DDB" w:rsidRPr="00074768" w:rsidRDefault="00267DDB" w:rsidP="00267DDB">
      <w:pPr>
        <w:spacing w:after="0" w:line="240" w:lineRule="auto"/>
        <w:rPr>
          <w:rFonts w:ascii="Times New Roman" w:hAnsi="Times New Roman"/>
          <w:b/>
        </w:rPr>
      </w:pPr>
    </w:p>
    <w:p w14:paraId="62B4BCD7" w14:textId="77777777" w:rsidR="00267DDB" w:rsidRPr="0085406C" w:rsidRDefault="00267DDB" w:rsidP="00267DDB">
      <w:pPr>
        <w:keepNext/>
        <w:tabs>
          <w:tab w:val="left" w:pos="567"/>
        </w:tabs>
        <w:spacing w:after="0" w:line="260" w:lineRule="exact"/>
        <w:jc w:val="both"/>
        <w:outlineLvl w:val="3"/>
        <w:rPr>
          <w:rFonts w:ascii="Times New Roman" w:eastAsia="Times New Roman" w:hAnsi="Times New Roman"/>
          <w:b/>
          <w:bCs/>
          <w:snapToGrid w:val="0"/>
          <w:lang w:eastAsia="x-none"/>
        </w:rPr>
      </w:pPr>
      <w:r w:rsidRPr="0085406C">
        <w:rPr>
          <w:rFonts w:ascii="Times New Roman" w:eastAsia="Times New Roman" w:hAnsi="Times New Roman"/>
          <w:b/>
          <w:bCs/>
          <w:snapToGrid w:val="0"/>
          <w:lang w:eastAsia="x-none"/>
        </w:rPr>
        <w:t>1.</w:t>
      </w:r>
      <w:r w:rsidRPr="0085406C">
        <w:rPr>
          <w:rFonts w:ascii="Times New Roman" w:eastAsia="Times New Roman" w:hAnsi="Times New Roman"/>
          <w:b/>
          <w:bCs/>
          <w:snapToGrid w:val="0"/>
          <w:lang w:eastAsia="x-none"/>
        </w:rPr>
        <w:tab/>
        <w:t xml:space="preserve">Kas yra </w:t>
      </w:r>
      <w:proofErr w:type="spellStart"/>
      <w:r w:rsidR="00FE3805" w:rsidRPr="0085406C">
        <w:rPr>
          <w:rFonts w:ascii="Times New Roman" w:eastAsia="Times New Roman" w:hAnsi="Times New Roman"/>
          <w:b/>
          <w:bCs/>
          <w:snapToGrid w:val="0"/>
          <w:lang w:eastAsia="x-none"/>
        </w:rPr>
        <w:t>Cabazitaxel</w:t>
      </w:r>
      <w:proofErr w:type="spellEnd"/>
      <w:r w:rsidR="00FE3805" w:rsidRPr="0085406C">
        <w:rPr>
          <w:rFonts w:ascii="Times New Roman" w:eastAsia="Times New Roman" w:hAnsi="Times New Roman"/>
          <w:b/>
          <w:bCs/>
          <w:snapToGrid w:val="0"/>
          <w:lang w:eastAsia="x-none"/>
        </w:rPr>
        <w:t xml:space="preserve"> </w:t>
      </w:r>
      <w:proofErr w:type="spellStart"/>
      <w:r w:rsidR="00FE3805" w:rsidRPr="0085406C">
        <w:rPr>
          <w:rFonts w:ascii="Times New Roman" w:eastAsia="Times New Roman" w:hAnsi="Times New Roman"/>
          <w:b/>
          <w:bCs/>
          <w:snapToGrid w:val="0"/>
          <w:lang w:eastAsia="x-none"/>
        </w:rPr>
        <w:t>Sandoz</w:t>
      </w:r>
      <w:proofErr w:type="spellEnd"/>
      <w:r w:rsidRPr="0085406C">
        <w:rPr>
          <w:rFonts w:ascii="Times New Roman" w:eastAsia="Times New Roman" w:hAnsi="Times New Roman"/>
          <w:b/>
          <w:bCs/>
          <w:snapToGrid w:val="0"/>
          <w:lang w:eastAsia="x-none"/>
        </w:rPr>
        <w:t xml:space="preserve"> ir kam jis vartojamas</w:t>
      </w:r>
    </w:p>
    <w:p w14:paraId="4ABD6DE7" w14:textId="77777777" w:rsidR="00267DDB" w:rsidRPr="00074768" w:rsidRDefault="00267DDB" w:rsidP="00267DDB">
      <w:pPr>
        <w:spacing w:after="0" w:line="240" w:lineRule="auto"/>
        <w:rPr>
          <w:rFonts w:ascii="Times New Roman" w:hAnsi="Times New Roman"/>
        </w:rPr>
      </w:pPr>
    </w:p>
    <w:p w14:paraId="602E230A" w14:textId="71362A5D" w:rsidR="004B08F2" w:rsidRPr="00074768" w:rsidRDefault="004B08F2" w:rsidP="004B08F2">
      <w:pPr>
        <w:spacing w:after="0" w:line="240" w:lineRule="auto"/>
        <w:rPr>
          <w:rFonts w:ascii="Times New Roman" w:hAnsi="Times New Roman"/>
        </w:rPr>
      </w:pPr>
      <w:r w:rsidRPr="00074768">
        <w:rPr>
          <w:rFonts w:ascii="Times New Roman" w:hAnsi="Times New Roman"/>
        </w:rPr>
        <w:t xml:space="preserve">Jūsų vaisto pavadinimas yra </w:t>
      </w:r>
      <w:proofErr w:type="spellStart"/>
      <w:r w:rsidRPr="00074768">
        <w:rPr>
          <w:rFonts w:ascii="Times New Roman" w:hAnsi="Times New Roman"/>
          <w:bCs/>
        </w:rPr>
        <w:t>Cabazitaxel</w:t>
      </w:r>
      <w:proofErr w:type="spellEnd"/>
      <w:r w:rsidRPr="00074768">
        <w:rPr>
          <w:rFonts w:ascii="Times New Roman" w:hAnsi="Times New Roman"/>
          <w:bCs/>
        </w:rPr>
        <w:t xml:space="preserve"> </w:t>
      </w:r>
      <w:proofErr w:type="spellStart"/>
      <w:r w:rsidRPr="00074768">
        <w:rPr>
          <w:rFonts w:ascii="Times New Roman" w:hAnsi="Times New Roman"/>
          <w:bCs/>
        </w:rPr>
        <w:t>Sandoz</w:t>
      </w:r>
      <w:proofErr w:type="spellEnd"/>
      <w:r w:rsidRPr="00074768">
        <w:rPr>
          <w:rFonts w:ascii="Times New Roman" w:hAnsi="Times New Roman"/>
        </w:rPr>
        <w:t xml:space="preserve">. Jo veiklioji medžiaga yra </w:t>
      </w:r>
      <w:proofErr w:type="spellStart"/>
      <w:r w:rsidRPr="00074768">
        <w:rPr>
          <w:rFonts w:ascii="Times New Roman" w:hAnsi="Times New Roman"/>
        </w:rPr>
        <w:t>kabazitakselis</w:t>
      </w:r>
      <w:proofErr w:type="spellEnd"/>
      <w:r w:rsidRPr="00074768">
        <w:rPr>
          <w:rFonts w:ascii="Times New Roman" w:hAnsi="Times New Roman"/>
        </w:rPr>
        <w:t xml:space="preserve">. Jis priklauso vaistų, vadinamų </w:t>
      </w:r>
      <w:proofErr w:type="spellStart"/>
      <w:r w:rsidRPr="00074768">
        <w:rPr>
          <w:rFonts w:ascii="Times New Roman" w:hAnsi="Times New Roman"/>
        </w:rPr>
        <w:t>taksanais</w:t>
      </w:r>
      <w:proofErr w:type="spellEnd"/>
      <w:r w:rsidRPr="00074768">
        <w:rPr>
          <w:rFonts w:ascii="Times New Roman" w:hAnsi="Times New Roman"/>
        </w:rPr>
        <w:t xml:space="preserve">, grupei, </w:t>
      </w:r>
      <w:r w:rsidRPr="00545F3A">
        <w:rPr>
          <w:rFonts w:ascii="Times New Roman" w:hAnsi="Times New Roman"/>
        </w:rPr>
        <w:t>vartojamų gydyti nuo vėžio.</w:t>
      </w:r>
    </w:p>
    <w:p w14:paraId="65031497" w14:textId="1E2D3FA7" w:rsidR="004B08F2" w:rsidRPr="00074768" w:rsidRDefault="004B08F2" w:rsidP="004B08F2">
      <w:pPr>
        <w:spacing w:after="0" w:line="240" w:lineRule="auto"/>
        <w:rPr>
          <w:rFonts w:ascii="Times New Roman" w:hAnsi="Times New Roman"/>
        </w:rPr>
      </w:pPr>
      <w:proofErr w:type="spellStart"/>
      <w:r w:rsidRPr="00074768">
        <w:rPr>
          <w:rFonts w:ascii="Times New Roman" w:hAnsi="Times New Roman"/>
          <w:bCs/>
        </w:rPr>
        <w:t>Cabazitaxel</w:t>
      </w:r>
      <w:proofErr w:type="spellEnd"/>
      <w:r w:rsidRPr="00074768">
        <w:rPr>
          <w:rFonts w:ascii="Times New Roman" w:hAnsi="Times New Roman"/>
          <w:bCs/>
        </w:rPr>
        <w:t xml:space="preserve"> </w:t>
      </w:r>
      <w:proofErr w:type="spellStart"/>
      <w:r w:rsidRPr="00074768">
        <w:rPr>
          <w:rFonts w:ascii="Times New Roman" w:hAnsi="Times New Roman"/>
          <w:bCs/>
        </w:rPr>
        <w:t>Sandoz</w:t>
      </w:r>
      <w:proofErr w:type="spellEnd"/>
      <w:r w:rsidRPr="00074768">
        <w:rPr>
          <w:rFonts w:ascii="Times New Roman" w:hAnsi="Times New Roman"/>
        </w:rPr>
        <w:t xml:space="preserve"> vartojam</w:t>
      </w:r>
      <w:r w:rsidR="004B7C5B" w:rsidRPr="00074768">
        <w:rPr>
          <w:rFonts w:ascii="Times New Roman" w:hAnsi="Times New Roman"/>
        </w:rPr>
        <w:t>a</w:t>
      </w:r>
      <w:r w:rsidRPr="00074768">
        <w:rPr>
          <w:rFonts w:ascii="Times New Roman" w:hAnsi="Times New Roman"/>
        </w:rPr>
        <w:t xml:space="preserve">s </w:t>
      </w:r>
      <w:r w:rsidRPr="00545F3A">
        <w:rPr>
          <w:rFonts w:ascii="Times New Roman" w:hAnsi="Times New Roman"/>
        </w:rPr>
        <w:t>gydyti nuo prostatos vėžio,</w:t>
      </w:r>
      <w:r w:rsidRPr="00074768">
        <w:rPr>
          <w:rFonts w:ascii="Times New Roman" w:hAnsi="Times New Roman"/>
        </w:rPr>
        <w:t xml:space="preserve"> kuris po kitokios chemoterapijos progresavo. Šis vaistas veikia neleisdamas ląstelėms augti ir daugintis.</w:t>
      </w:r>
    </w:p>
    <w:p w14:paraId="4239DC84" w14:textId="77777777" w:rsidR="004B08F2" w:rsidRPr="00074768" w:rsidRDefault="004B08F2" w:rsidP="004B08F2">
      <w:pPr>
        <w:spacing w:after="0" w:line="240" w:lineRule="auto"/>
        <w:rPr>
          <w:rFonts w:ascii="Times New Roman" w:hAnsi="Times New Roman"/>
        </w:rPr>
      </w:pPr>
    </w:p>
    <w:p w14:paraId="40CD90DD" w14:textId="77777777" w:rsidR="004B08F2" w:rsidRPr="00074768" w:rsidRDefault="004B08F2" w:rsidP="004B08F2">
      <w:pPr>
        <w:spacing w:after="0" w:line="240" w:lineRule="auto"/>
        <w:rPr>
          <w:rFonts w:ascii="Times New Roman" w:hAnsi="Times New Roman"/>
        </w:rPr>
      </w:pPr>
      <w:r w:rsidRPr="00074768">
        <w:rPr>
          <w:rFonts w:ascii="Times New Roman" w:hAnsi="Times New Roman"/>
        </w:rPr>
        <w:t>Be to, gydymo metu Jūs kasdien gersite kortikosteroidų grupės vaisto (prednizono ar prednizolono).</w:t>
      </w:r>
    </w:p>
    <w:p w14:paraId="293B511E" w14:textId="77777777" w:rsidR="00267DDB" w:rsidRPr="00074768" w:rsidRDefault="004B08F2" w:rsidP="004B08F2">
      <w:pPr>
        <w:spacing w:after="0" w:line="240" w:lineRule="auto"/>
        <w:rPr>
          <w:rFonts w:ascii="Times New Roman" w:hAnsi="Times New Roman"/>
        </w:rPr>
      </w:pPr>
      <w:r w:rsidRPr="00074768">
        <w:rPr>
          <w:rFonts w:ascii="Times New Roman" w:hAnsi="Times New Roman"/>
        </w:rPr>
        <w:t>Informacijos apie šį kitą vaistą klauskite gydytojo.</w:t>
      </w:r>
    </w:p>
    <w:p w14:paraId="63A3B5C7" w14:textId="77777777" w:rsidR="00267DDB" w:rsidRPr="00074768" w:rsidRDefault="00267DDB" w:rsidP="00267DDB">
      <w:pPr>
        <w:spacing w:after="0" w:line="240" w:lineRule="auto"/>
        <w:rPr>
          <w:rFonts w:ascii="Times New Roman" w:hAnsi="Times New Roman"/>
        </w:rPr>
      </w:pPr>
    </w:p>
    <w:p w14:paraId="5324051A" w14:textId="77777777" w:rsidR="00BC3E54" w:rsidRPr="00BC3E54" w:rsidRDefault="00BC3E54" w:rsidP="002E7E64">
      <w:pPr>
        <w:spacing w:after="0" w:line="240" w:lineRule="auto"/>
        <w:ind w:left="567" w:hanging="567"/>
        <w:rPr>
          <w:rFonts w:ascii="Times New Roman" w:hAnsi="Times New Roman"/>
          <w:b/>
        </w:rPr>
      </w:pPr>
    </w:p>
    <w:p w14:paraId="27E4977B" w14:textId="77777777" w:rsidR="00267DDB" w:rsidRPr="00074768" w:rsidRDefault="00267DDB" w:rsidP="002E7E64">
      <w:pPr>
        <w:spacing w:after="0" w:line="240" w:lineRule="auto"/>
        <w:ind w:left="567" w:hanging="567"/>
        <w:rPr>
          <w:rFonts w:ascii="Times New Roman" w:hAnsi="Times New Roman"/>
          <w:b/>
        </w:rPr>
      </w:pPr>
      <w:r w:rsidRPr="00074768">
        <w:rPr>
          <w:rFonts w:ascii="Times New Roman" w:hAnsi="Times New Roman"/>
          <w:b/>
        </w:rPr>
        <w:t>2.</w:t>
      </w:r>
      <w:r w:rsidRPr="00074768">
        <w:rPr>
          <w:rFonts w:ascii="Times New Roman" w:hAnsi="Times New Roman"/>
          <w:b/>
        </w:rPr>
        <w:tab/>
        <w:t xml:space="preserve">Kas žinotina prieš </w:t>
      </w:r>
      <w:r w:rsidR="002E7E64" w:rsidRPr="00074768">
        <w:rPr>
          <w:rFonts w:ascii="Times New Roman" w:hAnsi="Times New Roman"/>
          <w:b/>
        </w:rPr>
        <w:t>Jums paskiriant</w:t>
      </w:r>
      <w:r w:rsidRPr="00074768">
        <w:rPr>
          <w:rFonts w:ascii="Times New Roman" w:hAnsi="Times New Roman"/>
          <w:b/>
        </w:rPr>
        <w:t xml:space="preserve"> </w:t>
      </w:r>
      <w:proofErr w:type="spellStart"/>
      <w:r w:rsidR="00FE3805" w:rsidRPr="00074768">
        <w:rPr>
          <w:rFonts w:ascii="Times New Roman" w:hAnsi="Times New Roman"/>
          <w:b/>
        </w:rPr>
        <w:t>Cabazitaxel</w:t>
      </w:r>
      <w:proofErr w:type="spellEnd"/>
      <w:r w:rsidR="00FE3805" w:rsidRPr="00074768">
        <w:rPr>
          <w:rFonts w:ascii="Times New Roman" w:hAnsi="Times New Roman"/>
          <w:b/>
        </w:rPr>
        <w:t xml:space="preserve"> </w:t>
      </w:r>
      <w:proofErr w:type="spellStart"/>
      <w:r w:rsidR="00FE3805" w:rsidRPr="00074768">
        <w:rPr>
          <w:rFonts w:ascii="Times New Roman" w:hAnsi="Times New Roman"/>
          <w:b/>
        </w:rPr>
        <w:t>Sandoz</w:t>
      </w:r>
      <w:proofErr w:type="spellEnd"/>
    </w:p>
    <w:p w14:paraId="079405C8" w14:textId="77777777" w:rsidR="00267DDB" w:rsidRPr="00074768" w:rsidRDefault="00267DDB" w:rsidP="00267DDB">
      <w:pPr>
        <w:spacing w:after="0" w:line="240" w:lineRule="auto"/>
        <w:rPr>
          <w:rFonts w:ascii="Times New Roman" w:hAnsi="Times New Roman"/>
          <w:b/>
        </w:rPr>
      </w:pPr>
    </w:p>
    <w:p w14:paraId="54AE70B1" w14:textId="677D9E2C" w:rsidR="00267DDB" w:rsidRPr="00074768" w:rsidRDefault="00FE3805" w:rsidP="00267DDB">
      <w:pPr>
        <w:spacing w:after="0" w:line="240" w:lineRule="auto"/>
        <w:rPr>
          <w:rFonts w:ascii="Times New Roman" w:hAnsi="Times New Roman"/>
          <w:b/>
        </w:rPr>
      </w:pPr>
      <w:proofErr w:type="spellStart"/>
      <w:r w:rsidRPr="00074768">
        <w:rPr>
          <w:rFonts w:ascii="Times New Roman" w:hAnsi="Times New Roman"/>
          <w:b/>
        </w:rPr>
        <w:t>Cabazitaxel</w:t>
      </w:r>
      <w:proofErr w:type="spellEnd"/>
      <w:r w:rsidRPr="00074768">
        <w:rPr>
          <w:rFonts w:ascii="Times New Roman" w:hAnsi="Times New Roman"/>
          <w:b/>
        </w:rPr>
        <w:t xml:space="preserve"> </w:t>
      </w:r>
      <w:proofErr w:type="spellStart"/>
      <w:r w:rsidRPr="00074768">
        <w:rPr>
          <w:rFonts w:ascii="Times New Roman" w:hAnsi="Times New Roman"/>
          <w:b/>
        </w:rPr>
        <w:t>Sandoz</w:t>
      </w:r>
      <w:proofErr w:type="spellEnd"/>
      <w:r w:rsidR="00267DDB" w:rsidRPr="00074768">
        <w:rPr>
          <w:rFonts w:ascii="Times New Roman" w:hAnsi="Times New Roman"/>
          <w:b/>
        </w:rPr>
        <w:t xml:space="preserve"> vartoti </w:t>
      </w:r>
      <w:r w:rsidR="005D787C">
        <w:rPr>
          <w:rFonts w:ascii="Times New Roman" w:hAnsi="Times New Roman"/>
          <w:b/>
        </w:rPr>
        <w:t>draudžiama</w:t>
      </w:r>
      <w:r w:rsidR="00267DDB" w:rsidRPr="00074768">
        <w:rPr>
          <w:rFonts w:ascii="Times New Roman" w:hAnsi="Times New Roman"/>
          <w:b/>
        </w:rPr>
        <w:t>:</w:t>
      </w:r>
    </w:p>
    <w:p w14:paraId="4326287E" w14:textId="6380C517" w:rsidR="00267DDB" w:rsidRPr="004200DB" w:rsidRDefault="00267DDB" w:rsidP="008A75C3">
      <w:pPr>
        <w:pStyle w:val="Sraopastraipa"/>
        <w:numPr>
          <w:ilvl w:val="0"/>
          <w:numId w:val="5"/>
        </w:numPr>
        <w:spacing w:line="240" w:lineRule="auto"/>
        <w:ind w:left="567" w:hanging="567"/>
        <w:rPr>
          <w:noProof/>
          <w:szCs w:val="22"/>
          <w:lang w:val="lt-LT"/>
        </w:rPr>
      </w:pPr>
      <w:r w:rsidRPr="0085406C">
        <w:rPr>
          <w:noProof/>
          <w:szCs w:val="22"/>
          <w:lang w:val="lt-LT"/>
        </w:rPr>
        <w:t xml:space="preserve">jeigu yra alergija </w:t>
      </w:r>
      <w:proofErr w:type="spellStart"/>
      <w:r w:rsidR="00F95B76" w:rsidRPr="0085406C">
        <w:rPr>
          <w:szCs w:val="22"/>
          <w:lang w:val="lt-LT"/>
        </w:rPr>
        <w:t>kabazitakseliui</w:t>
      </w:r>
      <w:proofErr w:type="spellEnd"/>
      <w:r w:rsidR="00F95B76" w:rsidRPr="0085406C">
        <w:rPr>
          <w:szCs w:val="22"/>
          <w:lang w:val="lt-LT"/>
        </w:rPr>
        <w:t xml:space="preserve">, kitiems </w:t>
      </w:r>
      <w:proofErr w:type="spellStart"/>
      <w:r w:rsidR="00F95B76" w:rsidRPr="0085406C">
        <w:rPr>
          <w:szCs w:val="22"/>
          <w:lang w:val="lt-LT"/>
        </w:rPr>
        <w:t>taksanams</w:t>
      </w:r>
      <w:proofErr w:type="spellEnd"/>
      <w:r w:rsidR="00F95B76" w:rsidRPr="0085406C">
        <w:rPr>
          <w:szCs w:val="22"/>
          <w:lang w:val="lt-LT"/>
        </w:rPr>
        <w:t xml:space="preserve">, </w:t>
      </w:r>
      <w:proofErr w:type="spellStart"/>
      <w:r w:rsidR="00F95B76" w:rsidRPr="0085406C">
        <w:rPr>
          <w:szCs w:val="22"/>
          <w:lang w:val="lt-LT"/>
        </w:rPr>
        <w:t>polisorbatui</w:t>
      </w:r>
      <w:proofErr w:type="spellEnd"/>
      <w:r w:rsidR="00CC41F3">
        <w:rPr>
          <w:szCs w:val="22"/>
          <w:lang w:val="lt-LT"/>
        </w:rPr>
        <w:t> </w:t>
      </w:r>
      <w:r w:rsidR="00F95B76" w:rsidRPr="0085406C">
        <w:rPr>
          <w:szCs w:val="22"/>
          <w:lang w:val="lt-LT"/>
        </w:rPr>
        <w:t>80</w:t>
      </w:r>
      <w:r w:rsidRPr="0085406C">
        <w:rPr>
          <w:noProof/>
          <w:szCs w:val="22"/>
          <w:lang w:val="lt-LT"/>
        </w:rPr>
        <w:t xml:space="preserve"> arba bet kuriai pagalbinei šio vaisto medžiagai (jos išvardytos 6</w:t>
      </w:r>
      <w:r w:rsidR="00CC41F3">
        <w:rPr>
          <w:noProof/>
          <w:szCs w:val="22"/>
          <w:lang w:val="lt-LT"/>
        </w:rPr>
        <w:t> </w:t>
      </w:r>
      <w:r w:rsidRPr="0085406C">
        <w:rPr>
          <w:noProof/>
          <w:szCs w:val="22"/>
          <w:lang w:val="lt-LT"/>
        </w:rPr>
        <w:t>skyriuje);</w:t>
      </w:r>
    </w:p>
    <w:p w14:paraId="29EC3CB9" w14:textId="074FA39B" w:rsidR="00F95B76" w:rsidRDefault="00F95B76" w:rsidP="008A75C3">
      <w:pPr>
        <w:pStyle w:val="Sraopastraipa"/>
        <w:numPr>
          <w:ilvl w:val="0"/>
          <w:numId w:val="5"/>
        </w:numPr>
        <w:spacing w:line="240" w:lineRule="auto"/>
        <w:ind w:left="567" w:hanging="567"/>
        <w:rPr>
          <w:szCs w:val="22"/>
          <w:lang w:val="lt-LT"/>
        </w:rPr>
      </w:pPr>
      <w:r w:rsidRPr="004200DB">
        <w:rPr>
          <w:szCs w:val="22"/>
          <w:lang w:val="lt-LT"/>
        </w:rPr>
        <w:t>jeigu baltųjų kraujo ląstelių kiekis per mažas (</w:t>
      </w:r>
      <w:proofErr w:type="spellStart"/>
      <w:r w:rsidRPr="004200DB">
        <w:rPr>
          <w:szCs w:val="22"/>
          <w:lang w:val="lt-LT"/>
        </w:rPr>
        <w:t>neutrofilų</w:t>
      </w:r>
      <w:proofErr w:type="spellEnd"/>
      <w:r w:rsidRPr="004200DB">
        <w:rPr>
          <w:szCs w:val="22"/>
          <w:lang w:val="lt-LT"/>
        </w:rPr>
        <w:t xml:space="preserve"> yra 1</w:t>
      </w:r>
      <w:r w:rsidR="00CC41F3">
        <w:rPr>
          <w:szCs w:val="22"/>
          <w:lang w:val="lt-LT"/>
        </w:rPr>
        <w:t> </w:t>
      </w:r>
      <w:r w:rsidRPr="004200DB">
        <w:rPr>
          <w:szCs w:val="22"/>
          <w:lang w:val="lt-LT"/>
        </w:rPr>
        <w:t>500/mm</w:t>
      </w:r>
      <w:r w:rsidRPr="00037DA8">
        <w:rPr>
          <w:szCs w:val="22"/>
          <w:vertAlign w:val="superscript"/>
          <w:lang w:val="lt-LT"/>
        </w:rPr>
        <w:t>3</w:t>
      </w:r>
      <w:r w:rsidRPr="00037DA8">
        <w:rPr>
          <w:szCs w:val="22"/>
          <w:lang w:val="lt-LT"/>
        </w:rPr>
        <w:t xml:space="preserve"> arba mažiau);</w:t>
      </w:r>
    </w:p>
    <w:p w14:paraId="26D7DB2C" w14:textId="53B4601A" w:rsidR="00F41765" w:rsidRPr="00037DA8" w:rsidRDefault="00F41765" w:rsidP="008A75C3">
      <w:pPr>
        <w:pStyle w:val="Sraopastraipa"/>
        <w:numPr>
          <w:ilvl w:val="0"/>
          <w:numId w:val="5"/>
        </w:numPr>
        <w:spacing w:line="240" w:lineRule="auto"/>
        <w:ind w:left="567" w:hanging="567"/>
        <w:rPr>
          <w:szCs w:val="22"/>
          <w:lang w:val="lt-LT"/>
        </w:rPr>
      </w:pPr>
      <w:r>
        <w:rPr>
          <w:szCs w:val="22"/>
          <w:lang w:val="lt-LT"/>
        </w:rPr>
        <w:t>jeigu Jums yra sunkus kepenų funkcijos sutrikimas;</w:t>
      </w:r>
    </w:p>
    <w:p w14:paraId="66E23B9A" w14:textId="77777777" w:rsidR="00267DDB" w:rsidRPr="00037DA8" w:rsidRDefault="00F95B76" w:rsidP="008A75C3">
      <w:pPr>
        <w:pStyle w:val="Sraopastraipa"/>
        <w:numPr>
          <w:ilvl w:val="0"/>
          <w:numId w:val="5"/>
        </w:numPr>
        <w:spacing w:line="240" w:lineRule="auto"/>
        <w:ind w:left="567" w:hanging="567"/>
        <w:rPr>
          <w:szCs w:val="22"/>
          <w:lang w:val="lt-LT"/>
        </w:rPr>
      </w:pPr>
      <w:r w:rsidRPr="00037DA8">
        <w:rPr>
          <w:szCs w:val="22"/>
          <w:lang w:val="lt-LT"/>
        </w:rPr>
        <w:t>jeigu neseniai buvote ar būsite skiepijamas vakcina nuo geltonosios karštligės.</w:t>
      </w:r>
    </w:p>
    <w:p w14:paraId="10157E35" w14:textId="77777777" w:rsidR="00267DDB" w:rsidRPr="00074768" w:rsidRDefault="00267DDB" w:rsidP="00267DDB">
      <w:pPr>
        <w:spacing w:after="0" w:line="240" w:lineRule="auto"/>
        <w:rPr>
          <w:rFonts w:ascii="Times New Roman" w:hAnsi="Times New Roman"/>
        </w:rPr>
      </w:pPr>
    </w:p>
    <w:p w14:paraId="23976304" w14:textId="77777777" w:rsidR="00F95B76" w:rsidRPr="00074768" w:rsidRDefault="00F95B76" w:rsidP="00F95B76">
      <w:pPr>
        <w:spacing w:after="0" w:line="240" w:lineRule="auto"/>
        <w:rPr>
          <w:rFonts w:ascii="Times New Roman" w:hAnsi="Times New Roman"/>
        </w:rPr>
      </w:pPr>
      <w:r w:rsidRPr="00074768">
        <w:rPr>
          <w:rFonts w:ascii="Times New Roman" w:hAnsi="Times New Roman"/>
        </w:rPr>
        <w:t xml:space="preserve">Jeigu bet kuri minėta būklė Jums tinka, </w:t>
      </w:r>
      <w:proofErr w:type="spellStart"/>
      <w:r w:rsidRPr="00074768">
        <w:rPr>
          <w:rFonts w:ascii="Times New Roman" w:hAnsi="Times New Roman"/>
        </w:rPr>
        <w:t>Cabazitaxel</w:t>
      </w:r>
      <w:proofErr w:type="spellEnd"/>
      <w:r w:rsidRPr="00074768">
        <w:rPr>
          <w:rFonts w:ascii="Times New Roman" w:hAnsi="Times New Roman"/>
        </w:rPr>
        <w:t xml:space="preserve"> </w:t>
      </w:r>
      <w:proofErr w:type="spellStart"/>
      <w:r w:rsidRPr="00074768">
        <w:rPr>
          <w:rFonts w:ascii="Times New Roman" w:hAnsi="Times New Roman"/>
        </w:rPr>
        <w:t>Sandoz</w:t>
      </w:r>
      <w:proofErr w:type="spellEnd"/>
      <w:r w:rsidRPr="00074768">
        <w:rPr>
          <w:rFonts w:ascii="Times New Roman" w:hAnsi="Times New Roman"/>
        </w:rPr>
        <w:t xml:space="preserve"> Jums turi būti neskiriama. Jeigu abejojate, prieš </w:t>
      </w:r>
      <w:proofErr w:type="spellStart"/>
      <w:r w:rsidRPr="00074768">
        <w:rPr>
          <w:rFonts w:ascii="Times New Roman" w:hAnsi="Times New Roman"/>
        </w:rPr>
        <w:t>Cabazitaxel</w:t>
      </w:r>
      <w:proofErr w:type="spellEnd"/>
      <w:r w:rsidRPr="00074768">
        <w:rPr>
          <w:rFonts w:ascii="Times New Roman" w:hAnsi="Times New Roman"/>
        </w:rPr>
        <w:t xml:space="preserve"> </w:t>
      </w:r>
      <w:proofErr w:type="spellStart"/>
      <w:r w:rsidRPr="00074768">
        <w:rPr>
          <w:rFonts w:ascii="Times New Roman" w:hAnsi="Times New Roman"/>
        </w:rPr>
        <w:t>Sandoz</w:t>
      </w:r>
      <w:proofErr w:type="spellEnd"/>
      <w:r w:rsidRPr="00074768">
        <w:rPr>
          <w:rFonts w:ascii="Times New Roman" w:hAnsi="Times New Roman"/>
        </w:rPr>
        <w:t xml:space="preserve"> vartojimą pasitarkite su savo gydytoju.</w:t>
      </w:r>
    </w:p>
    <w:p w14:paraId="01BE46EE" w14:textId="77777777" w:rsidR="00F95B76" w:rsidRPr="00074768" w:rsidRDefault="00F95B76" w:rsidP="00267DDB">
      <w:pPr>
        <w:spacing w:after="0" w:line="240" w:lineRule="auto"/>
        <w:rPr>
          <w:rFonts w:ascii="Times New Roman" w:hAnsi="Times New Roman"/>
        </w:rPr>
      </w:pPr>
    </w:p>
    <w:p w14:paraId="7BB3CDF5" w14:textId="77777777" w:rsidR="00267DDB" w:rsidRPr="00074768" w:rsidRDefault="00267DDB" w:rsidP="00267DDB">
      <w:pPr>
        <w:spacing w:after="0" w:line="240" w:lineRule="auto"/>
        <w:rPr>
          <w:rFonts w:ascii="Times New Roman" w:hAnsi="Times New Roman"/>
          <w:b/>
        </w:rPr>
      </w:pPr>
      <w:r w:rsidRPr="00074768">
        <w:rPr>
          <w:rFonts w:ascii="Times New Roman" w:hAnsi="Times New Roman"/>
          <w:b/>
        </w:rPr>
        <w:t>Įspėjimai ir atsargumo priemonės</w:t>
      </w:r>
    </w:p>
    <w:p w14:paraId="3BF1245F" w14:textId="77777777" w:rsidR="00F95B76" w:rsidRPr="00074768" w:rsidRDefault="00F95B76" w:rsidP="00F95B76">
      <w:pPr>
        <w:spacing w:after="0" w:line="240" w:lineRule="auto"/>
        <w:rPr>
          <w:rFonts w:ascii="Times New Roman" w:hAnsi="Times New Roman"/>
        </w:rPr>
      </w:pPr>
      <w:r w:rsidRPr="00074768">
        <w:rPr>
          <w:rFonts w:ascii="Times New Roman" w:hAnsi="Times New Roman"/>
        </w:rPr>
        <w:t xml:space="preserve">Prieš kiekvieną gydymo </w:t>
      </w:r>
      <w:proofErr w:type="spellStart"/>
      <w:r w:rsidRPr="00074768">
        <w:rPr>
          <w:rFonts w:ascii="Times New Roman" w:hAnsi="Times New Roman"/>
        </w:rPr>
        <w:t>Cabazitaxel</w:t>
      </w:r>
      <w:proofErr w:type="spellEnd"/>
      <w:r w:rsidRPr="00074768">
        <w:rPr>
          <w:rFonts w:ascii="Times New Roman" w:hAnsi="Times New Roman"/>
        </w:rPr>
        <w:t xml:space="preserve"> </w:t>
      </w:r>
      <w:proofErr w:type="spellStart"/>
      <w:r w:rsidRPr="00074768">
        <w:rPr>
          <w:rFonts w:ascii="Times New Roman" w:hAnsi="Times New Roman"/>
        </w:rPr>
        <w:t>Sandoz</w:t>
      </w:r>
      <w:proofErr w:type="spellEnd"/>
      <w:r w:rsidRPr="00074768">
        <w:rPr>
          <w:rFonts w:ascii="Times New Roman" w:hAnsi="Times New Roman"/>
        </w:rPr>
        <w:t xml:space="preserve"> kursą bus ištirtas Jūsų kraujas, </w:t>
      </w:r>
      <w:r w:rsidR="00AB791F" w:rsidRPr="00074768">
        <w:rPr>
          <w:rFonts w:ascii="Times New Roman" w:hAnsi="Times New Roman"/>
        </w:rPr>
        <w:t>kad</w:t>
      </w:r>
      <w:r w:rsidRPr="00074768">
        <w:rPr>
          <w:rFonts w:ascii="Times New Roman" w:hAnsi="Times New Roman"/>
        </w:rPr>
        <w:t xml:space="preserve"> nustatyti, ar Jūsų kraujo</w:t>
      </w:r>
      <w:r w:rsidR="00AB791F" w:rsidRPr="00074768">
        <w:rPr>
          <w:rFonts w:ascii="Times New Roman" w:hAnsi="Times New Roman"/>
        </w:rPr>
        <w:t xml:space="preserve"> </w:t>
      </w:r>
      <w:r w:rsidRPr="00074768">
        <w:rPr>
          <w:rFonts w:ascii="Times New Roman" w:hAnsi="Times New Roman"/>
        </w:rPr>
        <w:t xml:space="preserve">ląstelių kiekis pakankamas ir ar kepenų bei inkstų veikla pakankama, kad </w:t>
      </w:r>
      <w:r w:rsidR="00AB791F" w:rsidRPr="00074768">
        <w:rPr>
          <w:rFonts w:ascii="Times New Roman" w:hAnsi="Times New Roman"/>
        </w:rPr>
        <w:t>būtų galima taikyti</w:t>
      </w:r>
      <w:r w:rsidRPr="00074768">
        <w:rPr>
          <w:rFonts w:ascii="Times New Roman" w:hAnsi="Times New Roman"/>
        </w:rPr>
        <w:t xml:space="preserve"> gyd</w:t>
      </w:r>
      <w:r w:rsidR="00AB791F" w:rsidRPr="00074768">
        <w:rPr>
          <w:rFonts w:ascii="Times New Roman" w:hAnsi="Times New Roman"/>
        </w:rPr>
        <w:t xml:space="preserve">ymą </w:t>
      </w:r>
      <w:proofErr w:type="spellStart"/>
      <w:r w:rsidR="00AB791F" w:rsidRPr="00074768">
        <w:rPr>
          <w:rFonts w:ascii="Times New Roman" w:hAnsi="Times New Roman"/>
        </w:rPr>
        <w:t>Cabazitaxel</w:t>
      </w:r>
      <w:proofErr w:type="spellEnd"/>
      <w:r w:rsidR="00AB791F" w:rsidRPr="00074768">
        <w:rPr>
          <w:rFonts w:ascii="Times New Roman" w:hAnsi="Times New Roman"/>
        </w:rPr>
        <w:t xml:space="preserve"> </w:t>
      </w:r>
      <w:proofErr w:type="spellStart"/>
      <w:r w:rsidR="00AB791F" w:rsidRPr="00074768">
        <w:rPr>
          <w:rFonts w:ascii="Times New Roman" w:hAnsi="Times New Roman"/>
        </w:rPr>
        <w:t>Sandoz</w:t>
      </w:r>
      <w:proofErr w:type="spellEnd"/>
      <w:r w:rsidR="00AB791F" w:rsidRPr="00074768">
        <w:rPr>
          <w:rFonts w:ascii="Times New Roman" w:hAnsi="Times New Roman"/>
        </w:rPr>
        <w:t>.</w:t>
      </w:r>
    </w:p>
    <w:p w14:paraId="2D0D1E5D" w14:textId="77777777" w:rsidR="00F95B76" w:rsidRPr="00074768" w:rsidRDefault="00F95B76" w:rsidP="00F95B76">
      <w:pPr>
        <w:spacing w:after="0" w:line="240" w:lineRule="auto"/>
        <w:rPr>
          <w:rFonts w:ascii="Times New Roman" w:hAnsi="Times New Roman"/>
        </w:rPr>
      </w:pPr>
    </w:p>
    <w:p w14:paraId="6B52A50F" w14:textId="5A9A4359" w:rsidR="00F95B76" w:rsidRPr="00074768" w:rsidRDefault="00F95B76" w:rsidP="00F95B76">
      <w:pPr>
        <w:spacing w:after="0" w:line="240" w:lineRule="auto"/>
        <w:rPr>
          <w:rFonts w:ascii="Times New Roman" w:hAnsi="Times New Roman"/>
        </w:rPr>
      </w:pPr>
      <w:r w:rsidRPr="00074768">
        <w:rPr>
          <w:rFonts w:ascii="Times New Roman" w:hAnsi="Times New Roman"/>
        </w:rPr>
        <w:t>Nedels</w:t>
      </w:r>
      <w:r w:rsidR="006D53B3">
        <w:rPr>
          <w:rFonts w:ascii="Times New Roman" w:hAnsi="Times New Roman"/>
        </w:rPr>
        <w:t>dami</w:t>
      </w:r>
      <w:r w:rsidRPr="00074768">
        <w:rPr>
          <w:rFonts w:ascii="Times New Roman" w:hAnsi="Times New Roman"/>
        </w:rPr>
        <w:t xml:space="preserve"> pasakykite savo gydytojui, jeigu:</w:t>
      </w:r>
    </w:p>
    <w:p w14:paraId="5C931108" w14:textId="5E15E6C9" w:rsidR="00F95B76" w:rsidRPr="00037DA8" w:rsidRDefault="00F95B76" w:rsidP="008A75C3">
      <w:pPr>
        <w:pStyle w:val="Sraopastraipa"/>
        <w:numPr>
          <w:ilvl w:val="0"/>
          <w:numId w:val="6"/>
        </w:numPr>
        <w:spacing w:after="120" w:line="240" w:lineRule="auto"/>
        <w:ind w:left="567" w:hanging="567"/>
        <w:rPr>
          <w:rFonts w:eastAsia="TimesNewRomanPSMT"/>
          <w:szCs w:val="22"/>
          <w:lang w:val="lt-LT"/>
        </w:rPr>
      </w:pPr>
      <w:r w:rsidRPr="0085406C">
        <w:rPr>
          <w:rFonts w:eastAsia="TimesNewRomanPSMT"/>
          <w:szCs w:val="22"/>
          <w:lang w:val="lt-LT"/>
        </w:rPr>
        <w:t xml:space="preserve">karščiuojate. Gydymo </w:t>
      </w:r>
      <w:proofErr w:type="spellStart"/>
      <w:r w:rsidR="00AB791F" w:rsidRPr="0085406C">
        <w:rPr>
          <w:rFonts w:eastAsia="TimesNewRomanPSMT"/>
          <w:szCs w:val="22"/>
          <w:lang w:val="lt-LT"/>
        </w:rPr>
        <w:t>Cabazitaxel</w:t>
      </w:r>
      <w:proofErr w:type="spellEnd"/>
      <w:r w:rsidR="00AB791F" w:rsidRPr="0085406C">
        <w:rPr>
          <w:rFonts w:eastAsia="TimesNewRomanPSMT"/>
          <w:szCs w:val="22"/>
          <w:lang w:val="lt-LT"/>
        </w:rPr>
        <w:t xml:space="preserve"> </w:t>
      </w:r>
      <w:proofErr w:type="spellStart"/>
      <w:r w:rsidR="00AB791F" w:rsidRPr="0085406C">
        <w:rPr>
          <w:rFonts w:eastAsia="TimesNewRomanPSMT"/>
          <w:szCs w:val="22"/>
          <w:lang w:val="lt-LT"/>
        </w:rPr>
        <w:t>Sandoz</w:t>
      </w:r>
      <w:proofErr w:type="spellEnd"/>
      <w:r w:rsidRPr="0085406C">
        <w:rPr>
          <w:rFonts w:eastAsia="TimesNewRomanPSMT"/>
          <w:szCs w:val="22"/>
          <w:lang w:val="lt-LT"/>
        </w:rPr>
        <w:t xml:space="preserve"> metu yra didesnė baltųjų kraujo ląstelių kiekio sumažėjimo</w:t>
      </w:r>
      <w:r w:rsidR="00AB791F" w:rsidRPr="004200DB">
        <w:rPr>
          <w:rFonts w:eastAsia="TimesNewRomanPSMT"/>
          <w:szCs w:val="22"/>
          <w:lang w:val="lt-LT"/>
        </w:rPr>
        <w:t xml:space="preserve"> </w:t>
      </w:r>
      <w:r w:rsidRPr="004200DB">
        <w:rPr>
          <w:rFonts w:eastAsia="TimesNewRomanPSMT"/>
          <w:szCs w:val="22"/>
          <w:lang w:val="lt-LT"/>
        </w:rPr>
        <w:t>tikimybė. Gydytojas tirs Jūsų kraują ir bendrąją būklę, kad galėtų nustatyti, ar nėra infekcijos</w:t>
      </w:r>
      <w:r w:rsidR="00AB791F" w:rsidRPr="004200DB">
        <w:rPr>
          <w:rFonts w:eastAsia="TimesNewRomanPSMT"/>
          <w:szCs w:val="22"/>
          <w:lang w:val="lt-LT"/>
        </w:rPr>
        <w:t xml:space="preserve"> </w:t>
      </w:r>
      <w:r w:rsidRPr="00037DA8">
        <w:rPr>
          <w:rFonts w:eastAsia="TimesNewRomanPSMT"/>
          <w:szCs w:val="22"/>
          <w:lang w:val="lt-LT"/>
        </w:rPr>
        <w:t>požymių. Jis/</w:t>
      </w:r>
      <w:r w:rsidR="00E500A2">
        <w:rPr>
          <w:rFonts w:eastAsia="TimesNewRomanPSMT"/>
          <w:szCs w:val="22"/>
          <w:lang w:val="lt-LT"/>
        </w:rPr>
        <w:t>J</w:t>
      </w:r>
      <w:r w:rsidRPr="00037DA8">
        <w:rPr>
          <w:rFonts w:eastAsia="TimesNewRomanPSMT"/>
          <w:szCs w:val="22"/>
          <w:lang w:val="lt-LT"/>
        </w:rPr>
        <w:t xml:space="preserve">i gali Jums skirti kito vaisto, kad būtų palaikomas reikiamas kraujo </w:t>
      </w:r>
      <w:r w:rsidRPr="00037DA8">
        <w:rPr>
          <w:rFonts w:eastAsia="TimesNewRomanPSMT"/>
          <w:szCs w:val="22"/>
          <w:lang w:val="lt-LT"/>
        </w:rPr>
        <w:lastRenderedPageBreak/>
        <w:t>ląstelių</w:t>
      </w:r>
      <w:r w:rsidR="00AB791F" w:rsidRPr="00037DA8">
        <w:rPr>
          <w:rFonts w:eastAsia="TimesNewRomanPSMT"/>
          <w:szCs w:val="22"/>
          <w:lang w:val="lt-LT"/>
        </w:rPr>
        <w:t xml:space="preserve"> </w:t>
      </w:r>
      <w:r w:rsidRPr="00037DA8">
        <w:rPr>
          <w:rFonts w:eastAsia="TimesNewRomanPSMT"/>
          <w:szCs w:val="22"/>
          <w:lang w:val="lt-LT"/>
        </w:rPr>
        <w:t xml:space="preserve">kiekis. Žmonėms, kurių kraujo ląstelių kiekis mažas, gali pasireikšti gyvybei </w:t>
      </w:r>
      <w:r w:rsidR="00AB791F" w:rsidRPr="00037DA8">
        <w:rPr>
          <w:rFonts w:eastAsia="TimesNewRomanPSMT"/>
          <w:szCs w:val="22"/>
          <w:lang w:val="lt-LT"/>
        </w:rPr>
        <w:t xml:space="preserve">pavojingų </w:t>
      </w:r>
      <w:r w:rsidRPr="00037DA8">
        <w:rPr>
          <w:rFonts w:eastAsia="TimesNewRomanPSMT"/>
          <w:szCs w:val="22"/>
          <w:lang w:val="lt-LT"/>
        </w:rPr>
        <w:t>infekcij</w:t>
      </w:r>
      <w:r w:rsidR="00746B7B">
        <w:rPr>
          <w:rFonts w:eastAsia="TimesNewRomanPSMT"/>
          <w:szCs w:val="22"/>
          <w:lang w:val="lt-LT"/>
        </w:rPr>
        <w:t>ų</w:t>
      </w:r>
      <w:r w:rsidRPr="00037DA8">
        <w:rPr>
          <w:rFonts w:eastAsia="TimesNewRomanPSMT"/>
          <w:szCs w:val="22"/>
          <w:lang w:val="lt-LT"/>
        </w:rPr>
        <w:t>. Anksčiausias infekcijos požymis gali būti karščiavimas, todėl, jei pradėjote</w:t>
      </w:r>
      <w:r w:rsidR="00AB791F" w:rsidRPr="00037DA8">
        <w:rPr>
          <w:rFonts w:eastAsia="TimesNewRomanPSMT"/>
          <w:szCs w:val="22"/>
          <w:lang w:val="lt-LT"/>
        </w:rPr>
        <w:t xml:space="preserve"> </w:t>
      </w:r>
      <w:r w:rsidRPr="00037DA8">
        <w:rPr>
          <w:rFonts w:eastAsia="TimesNewRomanPSMT"/>
          <w:szCs w:val="22"/>
          <w:lang w:val="lt-LT"/>
        </w:rPr>
        <w:t>karščiuoti, nedels</w:t>
      </w:r>
      <w:r w:rsidR="001B211B">
        <w:rPr>
          <w:rFonts w:eastAsia="TimesNewRomanPSMT"/>
          <w:szCs w:val="22"/>
          <w:lang w:val="lt-LT"/>
        </w:rPr>
        <w:t>dami</w:t>
      </w:r>
      <w:r w:rsidRPr="00037DA8">
        <w:rPr>
          <w:rFonts w:eastAsia="TimesNewRomanPSMT"/>
          <w:szCs w:val="22"/>
          <w:lang w:val="lt-LT"/>
        </w:rPr>
        <w:t xml:space="preserve"> kreipkitės į </w:t>
      </w:r>
      <w:r w:rsidR="00AB791F" w:rsidRPr="00037DA8">
        <w:rPr>
          <w:rFonts w:eastAsia="TimesNewRomanPSMT"/>
          <w:szCs w:val="22"/>
          <w:lang w:val="lt-LT"/>
        </w:rPr>
        <w:t xml:space="preserve">savo </w:t>
      </w:r>
      <w:r w:rsidRPr="00037DA8">
        <w:rPr>
          <w:rFonts w:eastAsia="TimesNewRomanPSMT"/>
          <w:szCs w:val="22"/>
          <w:lang w:val="lt-LT"/>
        </w:rPr>
        <w:t>gydytoją;</w:t>
      </w:r>
    </w:p>
    <w:p w14:paraId="11013EFE" w14:textId="77777777" w:rsidR="00F95B76" w:rsidRPr="00037DA8" w:rsidRDefault="00F95B76" w:rsidP="008A75C3">
      <w:pPr>
        <w:pStyle w:val="Sraopastraipa"/>
        <w:numPr>
          <w:ilvl w:val="0"/>
          <w:numId w:val="6"/>
        </w:numPr>
        <w:spacing w:after="120" w:line="240" w:lineRule="auto"/>
        <w:ind w:left="567" w:hanging="567"/>
        <w:rPr>
          <w:rFonts w:eastAsia="TimesNewRomanPSMT"/>
          <w:szCs w:val="22"/>
          <w:lang w:val="lt-LT"/>
        </w:rPr>
      </w:pPr>
      <w:r w:rsidRPr="00037DA8">
        <w:rPr>
          <w:rFonts w:eastAsia="TimesNewRomanPSMT"/>
          <w:szCs w:val="22"/>
          <w:lang w:val="lt-LT"/>
        </w:rPr>
        <w:t xml:space="preserve">yra buvusi bet kokia alergija. Gydymo </w:t>
      </w:r>
      <w:proofErr w:type="spellStart"/>
      <w:r w:rsidR="00AB791F" w:rsidRPr="00037DA8">
        <w:rPr>
          <w:rFonts w:eastAsia="TimesNewRomanPSMT"/>
          <w:szCs w:val="22"/>
          <w:lang w:val="lt-LT"/>
        </w:rPr>
        <w:t>Cabazitaxel</w:t>
      </w:r>
      <w:proofErr w:type="spellEnd"/>
      <w:r w:rsidR="00AB791F" w:rsidRPr="00037DA8">
        <w:rPr>
          <w:rFonts w:eastAsia="TimesNewRomanPSMT"/>
          <w:szCs w:val="22"/>
          <w:lang w:val="lt-LT"/>
        </w:rPr>
        <w:t xml:space="preserve"> </w:t>
      </w:r>
      <w:proofErr w:type="spellStart"/>
      <w:r w:rsidR="00AB791F" w:rsidRPr="00037DA8">
        <w:rPr>
          <w:rFonts w:eastAsia="TimesNewRomanPSMT"/>
          <w:szCs w:val="22"/>
          <w:lang w:val="lt-LT"/>
        </w:rPr>
        <w:t>Sandoz</w:t>
      </w:r>
      <w:proofErr w:type="spellEnd"/>
      <w:r w:rsidRPr="00037DA8">
        <w:rPr>
          <w:rFonts w:eastAsia="TimesNewRomanPSMT"/>
          <w:szCs w:val="22"/>
          <w:lang w:val="lt-LT"/>
        </w:rPr>
        <w:t xml:space="preserve"> metu gali </w:t>
      </w:r>
      <w:r w:rsidR="00AB791F" w:rsidRPr="00037DA8">
        <w:rPr>
          <w:rFonts w:eastAsia="TimesNewRomanPSMT"/>
          <w:szCs w:val="22"/>
          <w:lang w:val="lt-LT"/>
        </w:rPr>
        <w:t xml:space="preserve">pasireikšti </w:t>
      </w:r>
      <w:r w:rsidRPr="00037DA8">
        <w:rPr>
          <w:rFonts w:eastAsia="TimesNewRomanPSMT"/>
          <w:szCs w:val="22"/>
          <w:lang w:val="lt-LT"/>
        </w:rPr>
        <w:t>sunkių alerginių reakcijų;</w:t>
      </w:r>
    </w:p>
    <w:p w14:paraId="77DA5D01" w14:textId="77777777" w:rsidR="00F95B76" w:rsidRPr="00BC3E54" w:rsidRDefault="00F95B76" w:rsidP="008A75C3">
      <w:pPr>
        <w:pStyle w:val="Sraopastraipa"/>
        <w:numPr>
          <w:ilvl w:val="0"/>
          <w:numId w:val="6"/>
        </w:numPr>
        <w:spacing w:after="120" w:line="240" w:lineRule="auto"/>
        <w:ind w:left="567" w:hanging="567"/>
        <w:rPr>
          <w:rFonts w:eastAsia="TimesNewRomanPSMT"/>
          <w:szCs w:val="22"/>
          <w:lang w:val="lt-LT"/>
        </w:rPr>
      </w:pPr>
      <w:r w:rsidRPr="00037DA8">
        <w:rPr>
          <w:rFonts w:eastAsia="TimesNewRomanPSMT"/>
          <w:szCs w:val="22"/>
          <w:lang w:val="lt-LT"/>
        </w:rPr>
        <w:t>s</w:t>
      </w:r>
      <w:r w:rsidR="00AB791F" w:rsidRPr="00037DA8">
        <w:rPr>
          <w:rFonts w:eastAsia="TimesNewRomanPSMT"/>
          <w:szCs w:val="22"/>
          <w:lang w:val="lt-LT"/>
        </w:rPr>
        <w:t>tipriai</w:t>
      </w:r>
      <w:r w:rsidRPr="00037DA8">
        <w:rPr>
          <w:rFonts w:eastAsia="TimesNewRomanPSMT"/>
          <w:szCs w:val="22"/>
          <w:lang w:val="lt-LT"/>
        </w:rPr>
        <w:t xml:space="preserve"> ar ilgai viduriuojate, jaučiate pykinimą (šleikštulį) ar vemiate. Bet kuris iš minėtų</w:t>
      </w:r>
      <w:r w:rsidR="00AB791F" w:rsidRPr="00037DA8">
        <w:rPr>
          <w:rFonts w:eastAsia="TimesNewRomanPSMT"/>
          <w:szCs w:val="22"/>
          <w:lang w:val="lt-LT"/>
        </w:rPr>
        <w:t xml:space="preserve"> </w:t>
      </w:r>
      <w:r w:rsidRPr="00037DA8">
        <w:rPr>
          <w:rFonts w:eastAsia="TimesNewRomanPSMT"/>
          <w:szCs w:val="22"/>
          <w:lang w:val="lt-LT"/>
        </w:rPr>
        <w:t xml:space="preserve">sutrikimų gali labai sumažinti skysčio kiekį organizme. </w:t>
      </w:r>
      <w:r w:rsidR="00AB791F" w:rsidRPr="00037DA8">
        <w:rPr>
          <w:rFonts w:eastAsia="TimesNewRomanPSMT"/>
          <w:szCs w:val="22"/>
          <w:lang w:val="lt-LT"/>
        </w:rPr>
        <w:t>Jūsų g</w:t>
      </w:r>
      <w:r w:rsidRPr="00037DA8">
        <w:rPr>
          <w:rFonts w:eastAsia="TimesNewRomanPSMT"/>
          <w:szCs w:val="22"/>
          <w:lang w:val="lt-LT"/>
        </w:rPr>
        <w:t>ydytoj</w:t>
      </w:r>
      <w:r w:rsidR="00AB791F" w:rsidRPr="00037DA8">
        <w:rPr>
          <w:rFonts w:eastAsia="TimesNewRomanPSMT"/>
          <w:szCs w:val="22"/>
          <w:lang w:val="lt-LT"/>
        </w:rPr>
        <w:t>ui</w:t>
      </w:r>
      <w:r w:rsidRPr="00037DA8">
        <w:rPr>
          <w:rFonts w:eastAsia="TimesNewRomanPSMT"/>
          <w:szCs w:val="22"/>
          <w:lang w:val="lt-LT"/>
        </w:rPr>
        <w:t xml:space="preserve"> gali </w:t>
      </w:r>
      <w:r w:rsidR="00AB791F" w:rsidRPr="00037DA8">
        <w:rPr>
          <w:rFonts w:eastAsia="TimesNewRomanPSMT"/>
          <w:szCs w:val="22"/>
          <w:lang w:val="lt-LT"/>
        </w:rPr>
        <w:t>reikėt</w:t>
      </w:r>
      <w:r w:rsidR="00BC3E54">
        <w:rPr>
          <w:rFonts w:eastAsia="TimesNewRomanPSMT"/>
          <w:szCs w:val="22"/>
          <w:lang w:val="lt-LT"/>
        </w:rPr>
        <w:t>i</w:t>
      </w:r>
      <w:r w:rsidR="00AB791F" w:rsidRPr="00BC3E54">
        <w:rPr>
          <w:rFonts w:eastAsia="TimesNewRomanPSMT"/>
          <w:szCs w:val="22"/>
          <w:lang w:val="lt-LT"/>
        </w:rPr>
        <w:t xml:space="preserve"> Jus gydyti</w:t>
      </w:r>
      <w:r w:rsidRPr="00BC3E54">
        <w:rPr>
          <w:rFonts w:eastAsia="TimesNewRomanPSMT"/>
          <w:szCs w:val="22"/>
          <w:lang w:val="lt-LT"/>
        </w:rPr>
        <w:t>;</w:t>
      </w:r>
    </w:p>
    <w:p w14:paraId="0F2EDB30" w14:textId="77777777" w:rsidR="00F95B76" w:rsidRPr="0085406C" w:rsidRDefault="00F95B76" w:rsidP="008A75C3">
      <w:pPr>
        <w:pStyle w:val="Sraopastraipa"/>
        <w:numPr>
          <w:ilvl w:val="0"/>
          <w:numId w:val="6"/>
        </w:numPr>
        <w:spacing w:after="120" w:line="240" w:lineRule="auto"/>
        <w:ind w:left="567" w:hanging="567"/>
        <w:rPr>
          <w:rFonts w:eastAsia="TimesNewRomanPSMT"/>
          <w:szCs w:val="22"/>
          <w:lang w:val="lt-LT"/>
        </w:rPr>
      </w:pPr>
      <w:r w:rsidRPr="0085406C">
        <w:rPr>
          <w:rFonts w:eastAsia="TimesNewRomanPSMT"/>
          <w:szCs w:val="22"/>
          <w:lang w:val="lt-LT"/>
        </w:rPr>
        <w:t>plaštakose ar pėdose jaučiate tirpimą, dilgčiojimą, deginimą ar jautrumo sumažėjimą;</w:t>
      </w:r>
    </w:p>
    <w:p w14:paraId="139B829A" w14:textId="77777777" w:rsidR="00F95B76" w:rsidRPr="00037DA8" w:rsidRDefault="00F95B76" w:rsidP="008A75C3">
      <w:pPr>
        <w:pStyle w:val="Sraopastraipa"/>
        <w:numPr>
          <w:ilvl w:val="0"/>
          <w:numId w:val="6"/>
        </w:numPr>
        <w:spacing w:after="120" w:line="240" w:lineRule="auto"/>
        <w:ind w:left="567" w:hanging="567"/>
        <w:rPr>
          <w:rFonts w:eastAsia="TimesNewRomanPSMT"/>
          <w:szCs w:val="22"/>
          <w:lang w:val="lt-LT"/>
        </w:rPr>
      </w:pPr>
      <w:r w:rsidRPr="004200DB">
        <w:rPr>
          <w:rFonts w:eastAsia="TimesNewRomanPSMT"/>
          <w:szCs w:val="22"/>
          <w:lang w:val="lt-LT"/>
        </w:rPr>
        <w:t>yra bet kokių problemų dėl kraujavimo iš žarnyno, pasikeitė išmatų spalva arba pradėjo</w:t>
      </w:r>
      <w:r w:rsidR="00AB791F" w:rsidRPr="004200DB">
        <w:rPr>
          <w:rFonts w:eastAsia="TimesNewRomanPSMT"/>
          <w:szCs w:val="22"/>
          <w:lang w:val="lt-LT"/>
        </w:rPr>
        <w:t xml:space="preserve"> </w:t>
      </w:r>
      <w:r w:rsidRPr="004200DB">
        <w:rPr>
          <w:rFonts w:eastAsia="TimesNewRomanPSMT"/>
          <w:szCs w:val="22"/>
          <w:lang w:val="lt-LT"/>
        </w:rPr>
        <w:t>skaudėti pilvą. Jeigu kraujavimas ar skausmas yra stiprus, Jūsų gydytojas nutrauks gydymą</w:t>
      </w:r>
      <w:r w:rsidR="00AB791F" w:rsidRPr="004200DB">
        <w:rPr>
          <w:rFonts w:eastAsia="TimesNewRomanPSMT"/>
          <w:szCs w:val="22"/>
          <w:lang w:val="lt-LT"/>
        </w:rPr>
        <w:t xml:space="preserve"> </w:t>
      </w:r>
      <w:proofErr w:type="spellStart"/>
      <w:r w:rsidR="00AB791F" w:rsidRPr="004200DB">
        <w:rPr>
          <w:rFonts w:eastAsia="TimesNewRomanPSMT"/>
          <w:szCs w:val="22"/>
          <w:lang w:val="lt-LT"/>
        </w:rPr>
        <w:t>Ca</w:t>
      </w:r>
      <w:r w:rsidR="00AB791F" w:rsidRPr="00037DA8">
        <w:rPr>
          <w:rFonts w:eastAsia="TimesNewRomanPSMT"/>
          <w:szCs w:val="22"/>
          <w:lang w:val="lt-LT"/>
        </w:rPr>
        <w:t>bazitaxel</w:t>
      </w:r>
      <w:proofErr w:type="spellEnd"/>
      <w:r w:rsidR="00AB791F" w:rsidRPr="00037DA8">
        <w:rPr>
          <w:rFonts w:eastAsia="TimesNewRomanPSMT"/>
          <w:szCs w:val="22"/>
          <w:lang w:val="lt-LT"/>
        </w:rPr>
        <w:t xml:space="preserve"> </w:t>
      </w:r>
      <w:proofErr w:type="spellStart"/>
      <w:r w:rsidR="00AB791F" w:rsidRPr="00037DA8">
        <w:rPr>
          <w:rFonts w:eastAsia="TimesNewRomanPSMT"/>
          <w:szCs w:val="22"/>
          <w:lang w:val="lt-LT"/>
        </w:rPr>
        <w:t>Sandoz</w:t>
      </w:r>
      <w:proofErr w:type="spellEnd"/>
      <w:r w:rsidRPr="00037DA8">
        <w:rPr>
          <w:rFonts w:eastAsia="TimesNewRomanPSMT"/>
          <w:szCs w:val="22"/>
          <w:lang w:val="lt-LT"/>
        </w:rPr>
        <w:t xml:space="preserve">, nes </w:t>
      </w:r>
      <w:proofErr w:type="spellStart"/>
      <w:r w:rsidR="00AB791F" w:rsidRPr="00037DA8">
        <w:rPr>
          <w:rFonts w:eastAsia="TimesNewRomanPSMT"/>
          <w:szCs w:val="22"/>
          <w:lang w:val="lt-LT"/>
        </w:rPr>
        <w:t>Cabazitaxel</w:t>
      </w:r>
      <w:proofErr w:type="spellEnd"/>
      <w:r w:rsidR="00AB791F" w:rsidRPr="00037DA8">
        <w:rPr>
          <w:rFonts w:eastAsia="TimesNewRomanPSMT"/>
          <w:szCs w:val="22"/>
          <w:lang w:val="lt-LT"/>
        </w:rPr>
        <w:t xml:space="preserve"> </w:t>
      </w:r>
      <w:proofErr w:type="spellStart"/>
      <w:r w:rsidR="00AB791F" w:rsidRPr="00037DA8">
        <w:rPr>
          <w:rFonts w:eastAsia="TimesNewRomanPSMT"/>
          <w:szCs w:val="22"/>
          <w:lang w:val="lt-LT"/>
        </w:rPr>
        <w:t>Sandoz</w:t>
      </w:r>
      <w:proofErr w:type="spellEnd"/>
      <w:r w:rsidRPr="00037DA8">
        <w:rPr>
          <w:rFonts w:eastAsia="TimesNewRomanPSMT"/>
          <w:szCs w:val="22"/>
          <w:lang w:val="lt-LT"/>
        </w:rPr>
        <w:t xml:space="preserve"> gali didinti kraujavimo arba žarn</w:t>
      </w:r>
      <w:r w:rsidR="00AB791F" w:rsidRPr="00037DA8">
        <w:rPr>
          <w:rFonts w:eastAsia="TimesNewRomanPSMT"/>
          <w:szCs w:val="22"/>
          <w:lang w:val="lt-LT"/>
        </w:rPr>
        <w:t>ų</w:t>
      </w:r>
      <w:r w:rsidRPr="00037DA8">
        <w:rPr>
          <w:rFonts w:eastAsia="TimesNewRomanPSMT"/>
          <w:szCs w:val="22"/>
          <w:lang w:val="lt-LT"/>
        </w:rPr>
        <w:t xml:space="preserve"> sienel</w:t>
      </w:r>
      <w:r w:rsidR="00AB791F" w:rsidRPr="00037DA8">
        <w:rPr>
          <w:rFonts w:eastAsia="TimesNewRomanPSMT"/>
          <w:szCs w:val="22"/>
          <w:lang w:val="lt-LT"/>
        </w:rPr>
        <w:t>ių</w:t>
      </w:r>
      <w:r w:rsidRPr="00037DA8">
        <w:rPr>
          <w:rFonts w:eastAsia="TimesNewRomanPSMT"/>
          <w:szCs w:val="22"/>
          <w:lang w:val="lt-LT"/>
        </w:rPr>
        <w:t xml:space="preserve"> prakiurimo </w:t>
      </w:r>
      <w:r w:rsidR="00AB791F" w:rsidRPr="00037DA8">
        <w:rPr>
          <w:rFonts w:eastAsia="TimesNewRomanPSMT"/>
          <w:szCs w:val="22"/>
          <w:lang w:val="lt-LT"/>
        </w:rPr>
        <w:t>riziką</w:t>
      </w:r>
      <w:r w:rsidRPr="00037DA8">
        <w:rPr>
          <w:rFonts w:eastAsia="TimesNewRomanPSMT"/>
          <w:szCs w:val="22"/>
          <w:lang w:val="lt-LT"/>
        </w:rPr>
        <w:t>;</w:t>
      </w:r>
    </w:p>
    <w:p w14:paraId="4FEE1055" w14:textId="77777777" w:rsidR="00F95B76" w:rsidRPr="00037DA8" w:rsidRDefault="00F95B76" w:rsidP="008A75C3">
      <w:pPr>
        <w:pStyle w:val="Sraopastraipa"/>
        <w:numPr>
          <w:ilvl w:val="0"/>
          <w:numId w:val="6"/>
        </w:numPr>
        <w:spacing w:after="120" w:line="240" w:lineRule="auto"/>
        <w:ind w:left="567" w:hanging="567"/>
        <w:rPr>
          <w:rFonts w:eastAsia="TimesNewRomanPSMT"/>
          <w:szCs w:val="22"/>
          <w:lang w:val="lt-LT"/>
        </w:rPr>
      </w:pPr>
      <w:r w:rsidRPr="00037DA8">
        <w:rPr>
          <w:rFonts w:eastAsia="TimesNewRomanPSMT"/>
          <w:szCs w:val="22"/>
          <w:lang w:val="lt-LT"/>
        </w:rPr>
        <w:t>yra inkstų sutrikimų;</w:t>
      </w:r>
    </w:p>
    <w:p w14:paraId="7AF5642B" w14:textId="59695EDF" w:rsidR="00F95B76" w:rsidRPr="00037DA8" w:rsidRDefault="00ED5AA0" w:rsidP="008A75C3">
      <w:pPr>
        <w:pStyle w:val="Sraopastraipa"/>
        <w:numPr>
          <w:ilvl w:val="0"/>
          <w:numId w:val="6"/>
        </w:numPr>
        <w:spacing w:after="120" w:line="240" w:lineRule="auto"/>
        <w:ind w:left="567" w:hanging="567"/>
        <w:rPr>
          <w:rFonts w:eastAsia="TimesNewRomanPSMT"/>
          <w:szCs w:val="22"/>
          <w:lang w:val="lt-LT"/>
        </w:rPr>
      </w:pPr>
      <w:r w:rsidRPr="00ED5AA0">
        <w:rPr>
          <w:rFonts w:eastAsia="TimesNewRomanPSMT"/>
          <w:szCs w:val="22"/>
          <w:lang w:val="lt-LT"/>
        </w:rPr>
        <w:t>pagelsta oda ir akys, patamsėja šlapimas, pasireiškia stiprus šleikštulys (pykinimas) ar vėmimas, nes tai gali būti kepenų sutrikimų požymiai ar simptomai;</w:t>
      </w:r>
    </w:p>
    <w:p w14:paraId="3310B6EA" w14:textId="77777777" w:rsidR="00F95B76" w:rsidRPr="00037DA8" w:rsidRDefault="00F95B76" w:rsidP="008A75C3">
      <w:pPr>
        <w:pStyle w:val="Sraopastraipa"/>
        <w:numPr>
          <w:ilvl w:val="0"/>
          <w:numId w:val="6"/>
        </w:numPr>
        <w:spacing w:after="120" w:line="240" w:lineRule="auto"/>
        <w:ind w:left="567" w:hanging="567"/>
        <w:rPr>
          <w:rFonts w:eastAsia="TimesNewRomanPSMT"/>
          <w:szCs w:val="22"/>
          <w:lang w:val="lt-LT"/>
        </w:rPr>
      </w:pPr>
      <w:r w:rsidRPr="00037DA8">
        <w:rPr>
          <w:rFonts w:eastAsia="TimesNewRomanPSMT"/>
          <w:szCs w:val="22"/>
          <w:lang w:val="lt-LT"/>
        </w:rPr>
        <w:t>reikšmingai padidėjo ar sumažėjo paros šlapimo kiekis;</w:t>
      </w:r>
    </w:p>
    <w:p w14:paraId="2345FB10" w14:textId="77777777" w:rsidR="00F95B76" w:rsidRPr="00037DA8" w:rsidRDefault="00F95B76" w:rsidP="008A75C3">
      <w:pPr>
        <w:pStyle w:val="Sraopastraipa"/>
        <w:numPr>
          <w:ilvl w:val="0"/>
          <w:numId w:val="6"/>
        </w:numPr>
        <w:spacing w:line="240" w:lineRule="auto"/>
        <w:ind w:left="567" w:hanging="567"/>
        <w:rPr>
          <w:rFonts w:eastAsia="TimesNewRomanPSMT"/>
          <w:szCs w:val="22"/>
          <w:lang w:val="lt-LT"/>
        </w:rPr>
      </w:pPr>
      <w:r w:rsidRPr="00037DA8">
        <w:rPr>
          <w:rFonts w:eastAsia="TimesNewRomanPSMT"/>
          <w:szCs w:val="22"/>
          <w:lang w:val="lt-LT"/>
        </w:rPr>
        <w:t>šlapime yra kraujo.</w:t>
      </w:r>
    </w:p>
    <w:p w14:paraId="4EBD564D" w14:textId="77777777" w:rsidR="00AB791F" w:rsidRPr="00074768" w:rsidRDefault="00AB791F" w:rsidP="00DA2B9B">
      <w:pPr>
        <w:spacing w:after="0" w:line="240" w:lineRule="auto"/>
        <w:rPr>
          <w:rFonts w:ascii="Times New Roman" w:eastAsia="TimesNewRomanPSMT" w:hAnsi="Times New Roman"/>
        </w:rPr>
      </w:pPr>
    </w:p>
    <w:p w14:paraId="50A4985F" w14:textId="3A697D22" w:rsidR="00F95B76" w:rsidRPr="00BC3E54" w:rsidRDefault="00F95B76" w:rsidP="00DA2B9B">
      <w:pPr>
        <w:spacing w:after="0" w:line="240" w:lineRule="auto"/>
        <w:rPr>
          <w:rFonts w:ascii="Times New Roman" w:hAnsi="Times New Roman"/>
        </w:rPr>
      </w:pPr>
      <w:r w:rsidRPr="00074768">
        <w:rPr>
          <w:rFonts w:ascii="Times New Roman" w:eastAsia="TimesNewRomanPSMT" w:hAnsi="Times New Roman"/>
        </w:rPr>
        <w:t>Jeigu bet kuri minėta būklė</w:t>
      </w:r>
      <w:r w:rsidR="00DA2B9B" w:rsidRPr="00074768">
        <w:rPr>
          <w:rFonts w:ascii="Times New Roman" w:eastAsia="TimesNewRomanPSMT" w:hAnsi="Times New Roman"/>
        </w:rPr>
        <w:t xml:space="preserve"> Jums tinka</w:t>
      </w:r>
      <w:r w:rsidRPr="00074768">
        <w:rPr>
          <w:rFonts w:ascii="Times New Roman" w:eastAsia="TimesNewRomanPSMT" w:hAnsi="Times New Roman"/>
        </w:rPr>
        <w:t>, nedels</w:t>
      </w:r>
      <w:r w:rsidR="00B322D8">
        <w:rPr>
          <w:rFonts w:ascii="Times New Roman" w:eastAsia="TimesNewRomanPSMT" w:hAnsi="Times New Roman"/>
        </w:rPr>
        <w:t>dami</w:t>
      </w:r>
      <w:r w:rsidRPr="00074768">
        <w:rPr>
          <w:rFonts w:ascii="Times New Roman" w:eastAsia="TimesNewRomanPSMT" w:hAnsi="Times New Roman"/>
        </w:rPr>
        <w:t xml:space="preserve"> pasakykite </w:t>
      </w:r>
      <w:r w:rsidR="00DA2B9B" w:rsidRPr="00074768">
        <w:rPr>
          <w:rFonts w:ascii="Times New Roman" w:eastAsia="TimesNewRomanPSMT" w:hAnsi="Times New Roman"/>
        </w:rPr>
        <w:t xml:space="preserve">savo </w:t>
      </w:r>
      <w:r w:rsidRPr="00074768">
        <w:rPr>
          <w:rFonts w:ascii="Times New Roman" w:eastAsia="TimesNewRomanPSMT" w:hAnsi="Times New Roman"/>
        </w:rPr>
        <w:t xml:space="preserve">gydytojui. </w:t>
      </w:r>
      <w:r w:rsidR="00DA2B9B" w:rsidRPr="00074768">
        <w:rPr>
          <w:rFonts w:ascii="Times New Roman" w:eastAsia="TimesNewRomanPSMT" w:hAnsi="Times New Roman"/>
        </w:rPr>
        <w:t>Jūsų gy</w:t>
      </w:r>
      <w:r w:rsidR="004B7C5B" w:rsidRPr="00074768">
        <w:rPr>
          <w:rFonts w:ascii="Times New Roman" w:eastAsia="TimesNewRomanPSMT" w:hAnsi="Times New Roman"/>
        </w:rPr>
        <w:t>d</w:t>
      </w:r>
      <w:r w:rsidR="00DA2B9B" w:rsidRPr="00074768">
        <w:rPr>
          <w:rFonts w:ascii="Times New Roman" w:eastAsia="TimesNewRomanPSMT" w:hAnsi="Times New Roman"/>
        </w:rPr>
        <w:t>y</w:t>
      </w:r>
      <w:r w:rsidR="004B7C5B" w:rsidRPr="00074768">
        <w:rPr>
          <w:rFonts w:ascii="Times New Roman" w:eastAsia="TimesNewRomanPSMT" w:hAnsi="Times New Roman"/>
        </w:rPr>
        <w:t>t</w:t>
      </w:r>
      <w:r w:rsidR="00DA2B9B" w:rsidRPr="00074768">
        <w:rPr>
          <w:rFonts w:ascii="Times New Roman" w:eastAsia="TimesNewRomanPSMT" w:hAnsi="Times New Roman"/>
        </w:rPr>
        <w:t>ojas</w:t>
      </w:r>
      <w:r w:rsidRPr="00074768">
        <w:rPr>
          <w:rFonts w:ascii="Times New Roman" w:eastAsia="TimesNewRomanPSMT" w:hAnsi="Times New Roman"/>
        </w:rPr>
        <w:t xml:space="preserve"> gali sumažinti</w:t>
      </w:r>
      <w:r w:rsidR="00DA2B9B" w:rsidRPr="00037DA8">
        <w:rPr>
          <w:rFonts w:ascii="Times New Roman" w:hAnsi="Times New Roman"/>
        </w:rPr>
        <w:t xml:space="preserve"> </w:t>
      </w:r>
      <w:proofErr w:type="spellStart"/>
      <w:r w:rsidR="00DA2B9B" w:rsidRPr="00074768">
        <w:rPr>
          <w:rFonts w:ascii="Times New Roman" w:eastAsia="TimesNewRomanPSMT" w:hAnsi="Times New Roman"/>
        </w:rPr>
        <w:t>Cabazitaxel</w:t>
      </w:r>
      <w:proofErr w:type="spellEnd"/>
      <w:r w:rsidR="00DA2B9B" w:rsidRPr="00074768">
        <w:rPr>
          <w:rFonts w:ascii="Times New Roman" w:eastAsia="TimesNewRomanPSMT" w:hAnsi="Times New Roman"/>
        </w:rPr>
        <w:t xml:space="preserve"> </w:t>
      </w:r>
      <w:proofErr w:type="spellStart"/>
      <w:r w:rsidR="00DA2B9B" w:rsidRPr="00074768">
        <w:rPr>
          <w:rFonts w:ascii="Times New Roman" w:eastAsia="TimesNewRomanPSMT" w:hAnsi="Times New Roman"/>
        </w:rPr>
        <w:t>Sandoz</w:t>
      </w:r>
      <w:proofErr w:type="spellEnd"/>
      <w:r w:rsidR="00DA2B9B" w:rsidRPr="00074768">
        <w:rPr>
          <w:rFonts w:ascii="Times New Roman" w:eastAsia="TimesNewRomanPSMT" w:hAnsi="Times New Roman"/>
        </w:rPr>
        <w:t xml:space="preserve"> </w:t>
      </w:r>
      <w:r w:rsidRPr="00BC3E54">
        <w:rPr>
          <w:rFonts w:ascii="Times New Roman" w:hAnsi="Times New Roman"/>
        </w:rPr>
        <w:t>dozę ar sustabdyti gydymą.</w:t>
      </w:r>
    </w:p>
    <w:p w14:paraId="55764A87" w14:textId="77777777" w:rsidR="00DA2B9B" w:rsidRPr="00074768" w:rsidRDefault="00DA2B9B" w:rsidP="00DA2B9B">
      <w:pPr>
        <w:spacing w:after="0" w:line="240" w:lineRule="auto"/>
        <w:rPr>
          <w:rFonts w:ascii="Times New Roman" w:hAnsi="Times New Roman"/>
          <w:b/>
          <w:bCs/>
        </w:rPr>
      </w:pPr>
    </w:p>
    <w:p w14:paraId="36160AF7" w14:textId="77777777" w:rsidR="00F95B76" w:rsidRPr="00074768" w:rsidRDefault="00F95B76" w:rsidP="00DA2B9B">
      <w:pPr>
        <w:spacing w:after="0" w:line="240" w:lineRule="auto"/>
        <w:rPr>
          <w:rFonts w:ascii="Times New Roman" w:hAnsi="Times New Roman"/>
          <w:b/>
          <w:bCs/>
        </w:rPr>
      </w:pPr>
      <w:r w:rsidRPr="00074768">
        <w:rPr>
          <w:rFonts w:ascii="Times New Roman" w:hAnsi="Times New Roman"/>
          <w:b/>
          <w:bCs/>
        </w:rPr>
        <w:t xml:space="preserve">Kiti vaistai ir </w:t>
      </w:r>
      <w:proofErr w:type="spellStart"/>
      <w:r w:rsidR="00DA2B9B" w:rsidRPr="00074768">
        <w:rPr>
          <w:rFonts w:ascii="Times New Roman" w:hAnsi="Times New Roman"/>
          <w:b/>
          <w:bCs/>
        </w:rPr>
        <w:t>Cabazitaxel</w:t>
      </w:r>
      <w:proofErr w:type="spellEnd"/>
      <w:r w:rsidR="00DA2B9B" w:rsidRPr="00074768">
        <w:rPr>
          <w:rFonts w:ascii="Times New Roman" w:hAnsi="Times New Roman"/>
          <w:b/>
          <w:bCs/>
        </w:rPr>
        <w:t xml:space="preserve"> </w:t>
      </w:r>
      <w:proofErr w:type="spellStart"/>
      <w:r w:rsidR="00DA2B9B" w:rsidRPr="00074768">
        <w:rPr>
          <w:rFonts w:ascii="Times New Roman" w:hAnsi="Times New Roman"/>
          <w:b/>
          <w:bCs/>
        </w:rPr>
        <w:t>Sandoz</w:t>
      </w:r>
      <w:proofErr w:type="spellEnd"/>
    </w:p>
    <w:p w14:paraId="06AF6B1E" w14:textId="00E4D4E8" w:rsidR="00DA2B9B" w:rsidRPr="00074768" w:rsidRDefault="00DA2B9B" w:rsidP="00DA2B9B">
      <w:pPr>
        <w:spacing w:after="0" w:line="240" w:lineRule="auto"/>
        <w:rPr>
          <w:rFonts w:ascii="Times New Roman" w:hAnsi="Times New Roman"/>
        </w:rPr>
      </w:pPr>
      <w:r w:rsidRPr="00074768">
        <w:rPr>
          <w:rFonts w:ascii="Times New Roman" w:hAnsi="Times New Roman"/>
        </w:rPr>
        <w:t>Jeigu vartojate arba neseniai vartojote kitų vaistų, įskaitant įsigytus be recepto, pasakykite gydytojui, vaistininkui arba slaugytojai.</w:t>
      </w:r>
      <w:r w:rsidR="000548A1">
        <w:rPr>
          <w:rFonts w:ascii="Times New Roman" w:hAnsi="Times New Roman"/>
        </w:rPr>
        <w:t xml:space="preserve"> Tai yra svarbu, nes</w:t>
      </w:r>
      <w:r w:rsidRPr="00074768">
        <w:rPr>
          <w:rFonts w:ascii="Times New Roman" w:hAnsi="Times New Roman"/>
        </w:rPr>
        <w:t xml:space="preserve"> </w:t>
      </w:r>
      <w:r w:rsidR="000548A1">
        <w:rPr>
          <w:rFonts w:ascii="Times New Roman" w:hAnsi="Times New Roman"/>
        </w:rPr>
        <w:t>k</w:t>
      </w:r>
      <w:r w:rsidRPr="00074768">
        <w:rPr>
          <w:rFonts w:ascii="Times New Roman" w:hAnsi="Times New Roman"/>
        </w:rPr>
        <w:t xml:space="preserve">ai kurie vaistai gali daryti įtaką </w:t>
      </w:r>
      <w:proofErr w:type="spellStart"/>
      <w:r w:rsidRPr="00074768">
        <w:rPr>
          <w:rFonts w:ascii="Times New Roman" w:hAnsi="Times New Roman"/>
        </w:rPr>
        <w:t>Cabazitaxel</w:t>
      </w:r>
      <w:proofErr w:type="spellEnd"/>
      <w:r w:rsidRPr="00074768">
        <w:rPr>
          <w:rFonts w:ascii="Times New Roman" w:hAnsi="Times New Roman"/>
        </w:rPr>
        <w:t xml:space="preserve"> </w:t>
      </w:r>
      <w:proofErr w:type="spellStart"/>
      <w:r w:rsidRPr="00074768">
        <w:rPr>
          <w:rFonts w:ascii="Times New Roman" w:hAnsi="Times New Roman"/>
        </w:rPr>
        <w:t>Sandoz</w:t>
      </w:r>
      <w:proofErr w:type="spellEnd"/>
      <w:r w:rsidRPr="00074768">
        <w:rPr>
          <w:rFonts w:ascii="Times New Roman" w:hAnsi="Times New Roman"/>
        </w:rPr>
        <w:t xml:space="preserve">, o </w:t>
      </w:r>
      <w:proofErr w:type="spellStart"/>
      <w:r w:rsidRPr="00074768">
        <w:rPr>
          <w:rFonts w:ascii="Times New Roman" w:hAnsi="Times New Roman"/>
        </w:rPr>
        <w:t>Cabazitaxel</w:t>
      </w:r>
      <w:proofErr w:type="spellEnd"/>
      <w:r w:rsidRPr="00074768">
        <w:rPr>
          <w:rFonts w:ascii="Times New Roman" w:hAnsi="Times New Roman"/>
        </w:rPr>
        <w:t xml:space="preserve"> </w:t>
      </w:r>
      <w:proofErr w:type="spellStart"/>
      <w:r w:rsidRPr="00074768">
        <w:rPr>
          <w:rFonts w:ascii="Times New Roman" w:hAnsi="Times New Roman"/>
        </w:rPr>
        <w:t>Sandoz</w:t>
      </w:r>
      <w:proofErr w:type="spellEnd"/>
      <w:r w:rsidRPr="00074768">
        <w:rPr>
          <w:rFonts w:ascii="Times New Roman" w:hAnsi="Times New Roman"/>
        </w:rPr>
        <w:t xml:space="preserve"> – kitų vaistų veikimui. Tokie vaistai yra:</w:t>
      </w:r>
    </w:p>
    <w:p w14:paraId="12AD1905" w14:textId="77777777" w:rsidR="00DA2B9B" w:rsidRPr="0085406C" w:rsidRDefault="00DA2B9B" w:rsidP="008A75C3">
      <w:pPr>
        <w:pStyle w:val="Sraopastraipa"/>
        <w:numPr>
          <w:ilvl w:val="0"/>
          <w:numId w:val="7"/>
        </w:numPr>
        <w:spacing w:line="240" w:lineRule="auto"/>
        <w:ind w:left="567" w:hanging="567"/>
        <w:rPr>
          <w:rFonts w:eastAsia="TimesNewRomanPSMT"/>
          <w:szCs w:val="22"/>
          <w:lang w:val="lt-LT"/>
        </w:rPr>
      </w:pPr>
      <w:proofErr w:type="spellStart"/>
      <w:r w:rsidRPr="0085406C">
        <w:rPr>
          <w:rFonts w:eastAsia="TimesNewRomanPSMT"/>
          <w:szCs w:val="22"/>
          <w:lang w:val="lt-LT"/>
        </w:rPr>
        <w:t>ketokonazolas</w:t>
      </w:r>
      <w:proofErr w:type="spellEnd"/>
      <w:r w:rsidRPr="0085406C">
        <w:rPr>
          <w:rFonts w:eastAsia="TimesNewRomanPSMT"/>
          <w:szCs w:val="22"/>
          <w:lang w:val="lt-LT"/>
        </w:rPr>
        <w:t xml:space="preserve">, </w:t>
      </w:r>
      <w:proofErr w:type="spellStart"/>
      <w:r w:rsidRPr="0085406C">
        <w:rPr>
          <w:rFonts w:eastAsia="TimesNewRomanPSMT"/>
          <w:szCs w:val="22"/>
          <w:lang w:val="lt-LT"/>
        </w:rPr>
        <w:t>rifampicinas</w:t>
      </w:r>
      <w:proofErr w:type="spellEnd"/>
      <w:r w:rsidRPr="0085406C">
        <w:rPr>
          <w:rFonts w:eastAsia="TimesNewRomanPSMT"/>
          <w:szCs w:val="22"/>
          <w:lang w:val="lt-LT"/>
        </w:rPr>
        <w:t xml:space="preserve"> (jais gydoma nuo infekcijų);</w:t>
      </w:r>
    </w:p>
    <w:p w14:paraId="15A5945C" w14:textId="77777777" w:rsidR="00DA2B9B" w:rsidRPr="004200DB" w:rsidRDefault="00DA2B9B" w:rsidP="008A75C3">
      <w:pPr>
        <w:pStyle w:val="Sraopastraipa"/>
        <w:numPr>
          <w:ilvl w:val="0"/>
          <w:numId w:val="7"/>
        </w:numPr>
        <w:spacing w:line="240" w:lineRule="auto"/>
        <w:ind w:left="567" w:hanging="567"/>
        <w:rPr>
          <w:rFonts w:eastAsia="TimesNewRomanPSMT"/>
          <w:szCs w:val="22"/>
          <w:lang w:val="lt-LT"/>
        </w:rPr>
      </w:pPr>
      <w:proofErr w:type="spellStart"/>
      <w:r w:rsidRPr="004200DB">
        <w:rPr>
          <w:rFonts w:eastAsia="TimesNewRomanPSMT"/>
          <w:szCs w:val="22"/>
          <w:lang w:val="lt-LT"/>
        </w:rPr>
        <w:t>karbamazepinas</w:t>
      </w:r>
      <w:proofErr w:type="spellEnd"/>
      <w:r w:rsidRPr="004200DB">
        <w:rPr>
          <w:rFonts w:eastAsia="TimesNewRomanPSMT"/>
          <w:szCs w:val="22"/>
          <w:lang w:val="lt-LT"/>
        </w:rPr>
        <w:t xml:space="preserve">, </w:t>
      </w:r>
      <w:proofErr w:type="spellStart"/>
      <w:r w:rsidRPr="004200DB">
        <w:rPr>
          <w:rFonts w:eastAsia="TimesNewRomanPSMT"/>
          <w:szCs w:val="22"/>
          <w:lang w:val="lt-LT"/>
        </w:rPr>
        <w:t>fenobarbitalis</w:t>
      </w:r>
      <w:proofErr w:type="spellEnd"/>
      <w:r w:rsidRPr="004200DB">
        <w:rPr>
          <w:rFonts w:eastAsia="TimesNewRomanPSMT"/>
          <w:szCs w:val="22"/>
          <w:lang w:val="lt-LT"/>
        </w:rPr>
        <w:t xml:space="preserve"> ar </w:t>
      </w:r>
      <w:proofErr w:type="spellStart"/>
      <w:r w:rsidRPr="004200DB">
        <w:rPr>
          <w:rFonts w:eastAsia="TimesNewRomanPSMT"/>
          <w:szCs w:val="22"/>
          <w:lang w:val="lt-LT"/>
        </w:rPr>
        <w:t>fenitoinas</w:t>
      </w:r>
      <w:proofErr w:type="spellEnd"/>
      <w:r w:rsidRPr="004200DB">
        <w:rPr>
          <w:rFonts w:eastAsia="TimesNewRomanPSMT"/>
          <w:szCs w:val="22"/>
          <w:lang w:val="lt-LT"/>
        </w:rPr>
        <w:t xml:space="preserve"> (vaistai nuo traukulių);</w:t>
      </w:r>
    </w:p>
    <w:p w14:paraId="0C39421A" w14:textId="77777777" w:rsidR="00DA2B9B" w:rsidRPr="00037DA8" w:rsidRDefault="00DA2B9B" w:rsidP="008A75C3">
      <w:pPr>
        <w:pStyle w:val="Sraopastraipa"/>
        <w:numPr>
          <w:ilvl w:val="0"/>
          <w:numId w:val="7"/>
        </w:numPr>
        <w:spacing w:line="240" w:lineRule="auto"/>
        <w:ind w:left="567" w:hanging="567"/>
        <w:rPr>
          <w:rFonts w:eastAsia="TimesNewRomanPSMT"/>
          <w:szCs w:val="22"/>
          <w:lang w:val="lt-LT"/>
        </w:rPr>
      </w:pPr>
      <w:r w:rsidRPr="004200DB">
        <w:rPr>
          <w:rFonts w:eastAsia="TimesNewRomanPSMT"/>
          <w:szCs w:val="22"/>
          <w:lang w:val="lt-LT"/>
        </w:rPr>
        <w:t>paprastųjų jonažolių (</w:t>
      </w:r>
      <w:proofErr w:type="spellStart"/>
      <w:r w:rsidRPr="00037DA8">
        <w:rPr>
          <w:rFonts w:eastAsia="TimesNewRomanPSMT"/>
          <w:i/>
          <w:iCs/>
          <w:szCs w:val="22"/>
          <w:lang w:val="lt-LT"/>
        </w:rPr>
        <w:t>Hypericum</w:t>
      </w:r>
      <w:proofErr w:type="spellEnd"/>
      <w:r w:rsidRPr="00037DA8">
        <w:rPr>
          <w:rFonts w:eastAsia="TimesNewRomanPSMT"/>
          <w:i/>
          <w:iCs/>
          <w:szCs w:val="22"/>
          <w:lang w:val="lt-LT"/>
        </w:rPr>
        <w:t xml:space="preserve"> </w:t>
      </w:r>
      <w:proofErr w:type="spellStart"/>
      <w:r w:rsidRPr="00037DA8">
        <w:rPr>
          <w:rFonts w:eastAsia="TimesNewRomanPSMT"/>
          <w:i/>
          <w:iCs/>
          <w:szCs w:val="22"/>
          <w:lang w:val="lt-LT"/>
        </w:rPr>
        <w:t>perforatum</w:t>
      </w:r>
      <w:proofErr w:type="spellEnd"/>
      <w:r w:rsidRPr="00037DA8">
        <w:rPr>
          <w:rFonts w:eastAsia="TimesNewRomanPSMT"/>
          <w:szCs w:val="22"/>
          <w:lang w:val="lt-LT"/>
        </w:rPr>
        <w:t>) vaistai (vaistažolių preparatai nuo depresijos ir kitų sutrikimų);</w:t>
      </w:r>
    </w:p>
    <w:p w14:paraId="0BA98729" w14:textId="77777777" w:rsidR="00DA2B9B" w:rsidRPr="00037DA8" w:rsidRDefault="00DA2B9B" w:rsidP="008A75C3">
      <w:pPr>
        <w:pStyle w:val="Sraopastraipa"/>
        <w:numPr>
          <w:ilvl w:val="0"/>
          <w:numId w:val="7"/>
        </w:numPr>
        <w:spacing w:line="240" w:lineRule="auto"/>
        <w:ind w:left="567" w:hanging="567"/>
        <w:rPr>
          <w:rFonts w:eastAsia="TimesNewRomanPSMT"/>
          <w:szCs w:val="22"/>
          <w:lang w:val="lt-LT"/>
        </w:rPr>
      </w:pPr>
      <w:proofErr w:type="spellStart"/>
      <w:r w:rsidRPr="00037DA8">
        <w:rPr>
          <w:rFonts w:eastAsia="TimesNewRomanPSMT"/>
          <w:szCs w:val="22"/>
          <w:lang w:val="lt-LT"/>
        </w:rPr>
        <w:t>statinai</w:t>
      </w:r>
      <w:proofErr w:type="spellEnd"/>
      <w:r w:rsidRPr="00037DA8">
        <w:rPr>
          <w:rFonts w:eastAsia="TimesNewRomanPSMT"/>
          <w:szCs w:val="22"/>
          <w:lang w:val="lt-LT"/>
        </w:rPr>
        <w:t xml:space="preserve"> (tokie, kaip </w:t>
      </w:r>
      <w:proofErr w:type="spellStart"/>
      <w:r w:rsidRPr="00037DA8">
        <w:rPr>
          <w:rFonts w:eastAsia="TimesNewRomanPSMT"/>
          <w:szCs w:val="22"/>
          <w:lang w:val="lt-LT"/>
        </w:rPr>
        <w:t>simvastatinas</w:t>
      </w:r>
      <w:proofErr w:type="spellEnd"/>
      <w:r w:rsidRPr="00037DA8">
        <w:rPr>
          <w:rFonts w:eastAsia="TimesNewRomanPSMT"/>
          <w:szCs w:val="22"/>
          <w:lang w:val="lt-LT"/>
        </w:rPr>
        <w:t xml:space="preserve">, </w:t>
      </w:r>
      <w:proofErr w:type="spellStart"/>
      <w:r w:rsidRPr="00037DA8">
        <w:rPr>
          <w:rFonts w:eastAsia="TimesNewRomanPSMT"/>
          <w:szCs w:val="22"/>
          <w:lang w:val="lt-LT"/>
        </w:rPr>
        <w:t>lovastatinas</w:t>
      </w:r>
      <w:proofErr w:type="spellEnd"/>
      <w:r w:rsidRPr="00037DA8">
        <w:rPr>
          <w:rFonts w:eastAsia="TimesNewRomanPSMT"/>
          <w:szCs w:val="22"/>
          <w:lang w:val="lt-LT"/>
        </w:rPr>
        <w:t xml:space="preserve">, </w:t>
      </w:r>
      <w:proofErr w:type="spellStart"/>
      <w:r w:rsidRPr="00037DA8">
        <w:rPr>
          <w:rFonts w:eastAsia="TimesNewRomanPSMT"/>
          <w:szCs w:val="22"/>
          <w:lang w:val="lt-LT"/>
        </w:rPr>
        <w:t>atorvastatinas</w:t>
      </w:r>
      <w:proofErr w:type="spellEnd"/>
      <w:r w:rsidRPr="00037DA8">
        <w:rPr>
          <w:rFonts w:eastAsia="TimesNewRomanPSMT"/>
          <w:szCs w:val="22"/>
          <w:lang w:val="lt-LT"/>
        </w:rPr>
        <w:t xml:space="preserve">, </w:t>
      </w:r>
      <w:proofErr w:type="spellStart"/>
      <w:r w:rsidRPr="00037DA8">
        <w:rPr>
          <w:rFonts w:eastAsia="TimesNewRomanPSMT"/>
          <w:szCs w:val="22"/>
          <w:lang w:val="lt-LT"/>
        </w:rPr>
        <w:t>rozuvastatinas</w:t>
      </w:r>
      <w:proofErr w:type="spellEnd"/>
      <w:r w:rsidRPr="00037DA8">
        <w:rPr>
          <w:rFonts w:eastAsia="TimesNewRomanPSMT"/>
          <w:szCs w:val="22"/>
          <w:lang w:val="lt-LT"/>
        </w:rPr>
        <w:t xml:space="preserve"> ar </w:t>
      </w:r>
      <w:proofErr w:type="spellStart"/>
      <w:r w:rsidRPr="00037DA8">
        <w:rPr>
          <w:rFonts w:eastAsia="TimesNewRomanPSMT"/>
          <w:szCs w:val="22"/>
          <w:lang w:val="lt-LT"/>
        </w:rPr>
        <w:t>pravastatinas</w:t>
      </w:r>
      <w:proofErr w:type="spellEnd"/>
      <w:r w:rsidRPr="00037DA8">
        <w:rPr>
          <w:rFonts w:eastAsia="TimesNewRomanPSMT"/>
          <w:szCs w:val="22"/>
          <w:lang w:val="lt-LT"/>
        </w:rPr>
        <w:t>) (vartojami cholesterolio kiekiui kraujyje mažinti);</w:t>
      </w:r>
    </w:p>
    <w:p w14:paraId="01B2EDB7" w14:textId="77777777" w:rsidR="00DA2B9B" w:rsidRPr="00037DA8" w:rsidRDefault="00DA2B9B" w:rsidP="008A75C3">
      <w:pPr>
        <w:pStyle w:val="Sraopastraipa"/>
        <w:numPr>
          <w:ilvl w:val="0"/>
          <w:numId w:val="7"/>
        </w:numPr>
        <w:spacing w:line="240" w:lineRule="auto"/>
        <w:ind w:left="567" w:hanging="567"/>
        <w:rPr>
          <w:rFonts w:eastAsia="TimesNewRomanPSMT"/>
          <w:szCs w:val="22"/>
          <w:lang w:val="lt-LT"/>
        </w:rPr>
      </w:pPr>
      <w:proofErr w:type="spellStart"/>
      <w:r w:rsidRPr="00037DA8">
        <w:rPr>
          <w:rFonts w:eastAsia="TimesNewRomanPSMT"/>
          <w:szCs w:val="22"/>
          <w:lang w:val="lt-LT"/>
        </w:rPr>
        <w:t>valsartanas</w:t>
      </w:r>
      <w:proofErr w:type="spellEnd"/>
      <w:r w:rsidRPr="00037DA8">
        <w:rPr>
          <w:rFonts w:eastAsia="TimesNewRomanPSMT"/>
          <w:szCs w:val="22"/>
          <w:lang w:val="lt-LT"/>
        </w:rPr>
        <w:t xml:space="preserve"> (vartojamas nuo padidėjusio kraujo spaudimo);</w:t>
      </w:r>
    </w:p>
    <w:p w14:paraId="48563356" w14:textId="77777777" w:rsidR="00DA2B9B" w:rsidRPr="00037DA8" w:rsidRDefault="00DA2B9B" w:rsidP="008A75C3">
      <w:pPr>
        <w:pStyle w:val="Sraopastraipa"/>
        <w:numPr>
          <w:ilvl w:val="0"/>
          <w:numId w:val="7"/>
        </w:numPr>
        <w:spacing w:line="240" w:lineRule="auto"/>
        <w:ind w:left="567" w:hanging="567"/>
        <w:rPr>
          <w:rFonts w:eastAsia="TimesNewRomanPSMT"/>
          <w:szCs w:val="22"/>
          <w:lang w:val="lt-LT"/>
        </w:rPr>
      </w:pPr>
      <w:proofErr w:type="spellStart"/>
      <w:r w:rsidRPr="00037DA8">
        <w:rPr>
          <w:rFonts w:eastAsia="TimesNewRomanPSMT"/>
          <w:szCs w:val="22"/>
          <w:lang w:val="lt-LT"/>
        </w:rPr>
        <w:t>repaglinidas</w:t>
      </w:r>
      <w:proofErr w:type="spellEnd"/>
      <w:r w:rsidRPr="00037DA8">
        <w:rPr>
          <w:rFonts w:eastAsia="TimesNewRomanPSMT"/>
          <w:szCs w:val="22"/>
          <w:lang w:val="lt-LT"/>
        </w:rPr>
        <w:t xml:space="preserve"> (vartojamas gydyti nuo diabeto).</w:t>
      </w:r>
    </w:p>
    <w:p w14:paraId="2DFC4A61" w14:textId="77777777" w:rsidR="00DA2B9B" w:rsidRPr="00074768" w:rsidRDefault="00DA2B9B" w:rsidP="00DA2B9B">
      <w:pPr>
        <w:spacing w:after="0" w:line="240" w:lineRule="auto"/>
        <w:rPr>
          <w:rFonts w:ascii="Times New Roman" w:eastAsia="TimesNewRomanPSMT" w:hAnsi="Times New Roman"/>
        </w:rPr>
      </w:pPr>
    </w:p>
    <w:p w14:paraId="42BE3771" w14:textId="77777777" w:rsidR="00DA2B9B" w:rsidRPr="002E254B" w:rsidRDefault="00DA2B9B" w:rsidP="00DA2B9B">
      <w:pPr>
        <w:spacing w:after="0" w:line="240" w:lineRule="auto"/>
        <w:rPr>
          <w:rFonts w:ascii="Times New Roman" w:eastAsia="TimesNewRomanPSMT" w:hAnsi="Times New Roman"/>
        </w:rPr>
      </w:pPr>
      <w:r w:rsidRPr="00074768">
        <w:rPr>
          <w:rFonts w:ascii="Times New Roman" w:eastAsia="TimesNewRomanPSMT" w:hAnsi="Times New Roman"/>
        </w:rPr>
        <w:t xml:space="preserve">Prieš skiepijantis pasakykite savo </w:t>
      </w:r>
      <w:r w:rsidR="00A22F14" w:rsidRPr="00074768">
        <w:rPr>
          <w:rFonts w:ascii="Times New Roman" w:eastAsia="TimesNewRomanPSMT" w:hAnsi="Times New Roman"/>
        </w:rPr>
        <w:t xml:space="preserve">gydytojui, kad </w:t>
      </w:r>
      <w:r w:rsidR="002E254B">
        <w:rPr>
          <w:rFonts w:ascii="Times New Roman" w:eastAsia="TimesNewRomanPSMT" w:hAnsi="Times New Roman"/>
        </w:rPr>
        <w:t>J</w:t>
      </w:r>
      <w:r w:rsidR="00A22F14" w:rsidRPr="002E254B">
        <w:rPr>
          <w:rFonts w:ascii="Times New Roman" w:eastAsia="TimesNewRomanPSMT" w:hAnsi="Times New Roman"/>
        </w:rPr>
        <w:t>ums taikomas gy</w:t>
      </w:r>
      <w:r w:rsidR="004B7C5B" w:rsidRPr="002E254B">
        <w:rPr>
          <w:rFonts w:ascii="Times New Roman" w:eastAsia="TimesNewRomanPSMT" w:hAnsi="Times New Roman"/>
        </w:rPr>
        <w:t>d</w:t>
      </w:r>
      <w:r w:rsidR="00A22F14" w:rsidRPr="002E254B">
        <w:rPr>
          <w:rFonts w:ascii="Times New Roman" w:eastAsia="TimesNewRomanPSMT" w:hAnsi="Times New Roman"/>
        </w:rPr>
        <w:t xml:space="preserve">ymas </w:t>
      </w:r>
      <w:proofErr w:type="spellStart"/>
      <w:r w:rsidR="00A22F14" w:rsidRPr="002E254B">
        <w:rPr>
          <w:rFonts w:ascii="Times New Roman" w:eastAsia="TimesNewRomanPSMT" w:hAnsi="Times New Roman"/>
        </w:rPr>
        <w:t>Cabazitaxel</w:t>
      </w:r>
      <w:proofErr w:type="spellEnd"/>
      <w:r w:rsidR="00A22F14" w:rsidRPr="002E254B">
        <w:rPr>
          <w:rFonts w:ascii="Times New Roman" w:eastAsia="TimesNewRomanPSMT" w:hAnsi="Times New Roman"/>
        </w:rPr>
        <w:t xml:space="preserve"> </w:t>
      </w:r>
      <w:proofErr w:type="spellStart"/>
      <w:r w:rsidR="00A22F14" w:rsidRPr="002E254B">
        <w:rPr>
          <w:rFonts w:ascii="Times New Roman" w:eastAsia="TimesNewRomanPSMT" w:hAnsi="Times New Roman"/>
        </w:rPr>
        <w:t>Sandoz</w:t>
      </w:r>
      <w:proofErr w:type="spellEnd"/>
      <w:r w:rsidRPr="002E254B">
        <w:rPr>
          <w:rFonts w:ascii="Times New Roman" w:eastAsia="TimesNewRomanPSMT" w:hAnsi="Times New Roman"/>
        </w:rPr>
        <w:t>.</w:t>
      </w:r>
    </w:p>
    <w:p w14:paraId="1661B97A" w14:textId="77777777" w:rsidR="00A22F14" w:rsidRPr="00074768" w:rsidRDefault="00A22F14" w:rsidP="00DA2B9B">
      <w:pPr>
        <w:spacing w:after="0" w:line="240" w:lineRule="auto"/>
        <w:rPr>
          <w:rFonts w:ascii="Times New Roman" w:hAnsi="Times New Roman"/>
          <w:b/>
          <w:bCs/>
        </w:rPr>
      </w:pPr>
    </w:p>
    <w:p w14:paraId="3E15457A" w14:textId="1C3F515D" w:rsidR="00DA2B9B" w:rsidRDefault="0085406C" w:rsidP="00DA2B9B">
      <w:pPr>
        <w:spacing w:after="0" w:line="240" w:lineRule="auto"/>
        <w:rPr>
          <w:rFonts w:ascii="Times New Roman" w:hAnsi="Times New Roman"/>
          <w:b/>
          <w:bCs/>
        </w:rPr>
      </w:pPr>
      <w:r>
        <w:rPr>
          <w:rFonts w:ascii="Times New Roman" w:hAnsi="Times New Roman"/>
          <w:b/>
          <w:bCs/>
        </w:rPr>
        <w:t>Neštumas, žindym</w:t>
      </w:r>
      <w:r w:rsidR="00A355D5">
        <w:rPr>
          <w:rFonts w:ascii="Times New Roman" w:hAnsi="Times New Roman"/>
          <w:b/>
          <w:bCs/>
        </w:rPr>
        <w:t>o laikotarpis</w:t>
      </w:r>
      <w:r>
        <w:rPr>
          <w:rFonts w:ascii="Times New Roman" w:hAnsi="Times New Roman"/>
          <w:b/>
          <w:bCs/>
        </w:rPr>
        <w:t xml:space="preserve"> ir v</w:t>
      </w:r>
      <w:r w:rsidR="00DA2B9B" w:rsidRPr="00074768">
        <w:rPr>
          <w:rFonts w:ascii="Times New Roman" w:hAnsi="Times New Roman"/>
          <w:b/>
          <w:bCs/>
        </w:rPr>
        <w:t>aisingumas</w:t>
      </w:r>
    </w:p>
    <w:p w14:paraId="51173016" w14:textId="77777777" w:rsidR="0085406C" w:rsidRDefault="0085406C" w:rsidP="00DA2B9B">
      <w:pPr>
        <w:spacing w:after="0" w:line="240" w:lineRule="auto"/>
        <w:rPr>
          <w:rFonts w:ascii="Times New Roman" w:hAnsi="Times New Roman"/>
          <w:b/>
          <w:bCs/>
        </w:rPr>
      </w:pPr>
    </w:p>
    <w:p w14:paraId="019CA2DF" w14:textId="73D9F667" w:rsidR="0085406C" w:rsidRPr="00A1477B" w:rsidRDefault="0085406C" w:rsidP="00006853">
      <w:pPr>
        <w:spacing w:after="0" w:line="240" w:lineRule="auto"/>
        <w:rPr>
          <w:rFonts w:ascii="Times New Roman" w:hAnsi="Times New Roman"/>
        </w:rPr>
      </w:pPr>
      <w:proofErr w:type="spellStart"/>
      <w:r w:rsidRPr="00A1477B">
        <w:rPr>
          <w:rFonts w:ascii="Times New Roman" w:hAnsi="Times New Roman"/>
        </w:rPr>
        <w:t>Cabazitaxel</w:t>
      </w:r>
      <w:proofErr w:type="spellEnd"/>
      <w:r w:rsidRPr="00A1477B">
        <w:rPr>
          <w:rFonts w:ascii="Times New Roman" w:hAnsi="Times New Roman"/>
        </w:rPr>
        <w:t xml:space="preserve"> </w:t>
      </w:r>
      <w:proofErr w:type="spellStart"/>
      <w:r w:rsidRPr="00A1477B">
        <w:rPr>
          <w:rFonts w:ascii="Times New Roman" w:hAnsi="Times New Roman"/>
        </w:rPr>
        <w:t>Sandoz</w:t>
      </w:r>
      <w:proofErr w:type="spellEnd"/>
      <w:r w:rsidRPr="00A1477B">
        <w:rPr>
          <w:rFonts w:ascii="Times New Roman" w:hAnsi="Times New Roman"/>
        </w:rPr>
        <w:t xml:space="preserve"> </w:t>
      </w:r>
      <w:r w:rsidR="00307A91" w:rsidRPr="00A1477B">
        <w:rPr>
          <w:rFonts w:ascii="Times New Roman" w:hAnsi="Times New Roman"/>
        </w:rPr>
        <w:t xml:space="preserve">nėra skirtas </w:t>
      </w:r>
      <w:r w:rsidRPr="00A1477B">
        <w:rPr>
          <w:rFonts w:ascii="Times New Roman" w:hAnsi="Times New Roman"/>
        </w:rPr>
        <w:t>vartoti moterims.</w:t>
      </w:r>
    </w:p>
    <w:p w14:paraId="6BB81FA7" w14:textId="77777777" w:rsidR="004200DB" w:rsidRPr="00074768" w:rsidRDefault="004200DB" w:rsidP="00DA2B9B">
      <w:pPr>
        <w:spacing w:after="0" w:line="240" w:lineRule="auto"/>
        <w:rPr>
          <w:rFonts w:ascii="Times New Roman" w:hAnsi="Times New Roman"/>
          <w:b/>
          <w:bCs/>
        </w:rPr>
      </w:pPr>
    </w:p>
    <w:p w14:paraId="11A342C1" w14:textId="4BBF5D85" w:rsidR="00A22F14" w:rsidRPr="00074768" w:rsidRDefault="00A22F14" w:rsidP="00A22F14">
      <w:pPr>
        <w:spacing w:after="0" w:line="240" w:lineRule="auto"/>
        <w:rPr>
          <w:rFonts w:ascii="Times New Roman" w:hAnsi="Times New Roman"/>
        </w:rPr>
      </w:pPr>
      <w:r w:rsidRPr="00074768">
        <w:rPr>
          <w:rFonts w:ascii="Times New Roman" w:hAnsi="Times New Roman"/>
        </w:rPr>
        <w:t xml:space="preserve">Jeigu Jūsų partnerė yra nėščia arba gali pastoti, lytinių santykių metu naudokite prezervatyvą. </w:t>
      </w:r>
      <w:proofErr w:type="spellStart"/>
      <w:r w:rsidRPr="00074768">
        <w:rPr>
          <w:rFonts w:ascii="Times New Roman" w:hAnsi="Times New Roman"/>
        </w:rPr>
        <w:t>Cabazitaxel</w:t>
      </w:r>
      <w:proofErr w:type="spellEnd"/>
      <w:r w:rsidRPr="00074768">
        <w:rPr>
          <w:rFonts w:ascii="Times New Roman" w:hAnsi="Times New Roman"/>
        </w:rPr>
        <w:t xml:space="preserve"> </w:t>
      </w:r>
      <w:proofErr w:type="spellStart"/>
      <w:r w:rsidRPr="00074768">
        <w:rPr>
          <w:rFonts w:ascii="Times New Roman" w:hAnsi="Times New Roman"/>
        </w:rPr>
        <w:t>Sandoz</w:t>
      </w:r>
      <w:proofErr w:type="spellEnd"/>
      <w:r w:rsidRPr="00074768">
        <w:rPr>
          <w:rFonts w:ascii="Times New Roman" w:hAnsi="Times New Roman"/>
        </w:rPr>
        <w:t xml:space="preserve"> gali būti Jūsų sėkloje ir gali paveikti vaisių. Gydymo metu ir </w:t>
      </w:r>
      <w:r w:rsidR="00E44966">
        <w:rPr>
          <w:rFonts w:ascii="Times New Roman" w:hAnsi="Times New Roman"/>
        </w:rPr>
        <w:t>4</w:t>
      </w:r>
      <w:r w:rsidR="00034FA9">
        <w:rPr>
          <w:rFonts w:ascii="Times New Roman" w:hAnsi="Times New Roman"/>
        </w:rPr>
        <w:t> </w:t>
      </w:r>
      <w:r w:rsidRPr="00074768">
        <w:rPr>
          <w:rFonts w:ascii="Times New Roman" w:hAnsi="Times New Roman"/>
        </w:rPr>
        <w:t xml:space="preserve">mėnesius po </w:t>
      </w:r>
      <w:r w:rsidR="004200DB">
        <w:rPr>
          <w:rFonts w:ascii="Times New Roman" w:hAnsi="Times New Roman"/>
        </w:rPr>
        <w:t>j</w:t>
      </w:r>
      <w:r w:rsidRPr="00074768">
        <w:rPr>
          <w:rFonts w:ascii="Times New Roman" w:hAnsi="Times New Roman"/>
        </w:rPr>
        <w:t>o rekomenduojama neapvaisinti partnerės, be to, rekomenduojama pasikonsultuoti dėl spermos konse</w:t>
      </w:r>
      <w:r w:rsidR="004B7C5B" w:rsidRPr="00074768">
        <w:rPr>
          <w:rFonts w:ascii="Times New Roman" w:hAnsi="Times New Roman"/>
        </w:rPr>
        <w:t>r</w:t>
      </w:r>
      <w:r w:rsidRPr="00074768">
        <w:rPr>
          <w:rFonts w:ascii="Times New Roman" w:hAnsi="Times New Roman"/>
        </w:rPr>
        <w:t xml:space="preserve">vavimo prieš gydymą, kadangi </w:t>
      </w:r>
      <w:proofErr w:type="spellStart"/>
      <w:r w:rsidRPr="00074768">
        <w:rPr>
          <w:rFonts w:ascii="Times New Roman" w:hAnsi="Times New Roman"/>
        </w:rPr>
        <w:t>Cabazitaxel</w:t>
      </w:r>
      <w:proofErr w:type="spellEnd"/>
      <w:r w:rsidRPr="00074768">
        <w:rPr>
          <w:rFonts w:ascii="Times New Roman" w:hAnsi="Times New Roman"/>
        </w:rPr>
        <w:t xml:space="preserve"> </w:t>
      </w:r>
      <w:proofErr w:type="spellStart"/>
      <w:r w:rsidRPr="00074768">
        <w:rPr>
          <w:rFonts w:ascii="Times New Roman" w:hAnsi="Times New Roman"/>
        </w:rPr>
        <w:t>Sandoz</w:t>
      </w:r>
      <w:proofErr w:type="spellEnd"/>
      <w:r w:rsidRPr="00074768">
        <w:rPr>
          <w:rFonts w:ascii="Times New Roman" w:hAnsi="Times New Roman"/>
        </w:rPr>
        <w:t xml:space="preserve"> gali keisti vyro vaisingumą.</w:t>
      </w:r>
    </w:p>
    <w:p w14:paraId="3F44ADF8" w14:textId="77777777" w:rsidR="00A22F14" w:rsidRPr="00074768" w:rsidRDefault="00A22F14" w:rsidP="00A22F14">
      <w:pPr>
        <w:spacing w:after="0" w:line="240" w:lineRule="auto"/>
        <w:rPr>
          <w:rFonts w:ascii="Times New Roman" w:hAnsi="Times New Roman"/>
          <w:b/>
          <w:bCs/>
        </w:rPr>
      </w:pPr>
    </w:p>
    <w:p w14:paraId="48D2E45A" w14:textId="77777777" w:rsidR="00A22F14" w:rsidRPr="00074768" w:rsidRDefault="00A22F14" w:rsidP="00A22F14">
      <w:pPr>
        <w:spacing w:after="0" w:line="240" w:lineRule="auto"/>
        <w:rPr>
          <w:rFonts w:ascii="Times New Roman" w:hAnsi="Times New Roman"/>
          <w:b/>
          <w:bCs/>
        </w:rPr>
      </w:pPr>
      <w:r w:rsidRPr="00074768">
        <w:rPr>
          <w:rFonts w:ascii="Times New Roman" w:hAnsi="Times New Roman"/>
          <w:b/>
          <w:bCs/>
        </w:rPr>
        <w:t>Vairavimas ir mechanizmų valdymas</w:t>
      </w:r>
    </w:p>
    <w:p w14:paraId="5D8F21B1" w14:textId="77777777" w:rsidR="00A22F14" w:rsidRPr="002E254B" w:rsidRDefault="00A22F14" w:rsidP="00A22F14">
      <w:pPr>
        <w:spacing w:after="0" w:line="240" w:lineRule="auto"/>
        <w:rPr>
          <w:rFonts w:ascii="Times New Roman" w:hAnsi="Times New Roman"/>
        </w:rPr>
      </w:pPr>
      <w:r w:rsidRPr="00074768">
        <w:rPr>
          <w:rFonts w:ascii="Times New Roman" w:hAnsi="Times New Roman"/>
        </w:rPr>
        <w:t xml:space="preserve">Gydymo šiuo vaistu metu Jūs galite </w:t>
      </w:r>
      <w:r w:rsidR="002E254B">
        <w:rPr>
          <w:rFonts w:ascii="Times New Roman" w:hAnsi="Times New Roman"/>
        </w:rPr>
        <w:t>j</w:t>
      </w:r>
      <w:r w:rsidRPr="002E254B">
        <w:rPr>
          <w:rFonts w:ascii="Times New Roman" w:hAnsi="Times New Roman"/>
        </w:rPr>
        <w:t>austi nuovargį ar svaigulį. Tokiu atveju nevairuokite ir nevaldykite jokių priemonių ar mechanizmų tol, kol nepasijusite geriau.</w:t>
      </w:r>
    </w:p>
    <w:p w14:paraId="570C6AB3" w14:textId="77777777" w:rsidR="00A22F14" w:rsidRPr="00074768" w:rsidRDefault="00A22F14" w:rsidP="00A22F14">
      <w:pPr>
        <w:spacing w:after="0" w:line="240" w:lineRule="auto"/>
        <w:rPr>
          <w:rFonts w:ascii="Times New Roman" w:hAnsi="Times New Roman"/>
          <w:b/>
          <w:bCs/>
        </w:rPr>
      </w:pPr>
    </w:p>
    <w:p w14:paraId="12664858" w14:textId="77777777" w:rsidR="00A22F14" w:rsidRPr="00074768" w:rsidRDefault="004A66B8" w:rsidP="00A22F14">
      <w:pPr>
        <w:spacing w:after="0" w:line="240" w:lineRule="auto"/>
        <w:rPr>
          <w:rFonts w:ascii="Times New Roman" w:hAnsi="Times New Roman"/>
          <w:b/>
          <w:bCs/>
        </w:rPr>
      </w:pPr>
      <w:proofErr w:type="spellStart"/>
      <w:r w:rsidRPr="00074768">
        <w:rPr>
          <w:rFonts w:ascii="Times New Roman" w:hAnsi="Times New Roman"/>
          <w:b/>
          <w:bCs/>
        </w:rPr>
        <w:t>Cabazitaxel</w:t>
      </w:r>
      <w:proofErr w:type="spellEnd"/>
      <w:r w:rsidRPr="00074768">
        <w:rPr>
          <w:rFonts w:ascii="Times New Roman" w:hAnsi="Times New Roman"/>
          <w:b/>
          <w:bCs/>
        </w:rPr>
        <w:t xml:space="preserve"> </w:t>
      </w:r>
      <w:proofErr w:type="spellStart"/>
      <w:r w:rsidRPr="00074768">
        <w:rPr>
          <w:rFonts w:ascii="Times New Roman" w:hAnsi="Times New Roman"/>
          <w:b/>
          <w:bCs/>
        </w:rPr>
        <w:t>Sandoz</w:t>
      </w:r>
      <w:proofErr w:type="spellEnd"/>
      <w:r w:rsidR="00A22F14" w:rsidRPr="00074768">
        <w:rPr>
          <w:rFonts w:ascii="Times New Roman" w:hAnsi="Times New Roman"/>
          <w:b/>
          <w:bCs/>
        </w:rPr>
        <w:t xml:space="preserve"> sudėtyje yra etanolio (alkoholio)</w:t>
      </w:r>
    </w:p>
    <w:p w14:paraId="78F22059" w14:textId="77777777" w:rsidR="004A66B8" w:rsidRPr="00074768" w:rsidRDefault="004A66B8" w:rsidP="004A66B8">
      <w:pPr>
        <w:spacing w:after="0" w:line="240" w:lineRule="auto"/>
        <w:rPr>
          <w:rFonts w:ascii="Times New Roman" w:hAnsi="Times New Roman"/>
          <w:i/>
        </w:rPr>
      </w:pPr>
    </w:p>
    <w:p w14:paraId="7BCFE200" w14:textId="77777777" w:rsidR="004A66B8" w:rsidRPr="00074768" w:rsidRDefault="004A66B8" w:rsidP="004A66B8">
      <w:pPr>
        <w:spacing w:after="0" w:line="240" w:lineRule="auto"/>
        <w:rPr>
          <w:rFonts w:ascii="Times New Roman" w:hAnsi="Times New Roman"/>
          <w:i/>
        </w:rPr>
      </w:pPr>
      <w:r w:rsidRPr="00074768">
        <w:rPr>
          <w:rFonts w:ascii="Times New Roman" w:hAnsi="Times New Roman"/>
          <w:i/>
        </w:rPr>
        <w:t>45 mg flakonai</w:t>
      </w:r>
    </w:p>
    <w:p w14:paraId="711E1AF3" w14:textId="1520DFE6" w:rsidR="004A66B8" w:rsidRPr="00074768" w:rsidRDefault="00A35C86" w:rsidP="004A66B8">
      <w:pPr>
        <w:spacing w:after="0" w:line="240" w:lineRule="auto"/>
        <w:rPr>
          <w:rFonts w:ascii="Times New Roman" w:hAnsi="Times New Roman"/>
        </w:rPr>
      </w:pPr>
      <w:r w:rsidRPr="00A35C86">
        <w:rPr>
          <w:rFonts w:ascii="Times New Roman" w:hAnsi="Times New Roman"/>
        </w:rPr>
        <w:lastRenderedPageBreak/>
        <w:t>Kiekviename šio vaisto flakone esančiuose 4,5</w:t>
      </w:r>
      <w:r w:rsidR="00324597">
        <w:rPr>
          <w:rFonts w:ascii="Times New Roman" w:hAnsi="Times New Roman"/>
        </w:rPr>
        <w:t> </w:t>
      </w:r>
      <w:r w:rsidRPr="00A35C86">
        <w:rPr>
          <w:rFonts w:ascii="Times New Roman" w:hAnsi="Times New Roman"/>
        </w:rPr>
        <w:t>ml koncentrato infuziniam tirpalui yra 891</w:t>
      </w:r>
      <w:r w:rsidR="00324597">
        <w:rPr>
          <w:rFonts w:ascii="Times New Roman" w:hAnsi="Times New Roman"/>
        </w:rPr>
        <w:t> </w:t>
      </w:r>
      <w:r w:rsidRPr="00A35C86">
        <w:rPr>
          <w:rFonts w:ascii="Times New Roman" w:hAnsi="Times New Roman"/>
        </w:rPr>
        <w:t>mg etanolio (alkoholio), kas atitinka 19,8</w:t>
      </w:r>
      <w:r w:rsidR="00324597">
        <w:rPr>
          <w:rFonts w:ascii="Times New Roman" w:hAnsi="Times New Roman"/>
        </w:rPr>
        <w:t> </w:t>
      </w:r>
      <w:r w:rsidRPr="00A35C86">
        <w:rPr>
          <w:rFonts w:ascii="Times New Roman" w:hAnsi="Times New Roman"/>
        </w:rPr>
        <w:t>% (m/V). Toks kiekviename šio vaist</w:t>
      </w:r>
      <w:r w:rsidR="004429DC">
        <w:rPr>
          <w:rFonts w:ascii="Times New Roman" w:hAnsi="Times New Roman"/>
        </w:rPr>
        <w:t>o</w:t>
      </w:r>
      <w:r w:rsidRPr="00A35C86">
        <w:rPr>
          <w:rFonts w:ascii="Times New Roman" w:hAnsi="Times New Roman"/>
        </w:rPr>
        <w:t xml:space="preserve"> flakone esantis alkoholio kiekis atitinka mažiau kaip 22</w:t>
      </w:r>
      <w:r w:rsidR="00324597">
        <w:rPr>
          <w:rFonts w:ascii="Times New Roman" w:hAnsi="Times New Roman"/>
        </w:rPr>
        <w:t> </w:t>
      </w:r>
      <w:r w:rsidRPr="00A35C86">
        <w:rPr>
          <w:rFonts w:ascii="Times New Roman" w:hAnsi="Times New Roman"/>
        </w:rPr>
        <w:t>ml alaus ar 9</w:t>
      </w:r>
      <w:r w:rsidR="00324597">
        <w:rPr>
          <w:rFonts w:ascii="Times New Roman" w:hAnsi="Times New Roman"/>
        </w:rPr>
        <w:t> </w:t>
      </w:r>
      <w:r w:rsidRPr="00A35C86">
        <w:rPr>
          <w:rFonts w:ascii="Times New Roman" w:hAnsi="Times New Roman"/>
        </w:rPr>
        <w:t>ml vyno.</w:t>
      </w:r>
    </w:p>
    <w:p w14:paraId="2AFCCD59" w14:textId="77777777" w:rsidR="004A66B8" w:rsidRPr="00074768" w:rsidRDefault="004A66B8" w:rsidP="004A66B8">
      <w:pPr>
        <w:spacing w:after="0" w:line="240" w:lineRule="auto"/>
        <w:rPr>
          <w:rFonts w:ascii="Times New Roman" w:hAnsi="Times New Roman"/>
        </w:rPr>
      </w:pPr>
    </w:p>
    <w:p w14:paraId="3F5E868E" w14:textId="77777777" w:rsidR="004A66B8" w:rsidRPr="00074768" w:rsidRDefault="004A66B8" w:rsidP="004A66B8">
      <w:pPr>
        <w:spacing w:after="0" w:line="240" w:lineRule="auto"/>
        <w:rPr>
          <w:rFonts w:ascii="Times New Roman" w:hAnsi="Times New Roman"/>
        </w:rPr>
      </w:pPr>
      <w:r w:rsidRPr="00074768">
        <w:rPr>
          <w:rFonts w:ascii="Times New Roman" w:hAnsi="Times New Roman"/>
        </w:rPr>
        <w:t>Mažas alkoholio kiekis šio vaisto sudėtyje nesukels jokio pastebimo poveikio.</w:t>
      </w:r>
    </w:p>
    <w:p w14:paraId="285CCA68" w14:textId="77777777" w:rsidR="004A66B8" w:rsidRPr="00074768" w:rsidRDefault="004A66B8" w:rsidP="004A66B8">
      <w:pPr>
        <w:spacing w:after="0" w:line="240" w:lineRule="auto"/>
        <w:rPr>
          <w:rFonts w:ascii="Times New Roman" w:hAnsi="Times New Roman"/>
        </w:rPr>
      </w:pPr>
    </w:p>
    <w:p w14:paraId="0ACDC2F0" w14:textId="77777777" w:rsidR="004A66B8" w:rsidRPr="00074768" w:rsidRDefault="004A66B8" w:rsidP="004A66B8">
      <w:pPr>
        <w:spacing w:after="0" w:line="240" w:lineRule="auto"/>
        <w:rPr>
          <w:rFonts w:ascii="Times New Roman" w:hAnsi="Times New Roman"/>
          <w:i/>
        </w:rPr>
      </w:pPr>
      <w:r w:rsidRPr="00074768">
        <w:rPr>
          <w:rFonts w:ascii="Times New Roman" w:hAnsi="Times New Roman"/>
          <w:i/>
        </w:rPr>
        <w:t>60 mg flakonai</w:t>
      </w:r>
    </w:p>
    <w:p w14:paraId="12BC2BC9" w14:textId="461B995C" w:rsidR="004A66B8" w:rsidRPr="00074768" w:rsidRDefault="0033242F" w:rsidP="004A66B8">
      <w:pPr>
        <w:spacing w:after="0" w:line="240" w:lineRule="auto"/>
        <w:rPr>
          <w:rFonts w:ascii="Times New Roman" w:hAnsi="Times New Roman"/>
        </w:rPr>
      </w:pPr>
      <w:r w:rsidRPr="0033242F">
        <w:rPr>
          <w:rFonts w:ascii="Times New Roman" w:hAnsi="Times New Roman"/>
        </w:rPr>
        <w:t>Kiekviename šio vaist</w:t>
      </w:r>
      <w:r w:rsidR="009F6DE6">
        <w:rPr>
          <w:rFonts w:ascii="Times New Roman" w:hAnsi="Times New Roman"/>
        </w:rPr>
        <w:t>o</w:t>
      </w:r>
      <w:r w:rsidRPr="0033242F">
        <w:rPr>
          <w:rFonts w:ascii="Times New Roman" w:hAnsi="Times New Roman"/>
        </w:rPr>
        <w:t xml:space="preserve"> flakone esančiuose 6</w:t>
      </w:r>
      <w:r w:rsidR="00324597">
        <w:rPr>
          <w:rFonts w:ascii="Times New Roman" w:hAnsi="Times New Roman"/>
        </w:rPr>
        <w:t> </w:t>
      </w:r>
      <w:r w:rsidRPr="0033242F">
        <w:rPr>
          <w:rFonts w:ascii="Times New Roman" w:hAnsi="Times New Roman"/>
        </w:rPr>
        <w:t>ml koncentrato infuziniam tirpalui yra 1188</w:t>
      </w:r>
      <w:r w:rsidR="00324597">
        <w:rPr>
          <w:rFonts w:ascii="Times New Roman" w:hAnsi="Times New Roman"/>
        </w:rPr>
        <w:t> </w:t>
      </w:r>
      <w:r w:rsidRPr="0033242F">
        <w:rPr>
          <w:rFonts w:ascii="Times New Roman" w:hAnsi="Times New Roman"/>
        </w:rPr>
        <w:t>mg etanolio (alkoholio), kas atitinka 19,8</w:t>
      </w:r>
      <w:r w:rsidR="00324597">
        <w:rPr>
          <w:rFonts w:ascii="Times New Roman" w:hAnsi="Times New Roman"/>
        </w:rPr>
        <w:t> </w:t>
      </w:r>
      <w:r w:rsidRPr="0033242F">
        <w:rPr>
          <w:rFonts w:ascii="Times New Roman" w:hAnsi="Times New Roman"/>
        </w:rPr>
        <w:t>% (m/V). Toks kiekviename šio vaist</w:t>
      </w:r>
      <w:r w:rsidR="009608DF">
        <w:rPr>
          <w:rFonts w:ascii="Times New Roman" w:hAnsi="Times New Roman"/>
        </w:rPr>
        <w:t>o</w:t>
      </w:r>
      <w:r w:rsidRPr="0033242F">
        <w:rPr>
          <w:rFonts w:ascii="Times New Roman" w:hAnsi="Times New Roman"/>
        </w:rPr>
        <w:t xml:space="preserve"> preparato flakone esantis alkoholio kiekis atitinka mažiau kaip 30</w:t>
      </w:r>
      <w:r w:rsidR="00324597">
        <w:rPr>
          <w:rFonts w:ascii="Times New Roman" w:hAnsi="Times New Roman"/>
        </w:rPr>
        <w:t> </w:t>
      </w:r>
      <w:r w:rsidRPr="0033242F">
        <w:rPr>
          <w:rFonts w:ascii="Times New Roman" w:hAnsi="Times New Roman"/>
        </w:rPr>
        <w:t>ml alaus ar 12</w:t>
      </w:r>
      <w:r w:rsidR="00324597">
        <w:rPr>
          <w:rFonts w:ascii="Times New Roman" w:hAnsi="Times New Roman"/>
        </w:rPr>
        <w:t> </w:t>
      </w:r>
      <w:r w:rsidRPr="0033242F">
        <w:rPr>
          <w:rFonts w:ascii="Times New Roman" w:hAnsi="Times New Roman"/>
        </w:rPr>
        <w:t>ml vyno</w:t>
      </w:r>
      <w:r>
        <w:rPr>
          <w:rFonts w:ascii="Times New Roman" w:hAnsi="Times New Roman"/>
        </w:rPr>
        <w:t>.</w:t>
      </w:r>
    </w:p>
    <w:p w14:paraId="57E87324" w14:textId="77777777" w:rsidR="004A66B8" w:rsidRPr="00074768" w:rsidRDefault="004A66B8" w:rsidP="004A66B8">
      <w:pPr>
        <w:spacing w:after="0" w:line="240" w:lineRule="auto"/>
        <w:rPr>
          <w:rFonts w:ascii="Times New Roman" w:hAnsi="Times New Roman"/>
          <w:b/>
          <w:bCs/>
        </w:rPr>
      </w:pPr>
    </w:p>
    <w:p w14:paraId="4C86C323" w14:textId="5263B8E5" w:rsidR="00B838EC" w:rsidRDefault="00392E8D" w:rsidP="00B838EC">
      <w:pPr>
        <w:spacing w:after="0" w:line="240" w:lineRule="auto"/>
        <w:rPr>
          <w:rFonts w:ascii="Times New Roman" w:hAnsi="Times New Roman"/>
          <w:iCs/>
        </w:rPr>
      </w:pPr>
      <w:r w:rsidRPr="00FA1ECE">
        <w:rPr>
          <w:rFonts w:ascii="Times New Roman" w:hAnsi="Times New Roman"/>
          <w:iCs/>
        </w:rPr>
        <w:t>Mažas alkoholio kiekis šio vaisto sudėtyje nesukels jokio pastebimo poveikio.</w:t>
      </w:r>
      <w:r w:rsidR="009608DF">
        <w:rPr>
          <w:rFonts w:ascii="Times New Roman" w:hAnsi="Times New Roman"/>
          <w:iCs/>
        </w:rPr>
        <w:t xml:space="preserve"> </w:t>
      </w:r>
      <w:r w:rsidR="00B838EC" w:rsidRPr="00F175BE">
        <w:rPr>
          <w:rFonts w:ascii="Times New Roman" w:hAnsi="Times New Roman"/>
          <w:iCs/>
        </w:rPr>
        <w:t>Jeigu esate priklausomas nuo alkoholio, sergate kepenų liga arba epilepsija, prieš pradėdami vartoti šį vaistą pasitarkite su gydytoju arba vaistininku.</w:t>
      </w:r>
    </w:p>
    <w:p w14:paraId="19EE8630" w14:textId="77777777" w:rsidR="004A66B8" w:rsidRPr="00074768" w:rsidRDefault="004A66B8" w:rsidP="004A66B8">
      <w:pPr>
        <w:spacing w:after="0" w:line="240" w:lineRule="auto"/>
        <w:rPr>
          <w:rFonts w:ascii="Times New Roman" w:hAnsi="Times New Roman"/>
          <w:b/>
          <w:bCs/>
        </w:rPr>
      </w:pPr>
    </w:p>
    <w:p w14:paraId="6E9E8F8A" w14:textId="77777777" w:rsidR="004A66B8" w:rsidRPr="00074768" w:rsidRDefault="004A66B8" w:rsidP="004A66B8">
      <w:pPr>
        <w:spacing w:after="0" w:line="240" w:lineRule="auto"/>
        <w:rPr>
          <w:rFonts w:ascii="Times New Roman" w:hAnsi="Times New Roman"/>
          <w:b/>
          <w:bCs/>
        </w:rPr>
      </w:pPr>
      <w:r w:rsidRPr="00074768">
        <w:rPr>
          <w:rFonts w:ascii="Times New Roman" w:hAnsi="Times New Roman"/>
        </w:rPr>
        <w:t>Alkoholio kiekis šio vaisto sudėtyje gali keisti kitų vaistų poveikį. Pasakykite savo gydytojui arba vaistininkui, kad vartojate kitų vaistų.</w:t>
      </w:r>
    </w:p>
    <w:p w14:paraId="5C83B0EA" w14:textId="77777777" w:rsidR="00DA2B9B" w:rsidRPr="00074768" w:rsidRDefault="00DA2B9B" w:rsidP="00267DDB">
      <w:pPr>
        <w:spacing w:after="0" w:line="240" w:lineRule="auto"/>
        <w:rPr>
          <w:rFonts w:ascii="Times New Roman" w:hAnsi="Times New Roman"/>
        </w:rPr>
      </w:pPr>
    </w:p>
    <w:p w14:paraId="4326F406" w14:textId="77777777" w:rsidR="00DA2B9B" w:rsidRPr="00074768" w:rsidRDefault="00DA2B9B" w:rsidP="00267DDB">
      <w:pPr>
        <w:spacing w:after="0" w:line="240" w:lineRule="auto"/>
        <w:rPr>
          <w:rFonts w:ascii="Times New Roman" w:hAnsi="Times New Roman"/>
        </w:rPr>
      </w:pPr>
    </w:p>
    <w:p w14:paraId="486C5D0D" w14:textId="77777777" w:rsidR="00F46993" w:rsidRPr="00074768" w:rsidRDefault="00F46993" w:rsidP="00F46993">
      <w:pPr>
        <w:spacing w:after="0" w:line="240" w:lineRule="auto"/>
        <w:ind w:left="567" w:hanging="567"/>
        <w:rPr>
          <w:rFonts w:ascii="Times New Roman" w:hAnsi="Times New Roman"/>
          <w:b/>
          <w:bCs/>
        </w:rPr>
      </w:pPr>
      <w:r w:rsidRPr="00074768">
        <w:rPr>
          <w:rFonts w:ascii="Times New Roman" w:hAnsi="Times New Roman"/>
          <w:b/>
          <w:bCs/>
        </w:rPr>
        <w:t>3.</w:t>
      </w:r>
      <w:r w:rsidRPr="00074768">
        <w:rPr>
          <w:rFonts w:ascii="Times New Roman" w:hAnsi="Times New Roman"/>
          <w:b/>
          <w:bCs/>
        </w:rPr>
        <w:tab/>
        <w:t xml:space="preserve">Kaip vartoti </w:t>
      </w:r>
      <w:proofErr w:type="spellStart"/>
      <w:r w:rsidRPr="00074768">
        <w:rPr>
          <w:rFonts w:ascii="Times New Roman" w:hAnsi="Times New Roman"/>
          <w:b/>
          <w:bCs/>
        </w:rPr>
        <w:t>Cabazitaxel</w:t>
      </w:r>
      <w:proofErr w:type="spellEnd"/>
      <w:r w:rsidRPr="00074768">
        <w:rPr>
          <w:rFonts w:ascii="Times New Roman" w:hAnsi="Times New Roman"/>
          <w:b/>
          <w:bCs/>
        </w:rPr>
        <w:t xml:space="preserve"> </w:t>
      </w:r>
      <w:proofErr w:type="spellStart"/>
      <w:r w:rsidRPr="00074768">
        <w:rPr>
          <w:rFonts w:ascii="Times New Roman" w:hAnsi="Times New Roman"/>
          <w:b/>
          <w:bCs/>
        </w:rPr>
        <w:t>Sandoz</w:t>
      </w:r>
      <w:proofErr w:type="spellEnd"/>
    </w:p>
    <w:p w14:paraId="003A9185" w14:textId="77777777" w:rsidR="00F46993" w:rsidRPr="00074768" w:rsidRDefault="00F46993" w:rsidP="00F46993">
      <w:pPr>
        <w:spacing w:after="0" w:line="240" w:lineRule="auto"/>
        <w:rPr>
          <w:rFonts w:ascii="Times New Roman" w:hAnsi="Times New Roman"/>
          <w:b/>
          <w:bCs/>
        </w:rPr>
      </w:pPr>
    </w:p>
    <w:p w14:paraId="61ED4DF7" w14:textId="77777777" w:rsidR="00F46993" w:rsidRPr="00074768" w:rsidRDefault="00F46993" w:rsidP="00F46993">
      <w:pPr>
        <w:spacing w:after="0" w:line="240" w:lineRule="auto"/>
        <w:rPr>
          <w:rFonts w:ascii="Times New Roman" w:hAnsi="Times New Roman"/>
          <w:b/>
          <w:bCs/>
        </w:rPr>
      </w:pPr>
      <w:r w:rsidRPr="00074768">
        <w:rPr>
          <w:rFonts w:ascii="Times New Roman" w:hAnsi="Times New Roman"/>
          <w:b/>
          <w:bCs/>
        </w:rPr>
        <w:t>Vartojimo instrukcijos</w:t>
      </w:r>
    </w:p>
    <w:p w14:paraId="67D4F4D7" w14:textId="77777777" w:rsidR="00F46993" w:rsidRPr="00074768" w:rsidRDefault="00F46993" w:rsidP="00F46993">
      <w:pPr>
        <w:spacing w:after="0" w:line="240" w:lineRule="auto"/>
        <w:rPr>
          <w:rFonts w:ascii="Times New Roman" w:hAnsi="Times New Roman"/>
        </w:rPr>
      </w:pPr>
    </w:p>
    <w:p w14:paraId="6FC1CAD9" w14:textId="77777777" w:rsidR="00F46993" w:rsidRPr="00074768" w:rsidRDefault="00F46993" w:rsidP="00F46993">
      <w:pPr>
        <w:spacing w:after="0" w:line="240" w:lineRule="auto"/>
        <w:rPr>
          <w:rFonts w:ascii="Times New Roman" w:hAnsi="Times New Roman"/>
        </w:rPr>
      </w:pPr>
      <w:r w:rsidRPr="00074768">
        <w:rPr>
          <w:rFonts w:ascii="Times New Roman" w:hAnsi="Times New Roman"/>
        </w:rPr>
        <w:t xml:space="preserve">Alerginių reakcijų rizikai sumažinti prieš </w:t>
      </w:r>
      <w:proofErr w:type="spellStart"/>
      <w:r w:rsidRPr="00074768">
        <w:rPr>
          <w:rFonts w:ascii="Times New Roman" w:hAnsi="Times New Roman"/>
        </w:rPr>
        <w:t>Cabazitaxel</w:t>
      </w:r>
      <w:proofErr w:type="spellEnd"/>
      <w:r w:rsidRPr="00074768">
        <w:rPr>
          <w:rFonts w:ascii="Times New Roman" w:hAnsi="Times New Roman"/>
        </w:rPr>
        <w:t xml:space="preserve"> </w:t>
      </w:r>
      <w:proofErr w:type="spellStart"/>
      <w:r w:rsidRPr="00074768">
        <w:rPr>
          <w:rFonts w:ascii="Times New Roman" w:hAnsi="Times New Roman"/>
        </w:rPr>
        <w:t>Sandoz</w:t>
      </w:r>
      <w:proofErr w:type="spellEnd"/>
      <w:r w:rsidRPr="00074768">
        <w:rPr>
          <w:rFonts w:ascii="Times New Roman" w:hAnsi="Times New Roman"/>
        </w:rPr>
        <w:t xml:space="preserve"> vartojimą Jums bus skirta vaistų nuo alergijos.</w:t>
      </w:r>
    </w:p>
    <w:p w14:paraId="788FD280" w14:textId="77777777" w:rsidR="00F46993" w:rsidRPr="0085406C" w:rsidRDefault="00F46993" w:rsidP="008A75C3">
      <w:pPr>
        <w:pStyle w:val="Sraopastraipa"/>
        <w:numPr>
          <w:ilvl w:val="0"/>
          <w:numId w:val="8"/>
        </w:numPr>
        <w:spacing w:line="240" w:lineRule="auto"/>
        <w:ind w:left="567" w:hanging="567"/>
        <w:rPr>
          <w:rFonts w:eastAsia="TimesNewRomanPSMT"/>
          <w:szCs w:val="22"/>
          <w:lang w:val="lt-LT"/>
        </w:rPr>
      </w:pPr>
      <w:proofErr w:type="spellStart"/>
      <w:r w:rsidRPr="0085406C">
        <w:rPr>
          <w:szCs w:val="22"/>
          <w:lang w:val="lt-LT"/>
        </w:rPr>
        <w:t>Cabazitaxel</w:t>
      </w:r>
      <w:proofErr w:type="spellEnd"/>
      <w:r w:rsidRPr="0085406C">
        <w:rPr>
          <w:szCs w:val="22"/>
          <w:lang w:val="lt-LT"/>
        </w:rPr>
        <w:t xml:space="preserve"> </w:t>
      </w:r>
      <w:proofErr w:type="spellStart"/>
      <w:r w:rsidRPr="0085406C">
        <w:rPr>
          <w:szCs w:val="22"/>
          <w:lang w:val="lt-LT"/>
        </w:rPr>
        <w:t>Sandoz</w:t>
      </w:r>
      <w:proofErr w:type="spellEnd"/>
      <w:r w:rsidRPr="0085406C">
        <w:rPr>
          <w:rFonts w:eastAsia="TimesNewRomanPSMT"/>
          <w:szCs w:val="22"/>
          <w:lang w:val="lt-LT"/>
        </w:rPr>
        <w:t xml:space="preserve"> Jums sulašins gydytojas arba slaugytoja.</w:t>
      </w:r>
    </w:p>
    <w:p w14:paraId="408B7974" w14:textId="77777777" w:rsidR="00F46993" w:rsidRPr="00037DA8" w:rsidRDefault="00F46993" w:rsidP="008A75C3">
      <w:pPr>
        <w:pStyle w:val="Sraopastraipa"/>
        <w:numPr>
          <w:ilvl w:val="0"/>
          <w:numId w:val="8"/>
        </w:numPr>
        <w:spacing w:line="240" w:lineRule="auto"/>
        <w:ind w:left="567" w:hanging="567"/>
        <w:rPr>
          <w:rFonts w:eastAsia="TimesNewRomanPSMT"/>
          <w:szCs w:val="22"/>
          <w:lang w:val="lt-LT"/>
        </w:rPr>
      </w:pPr>
      <w:proofErr w:type="spellStart"/>
      <w:r w:rsidRPr="004200DB">
        <w:rPr>
          <w:szCs w:val="22"/>
          <w:lang w:val="lt-LT"/>
        </w:rPr>
        <w:t>Cabazitaxel</w:t>
      </w:r>
      <w:proofErr w:type="spellEnd"/>
      <w:r w:rsidRPr="004200DB">
        <w:rPr>
          <w:szCs w:val="22"/>
          <w:lang w:val="lt-LT"/>
        </w:rPr>
        <w:t xml:space="preserve"> </w:t>
      </w:r>
      <w:proofErr w:type="spellStart"/>
      <w:r w:rsidRPr="004200DB">
        <w:rPr>
          <w:szCs w:val="22"/>
          <w:lang w:val="lt-LT"/>
        </w:rPr>
        <w:t>Sandoz</w:t>
      </w:r>
      <w:proofErr w:type="spellEnd"/>
      <w:r w:rsidRPr="004200DB">
        <w:rPr>
          <w:rFonts w:eastAsia="TimesNewRomanPSMT"/>
          <w:szCs w:val="22"/>
          <w:lang w:val="lt-LT"/>
        </w:rPr>
        <w:t xml:space="preserve"> prieš vartojimą būtina paruošti (praskiesti). Šiame lapelyje pateikta gydytojams, slaugytojams ir vaistininkams skirtos praktinės informacijos apie </w:t>
      </w:r>
      <w:proofErr w:type="spellStart"/>
      <w:r w:rsidRPr="004200DB">
        <w:rPr>
          <w:szCs w:val="22"/>
          <w:lang w:val="lt-LT"/>
        </w:rPr>
        <w:t>Cabazitaxel</w:t>
      </w:r>
      <w:proofErr w:type="spellEnd"/>
      <w:r w:rsidRPr="00037DA8">
        <w:rPr>
          <w:szCs w:val="22"/>
          <w:lang w:val="lt-LT"/>
        </w:rPr>
        <w:t xml:space="preserve"> </w:t>
      </w:r>
      <w:proofErr w:type="spellStart"/>
      <w:r w:rsidRPr="00037DA8">
        <w:rPr>
          <w:szCs w:val="22"/>
          <w:lang w:val="lt-LT"/>
        </w:rPr>
        <w:t>Sandoz</w:t>
      </w:r>
      <w:proofErr w:type="spellEnd"/>
      <w:r w:rsidRPr="00037DA8">
        <w:rPr>
          <w:rFonts w:eastAsia="TimesNewRomanPSMT"/>
          <w:szCs w:val="22"/>
          <w:lang w:val="lt-LT"/>
        </w:rPr>
        <w:t xml:space="preserve"> paruošimą ir vartojimą.</w:t>
      </w:r>
    </w:p>
    <w:p w14:paraId="41BF21D8" w14:textId="570FB559" w:rsidR="00F46993" w:rsidRPr="00037DA8" w:rsidRDefault="00F46993" w:rsidP="008A75C3">
      <w:pPr>
        <w:pStyle w:val="Sraopastraipa"/>
        <w:numPr>
          <w:ilvl w:val="0"/>
          <w:numId w:val="8"/>
        </w:numPr>
        <w:spacing w:line="240" w:lineRule="auto"/>
        <w:ind w:left="567" w:hanging="567"/>
        <w:rPr>
          <w:rFonts w:eastAsia="TimesNewRomanPSMT"/>
          <w:szCs w:val="22"/>
          <w:lang w:val="lt-LT"/>
        </w:rPr>
      </w:pPr>
      <w:proofErr w:type="spellStart"/>
      <w:r w:rsidRPr="00037DA8">
        <w:rPr>
          <w:szCs w:val="22"/>
          <w:lang w:val="lt-LT"/>
        </w:rPr>
        <w:t>Cabazitaxel</w:t>
      </w:r>
      <w:proofErr w:type="spellEnd"/>
      <w:r w:rsidRPr="00037DA8">
        <w:rPr>
          <w:szCs w:val="22"/>
          <w:lang w:val="lt-LT"/>
        </w:rPr>
        <w:t xml:space="preserve"> </w:t>
      </w:r>
      <w:proofErr w:type="spellStart"/>
      <w:r w:rsidRPr="00037DA8">
        <w:rPr>
          <w:szCs w:val="22"/>
          <w:lang w:val="lt-LT"/>
        </w:rPr>
        <w:t>Sandoz</w:t>
      </w:r>
      <w:proofErr w:type="spellEnd"/>
      <w:r w:rsidRPr="00037DA8">
        <w:rPr>
          <w:rFonts w:eastAsia="TimesNewRomanPSMT"/>
          <w:szCs w:val="22"/>
          <w:lang w:val="lt-LT"/>
        </w:rPr>
        <w:t xml:space="preserve"> Jums ligoninėje bus sulašin</w:t>
      </w:r>
      <w:r w:rsidR="00384D93">
        <w:rPr>
          <w:rFonts w:eastAsia="TimesNewRomanPSMT"/>
          <w:szCs w:val="22"/>
          <w:lang w:val="lt-LT"/>
        </w:rPr>
        <w:t>t</w:t>
      </w:r>
      <w:r w:rsidRPr="00037DA8">
        <w:rPr>
          <w:rFonts w:eastAsia="TimesNewRomanPSMT"/>
          <w:szCs w:val="22"/>
          <w:lang w:val="lt-LT"/>
        </w:rPr>
        <w:t>a (</w:t>
      </w:r>
      <w:proofErr w:type="spellStart"/>
      <w:r w:rsidRPr="00037DA8">
        <w:rPr>
          <w:rFonts w:eastAsia="TimesNewRomanPSMT"/>
          <w:szCs w:val="22"/>
          <w:lang w:val="lt-LT"/>
        </w:rPr>
        <w:t>infuzuojama</w:t>
      </w:r>
      <w:proofErr w:type="spellEnd"/>
      <w:r w:rsidRPr="00037DA8">
        <w:rPr>
          <w:rFonts w:eastAsia="TimesNewRomanPSMT"/>
          <w:szCs w:val="22"/>
          <w:lang w:val="lt-LT"/>
        </w:rPr>
        <w:t>) į vieną iš venų maždaug per valandą.</w:t>
      </w:r>
    </w:p>
    <w:p w14:paraId="5C8238FA" w14:textId="77777777" w:rsidR="00F46993" w:rsidRPr="00037DA8" w:rsidRDefault="00F46993" w:rsidP="008A75C3">
      <w:pPr>
        <w:pStyle w:val="Sraopastraipa"/>
        <w:numPr>
          <w:ilvl w:val="1"/>
          <w:numId w:val="8"/>
        </w:numPr>
        <w:spacing w:line="240" w:lineRule="auto"/>
        <w:ind w:left="567" w:hanging="567"/>
        <w:rPr>
          <w:rFonts w:eastAsia="TimesNewRomanPSMT"/>
          <w:szCs w:val="22"/>
          <w:lang w:val="lt-LT"/>
        </w:rPr>
      </w:pPr>
      <w:r w:rsidRPr="00037DA8">
        <w:rPr>
          <w:rFonts w:eastAsia="TimesNewRomanPSMT"/>
          <w:szCs w:val="22"/>
          <w:lang w:val="lt-LT"/>
        </w:rPr>
        <w:t>Be to, gydymo metu kasdien gersite kortikosteroidų grupės vaisto (prednizono ar prednizolono).</w:t>
      </w:r>
    </w:p>
    <w:p w14:paraId="0AD0C30A" w14:textId="77777777" w:rsidR="00F46993" w:rsidRPr="00074768" w:rsidRDefault="00F46993" w:rsidP="00F46993">
      <w:pPr>
        <w:spacing w:after="0" w:line="240" w:lineRule="auto"/>
        <w:rPr>
          <w:rFonts w:ascii="Times New Roman" w:hAnsi="Times New Roman"/>
          <w:b/>
          <w:bCs/>
        </w:rPr>
      </w:pPr>
    </w:p>
    <w:p w14:paraId="05D6FF8C" w14:textId="77777777" w:rsidR="00F46993" w:rsidRPr="00074768" w:rsidRDefault="00F46993" w:rsidP="00F46993">
      <w:pPr>
        <w:spacing w:after="0" w:line="240" w:lineRule="auto"/>
        <w:rPr>
          <w:rFonts w:ascii="Times New Roman" w:hAnsi="Times New Roman"/>
          <w:b/>
          <w:bCs/>
        </w:rPr>
      </w:pPr>
      <w:r w:rsidRPr="00074768">
        <w:rPr>
          <w:rFonts w:ascii="Times New Roman" w:hAnsi="Times New Roman"/>
          <w:b/>
          <w:bCs/>
        </w:rPr>
        <w:t>Kiek ir kaip dažnai vaisto bus vartojama</w:t>
      </w:r>
    </w:p>
    <w:p w14:paraId="24165815" w14:textId="77777777" w:rsidR="00F46993" w:rsidRPr="0085406C" w:rsidRDefault="00F46993" w:rsidP="00037DA8">
      <w:pPr>
        <w:pStyle w:val="Sraopastraipa"/>
        <w:numPr>
          <w:ilvl w:val="0"/>
          <w:numId w:val="9"/>
        </w:numPr>
        <w:spacing w:line="240" w:lineRule="auto"/>
        <w:ind w:left="567" w:hanging="567"/>
        <w:rPr>
          <w:rFonts w:eastAsia="TimesNewRomanPSMT"/>
          <w:szCs w:val="22"/>
          <w:lang w:val="lt-LT"/>
        </w:rPr>
      </w:pPr>
      <w:r w:rsidRPr="0085406C">
        <w:rPr>
          <w:rFonts w:eastAsia="TimesNewRomanPSMT"/>
          <w:szCs w:val="22"/>
          <w:lang w:val="lt-LT"/>
        </w:rPr>
        <w:t>Įprasta dozė priklauso nuo Jūsų kūno paviršiaus ploto. Gydytojas apskaičiuos Jūsų kūno paviršiaus plotą kvadratiniais metrais (m²) ir nuspręs, kokios dozės Jums reikia.</w:t>
      </w:r>
    </w:p>
    <w:p w14:paraId="083DD647" w14:textId="616A2DF2" w:rsidR="00F46993" w:rsidRPr="004200DB" w:rsidRDefault="00F46993" w:rsidP="002E254B">
      <w:pPr>
        <w:pStyle w:val="Sraopastraipa"/>
        <w:numPr>
          <w:ilvl w:val="1"/>
          <w:numId w:val="9"/>
        </w:numPr>
        <w:spacing w:line="240" w:lineRule="auto"/>
        <w:ind w:left="567" w:hanging="567"/>
        <w:rPr>
          <w:rFonts w:eastAsia="TimesNewRomanPSMT"/>
          <w:szCs w:val="22"/>
          <w:lang w:val="lt-LT"/>
        </w:rPr>
      </w:pPr>
      <w:r w:rsidRPr="004200DB">
        <w:rPr>
          <w:rFonts w:eastAsia="TimesNewRomanPSMT"/>
          <w:szCs w:val="22"/>
          <w:lang w:val="lt-LT"/>
        </w:rPr>
        <w:t>Paprastai Jums bus atliekama viena infuzija</w:t>
      </w:r>
      <w:r w:rsidR="00525843" w:rsidRPr="004200DB">
        <w:rPr>
          <w:rFonts w:eastAsia="TimesNewRomanPSMT"/>
          <w:szCs w:val="22"/>
          <w:lang w:val="lt-LT"/>
        </w:rPr>
        <w:t xml:space="preserve"> kas 3</w:t>
      </w:r>
      <w:r w:rsidR="00324597">
        <w:rPr>
          <w:rFonts w:eastAsia="TimesNewRomanPSMT"/>
          <w:szCs w:val="22"/>
          <w:lang w:val="lt-LT"/>
        </w:rPr>
        <w:t> </w:t>
      </w:r>
      <w:r w:rsidR="00525843" w:rsidRPr="004200DB">
        <w:rPr>
          <w:rFonts w:eastAsia="TimesNewRomanPSMT"/>
          <w:szCs w:val="22"/>
          <w:lang w:val="lt-LT"/>
        </w:rPr>
        <w:t>savaites</w:t>
      </w:r>
      <w:r w:rsidRPr="004200DB">
        <w:rPr>
          <w:rFonts w:eastAsia="TimesNewRomanPSMT"/>
          <w:szCs w:val="22"/>
          <w:lang w:val="lt-LT"/>
        </w:rPr>
        <w:t>.</w:t>
      </w:r>
    </w:p>
    <w:p w14:paraId="4752218F" w14:textId="77777777" w:rsidR="00525843" w:rsidRPr="00074768" w:rsidRDefault="00525843" w:rsidP="00F46993">
      <w:pPr>
        <w:spacing w:after="0" w:line="240" w:lineRule="auto"/>
        <w:rPr>
          <w:rFonts w:ascii="Times New Roman" w:hAnsi="Times New Roman"/>
        </w:rPr>
      </w:pPr>
    </w:p>
    <w:p w14:paraId="34DE3488" w14:textId="77777777" w:rsidR="00F46993" w:rsidRPr="00074768" w:rsidRDefault="00F46993" w:rsidP="00F46993">
      <w:pPr>
        <w:spacing w:after="0" w:line="240" w:lineRule="auto"/>
        <w:rPr>
          <w:rFonts w:ascii="Times New Roman" w:hAnsi="Times New Roman"/>
        </w:rPr>
      </w:pPr>
      <w:r w:rsidRPr="00074768">
        <w:rPr>
          <w:rFonts w:ascii="Times New Roman" w:hAnsi="Times New Roman"/>
        </w:rPr>
        <w:t>Jeigu kiltų daugiau klausimų dėl šio vaisto vartojimo, kreipkitės į gydytoją, vaistininką arba</w:t>
      </w:r>
      <w:r w:rsidR="00525843" w:rsidRPr="00074768">
        <w:rPr>
          <w:rFonts w:ascii="Times New Roman" w:hAnsi="Times New Roman"/>
        </w:rPr>
        <w:t xml:space="preserve"> </w:t>
      </w:r>
      <w:r w:rsidRPr="00074768">
        <w:rPr>
          <w:rFonts w:ascii="Times New Roman" w:hAnsi="Times New Roman"/>
        </w:rPr>
        <w:t>slaugytoją.</w:t>
      </w:r>
    </w:p>
    <w:p w14:paraId="4B92071E" w14:textId="77777777" w:rsidR="00525843" w:rsidRPr="00074768" w:rsidRDefault="00525843" w:rsidP="00F46993">
      <w:pPr>
        <w:spacing w:after="0" w:line="240" w:lineRule="auto"/>
        <w:rPr>
          <w:rFonts w:ascii="Times New Roman" w:hAnsi="Times New Roman"/>
        </w:rPr>
      </w:pPr>
    </w:p>
    <w:p w14:paraId="3C27EF34" w14:textId="77777777" w:rsidR="00525843" w:rsidRPr="00074768" w:rsidRDefault="00525843" w:rsidP="00F46993">
      <w:pPr>
        <w:spacing w:after="0" w:line="240" w:lineRule="auto"/>
        <w:rPr>
          <w:rFonts w:ascii="Times New Roman" w:hAnsi="Times New Roman"/>
        </w:rPr>
      </w:pPr>
    </w:p>
    <w:p w14:paraId="6310678B" w14:textId="77777777" w:rsidR="00F46993" w:rsidRPr="00074768" w:rsidRDefault="00F46993" w:rsidP="00525843">
      <w:pPr>
        <w:spacing w:after="0" w:line="240" w:lineRule="auto"/>
        <w:ind w:left="567" w:hanging="567"/>
        <w:rPr>
          <w:rFonts w:ascii="Times New Roman" w:hAnsi="Times New Roman"/>
          <w:b/>
          <w:bCs/>
        </w:rPr>
      </w:pPr>
      <w:r w:rsidRPr="00074768">
        <w:rPr>
          <w:rFonts w:ascii="Times New Roman" w:hAnsi="Times New Roman"/>
          <w:b/>
          <w:bCs/>
        </w:rPr>
        <w:t>4.</w:t>
      </w:r>
      <w:r w:rsidR="00525843" w:rsidRPr="00074768">
        <w:rPr>
          <w:rFonts w:ascii="Times New Roman" w:hAnsi="Times New Roman"/>
          <w:b/>
          <w:bCs/>
        </w:rPr>
        <w:tab/>
      </w:r>
      <w:r w:rsidRPr="00074768">
        <w:rPr>
          <w:rFonts w:ascii="Times New Roman" w:hAnsi="Times New Roman"/>
          <w:b/>
          <w:bCs/>
        </w:rPr>
        <w:t>Galimas šalutinis poveikis</w:t>
      </w:r>
    </w:p>
    <w:p w14:paraId="07612E8B" w14:textId="77777777" w:rsidR="00525843" w:rsidRPr="00074768" w:rsidRDefault="00525843" w:rsidP="00F46993">
      <w:pPr>
        <w:spacing w:after="0" w:line="240" w:lineRule="auto"/>
        <w:rPr>
          <w:rFonts w:ascii="Times New Roman" w:hAnsi="Times New Roman"/>
        </w:rPr>
      </w:pPr>
    </w:p>
    <w:p w14:paraId="36434551" w14:textId="41717AB9" w:rsidR="00F46993" w:rsidRPr="00074768" w:rsidRDefault="00F46993" w:rsidP="00F46993">
      <w:pPr>
        <w:spacing w:after="0" w:line="240" w:lineRule="auto"/>
        <w:rPr>
          <w:rFonts w:ascii="Times New Roman" w:hAnsi="Times New Roman"/>
        </w:rPr>
      </w:pPr>
      <w:r w:rsidRPr="00074768">
        <w:rPr>
          <w:rFonts w:ascii="Times New Roman" w:hAnsi="Times New Roman"/>
        </w:rPr>
        <w:t>Šis vaistas, kaip ir</w:t>
      </w:r>
      <w:r w:rsidR="008B10A5">
        <w:rPr>
          <w:rFonts w:ascii="Times New Roman" w:hAnsi="Times New Roman"/>
        </w:rPr>
        <w:t xml:space="preserve"> visi</w:t>
      </w:r>
      <w:r w:rsidRPr="00074768">
        <w:rPr>
          <w:rFonts w:ascii="Times New Roman" w:hAnsi="Times New Roman"/>
        </w:rPr>
        <w:t xml:space="preserve"> kiti, gali sukelti šalutinį poveikį, nors jis pasireiškia ne visiems žmonėms.</w:t>
      </w:r>
    </w:p>
    <w:p w14:paraId="4DC6FE74" w14:textId="77777777" w:rsidR="00F46993" w:rsidRPr="00074768" w:rsidRDefault="00F46993" w:rsidP="00F46993">
      <w:pPr>
        <w:spacing w:after="0" w:line="240" w:lineRule="auto"/>
        <w:rPr>
          <w:rFonts w:ascii="Times New Roman" w:hAnsi="Times New Roman"/>
        </w:rPr>
      </w:pPr>
      <w:r w:rsidRPr="00074768">
        <w:rPr>
          <w:rFonts w:ascii="Times New Roman" w:hAnsi="Times New Roman"/>
        </w:rPr>
        <w:t>Gydytojas aptars su Jumis galimą šalutinį poveikį ir paaiškins galimą gydymo riziką ir naudą.</w:t>
      </w:r>
    </w:p>
    <w:p w14:paraId="661C93A9" w14:textId="77777777" w:rsidR="00FD6796" w:rsidRPr="00074768" w:rsidRDefault="00FD6796" w:rsidP="00F46993">
      <w:pPr>
        <w:spacing w:after="0" w:line="240" w:lineRule="auto"/>
        <w:rPr>
          <w:rFonts w:ascii="Times New Roman" w:hAnsi="Times New Roman"/>
          <w:b/>
          <w:bCs/>
        </w:rPr>
      </w:pPr>
    </w:p>
    <w:p w14:paraId="7159AD55" w14:textId="302A339E" w:rsidR="00DA2B9B" w:rsidRPr="00074768" w:rsidRDefault="00F46993" w:rsidP="00F46993">
      <w:pPr>
        <w:spacing w:after="0" w:line="240" w:lineRule="auto"/>
        <w:rPr>
          <w:rFonts w:ascii="Times New Roman" w:hAnsi="Times New Roman"/>
        </w:rPr>
      </w:pPr>
      <w:r w:rsidRPr="00074768">
        <w:rPr>
          <w:rFonts w:ascii="Times New Roman" w:hAnsi="Times New Roman"/>
          <w:b/>
          <w:bCs/>
        </w:rPr>
        <w:t>Jei</w:t>
      </w:r>
      <w:r w:rsidR="00FD6796" w:rsidRPr="00074768">
        <w:rPr>
          <w:rFonts w:ascii="Times New Roman" w:hAnsi="Times New Roman"/>
          <w:b/>
          <w:bCs/>
        </w:rPr>
        <w:t>gu</w:t>
      </w:r>
      <w:r w:rsidRPr="00074768">
        <w:rPr>
          <w:rFonts w:ascii="Times New Roman" w:hAnsi="Times New Roman"/>
          <w:b/>
          <w:bCs/>
        </w:rPr>
        <w:t xml:space="preserve"> pasireiš</w:t>
      </w:r>
      <w:r w:rsidR="00E33EC5">
        <w:rPr>
          <w:rFonts w:ascii="Times New Roman" w:hAnsi="Times New Roman"/>
          <w:b/>
          <w:bCs/>
        </w:rPr>
        <w:t>kia</w:t>
      </w:r>
      <w:r w:rsidRPr="00074768">
        <w:rPr>
          <w:rFonts w:ascii="Times New Roman" w:hAnsi="Times New Roman"/>
          <w:b/>
          <w:bCs/>
        </w:rPr>
        <w:t xml:space="preserve"> bet kuris iš toliau išvard</w:t>
      </w:r>
      <w:r w:rsidR="00112DD9">
        <w:rPr>
          <w:rFonts w:ascii="Times New Roman" w:hAnsi="Times New Roman"/>
          <w:b/>
          <w:bCs/>
        </w:rPr>
        <w:t>y</w:t>
      </w:r>
      <w:r w:rsidRPr="00074768">
        <w:rPr>
          <w:rFonts w:ascii="Times New Roman" w:hAnsi="Times New Roman"/>
          <w:b/>
          <w:bCs/>
        </w:rPr>
        <w:t>tų šalutini</w:t>
      </w:r>
      <w:r w:rsidR="00FD6796" w:rsidRPr="00074768">
        <w:rPr>
          <w:rFonts w:ascii="Times New Roman" w:hAnsi="Times New Roman"/>
          <w:b/>
          <w:bCs/>
        </w:rPr>
        <w:t>o</w:t>
      </w:r>
      <w:r w:rsidRPr="00074768">
        <w:rPr>
          <w:rFonts w:ascii="Times New Roman" w:hAnsi="Times New Roman"/>
          <w:b/>
          <w:bCs/>
        </w:rPr>
        <w:t xml:space="preserve"> poveiki</w:t>
      </w:r>
      <w:r w:rsidR="00FD6796" w:rsidRPr="00074768">
        <w:rPr>
          <w:rFonts w:ascii="Times New Roman" w:hAnsi="Times New Roman"/>
          <w:b/>
          <w:bCs/>
        </w:rPr>
        <w:t>o atvejų</w:t>
      </w:r>
      <w:r w:rsidRPr="00074768">
        <w:rPr>
          <w:rFonts w:ascii="Times New Roman" w:hAnsi="Times New Roman"/>
          <w:b/>
          <w:bCs/>
        </w:rPr>
        <w:t>, nedels</w:t>
      </w:r>
      <w:r w:rsidR="008B10A5">
        <w:rPr>
          <w:rFonts w:ascii="Times New Roman" w:hAnsi="Times New Roman"/>
          <w:b/>
          <w:bCs/>
        </w:rPr>
        <w:t>dami</w:t>
      </w:r>
      <w:r w:rsidRPr="00074768">
        <w:rPr>
          <w:rFonts w:ascii="Times New Roman" w:hAnsi="Times New Roman"/>
          <w:b/>
          <w:bCs/>
        </w:rPr>
        <w:t xml:space="preserve"> kreipkitės į</w:t>
      </w:r>
      <w:r w:rsidR="00FD6796" w:rsidRPr="00074768">
        <w:rPr>
          <w:rFonts w:ascii="Times New Roman" w:hAnsi="Times New Roman"/>
          <w:b/>
          <w:bCs/>
        </w:rPr>
        <w:t xml:space="preserve"> </w:t>
      </w:r>
      <w:r w:rsidRPr="00074768">
        <w:rPr>
          <w:rFonts w:ascii="Times New Roman" w:hAnsi="Times New Roman"/>
          <w:b/>
          <w:bCs/>
        </w:rPr>
        <w:t>gydytoją.</w:t>
      </w:r>
    </w:p>
    <w:p w14:paraId="185B8826" w14:textId="77777777" w:rsidR="00DA2B9B" w:rsidRPr="00074768" w:rsidRDefault="00DA2B9B" w:rsidP="00267DDB">
      <w:pPr>
        <w:spacing w:after="0" w:line="240" w:lineRule="auto"/>
        <w:rPr>
          <w:rFonts w:ascii="Times New Roman" w:hAnsi="Times New Roman"/>
        </w:rPr>
      </w:pPr>
    </w:p>
    <w:p w14:paraId="0A82CD6F" w14:textId="64AA7FD2" w:rsidR="00FD6796" w:rsidRPr="004200DB" w:rsidRDefault="00FD6796" w:rsidP="008A75C3">
      <w:pPr>
        <w:pStyle w:val="Sraopastraipa"/>
        <w:numPr>
          <w:ilvl w:val="0"/>
          <w:numId w:val="10"/>
        </w:numPr>
        <w:spacing w:line="240" w:lineRule="auto"/>
        <w:ind w:left="567" w:hanging="567"/>
        <w:rPr>
          <w:rFonts w:eastAsia="TimesNewRomanPSMT"/>
          <w:szCs w:val="22"/>
          <w:lang w:val="lt-LT"/>
        </w:rPr>
      </w:pPr>
      <w:r w:rsidRPr="0085406C">
        <w:rPr>
          <w:rFonts w:eastAsia="TimesNewRomanPSMT"/>
          <w:szCs w:val="22"/>
          <w:lang w:val="lt-LT"/>
        </w:rPr>
        <w:t xml:space="preserve">Karščiavimas (aukšta temperatūra). Toks poveikis yra dažnas (gali pasireikšti </w:t>
      </w:r>
      <w:r w:rsidR="00B838EC">
        <w:rPr>
          <w:rFonts w:eastAsia="TimesNewRomanPSMT"/>
          <w:szCs w:val="22"/>
          <w:lang w:val="lt-LT"/>
        </w:rPr>
        <w:t xml:space="preserve">rečiau </w:t>
      </w:r>
      <w:r w:rsidRPr="0085406C">
        <w:rPr>
          <w:rFonts w:eastAsia="TimesNewRomanPSMT"/>
          <w:szCs w:val="22"/>
          <w:lang w:val="lt-LT"/>
        </w:rPr>
        <w:t>kaip 1 iš 10</w:t>
      </w:r>
      <w:r w:rsidR="00384D93">
        <w:rPr>
          <w:rFonts w:eastAsia="TimesNewRomanPSMT"/>
          <w:szCs w:val="22"/>
          <w:lang w:val="lt-LT"/>
        </w:rPr>
        <w:t xml:space="preserve"> žmonių</w:t>
      </w:r>
      <w:r w:rsidRPr="0085406C">
        <w:rPr>
          <w:rFonts w:eastAsia="TimesNewRomanPSMT"/>
          <w:szCs w:val="22"/>
          <w:lang w:val="lt-LT"/>
        </w:rPr>
        <w:t>).</w:t>
      </w:r>
    </w:p>
    <w:p w14:paraId="570FD491" w14:textId="07739A4D" w:rsidR="00FD6796" w:rsidRPr="00037DA8" w:rsidRDefault="00FD6796" w:rsidP="008A75C3">
      <w:pPr>
        <w:pStyle w:val="Sraopastraipa"/>
        <w:numPr>
          <w:ilvl w:val="0"/>
          <w:numId w:val="10"/>
        </w:numPr>
        <w:spacing w:line="240" w:lineRule="auto"/>
        <w:ind w:left="567" w:hanging="567"/>
        <w:rPr>
          <w:rFonts w:eastAsia="TimesNewRomanPSMT"/>
          <w:szCs w:val="22"/>
          <w:lang w:val="lt-LT"/>
        </w:rPr>
      </w:pPr>
      <w:r w:rsidRPr="004200DB">
        <w:rPr>
          <w:rFonts w:eastAsia="TimesNewRomanPSMT"/>
          <w:szCs w:val="22"/>
          <w:lang w:val="lt-LT"/>
        </w:rPr>
        <w:t xml:space="preserve">Sunkus organizmo skysčių netekimas (dehidratacija). Toks poveikis yra dažnas (gali pasireikšti </w:t>
      </w:r>
      <w:r w:rsidR="00384D93">
        <w:rPr>
          <w:rFonts w:eastAsia="TimesNewRomanPSMT"/>
          <w:szCs w:val="22"/>
          <w:lang w:val="lt-LT"/>
        </w:rPr>
        <w:t xml:space="preserve">rečiau </w:t>
      </w:r>
      <w:r w:rsidRPr="004200DB">
        <w:rPr>
          <w:rFonts w:eastAsia="TimesNewRomanPSMT"/>
          <w:szCs w:val="22"/>
          <w:lang w:val="lt-LT"/>
        </w:rPr>
        <w:t>kaip 1 iš 10</w:t>
      </w:r>
      <w:r w:rsidR="00384D93">
        <w:rPr>
          <w:rFonts w:eastAsia="TimesNewRomanPSMT"/>
          <w:szCs w:val="22"/>
          <w:lang w:val="lt-LT"/>
        </w:rPr>
        <w:t xml:space="preserve"> žmonių</w:t>
      </w:r>
      <w:r w:rsidRPr="004200DB">
        <w:rPr>
          <w:rFonts w:eastAsia="TimesNewRomanPSMT"/>
          <w:szCs w:val="22"/>
          <w:lang w:val="lt-LT"/>
        </w:rPr>
        <w:t>). Toks poveikis gali pasireikšti, jeigu stipriai ar ilgai viduriuojate, karščiuojate ar v</w:t>
      </w:r>
      <w:r w:rsidRPr="00037DA8">
        <w:rPr>
          <w:rFonts w:eastAsia="TimesNewRomanPSMT"/>
          <w:szCs w:val="22"/>
          <w:lang w:val="lt-LT"/>
        </w:rPr>
        <w:t>emiate.</w:t>
      </w:r>
    </w:p>
    <w:p w14:paraId="155AB630" w14:textId="77777777" w:rsidR="00FD6796" w:rsidRPr="00037DA8" w:rsidRDefault="00FD6796" w:rsidP="008A75C3">
      <w:pPr>
        <w:pStyle w:val="Sraopastraipa"/>
        <w:numPr>
          <w:ilvl w:val="0"/>
          <w:numId w:val="10"/>
        </w:numPr>
        <w:spacing w:line="240" w:lineRule="auto"/>
        <w:ind w:left="567" w:hanging="567"/>
        <w:rPr>
          <w:rFonts w:eastAsia="TimesNewRomanPSMT"/>
          <w:szCs w:val="22"/>
          <w:lang w:val="lt-LT"/>
        </w:rPr>
      </w:pPr>
      <w:r w:rsidRPr="00037DA8">
        <w:rPr>
          <w:rFonts w:eastAsia="TimesNewRomanPSMT"/>
          <w:szCs w:val="22"/>
          <w:lang w:val="lt-LT"/>
        </w:rPr>
        <w:lastRenderedPageBreak/>
        <w:t>Stiprus arba nuolatinis pilvo skausmas. Jis gali pasireikšti, jeigu Jūsų skrandyje, stemplėje, žarnoje arba žarnyne yra kiaurymė (virškinimo trakto prakiurimas). Tai gali baigtis mirtimi.</w:t>
      </w:r>
    </w:p>
    <w:p w14:paraId="540C1E69" w14:textId="77777777" w:rsidR="00FD6796" w:rsidRPr="00074768" w:rsidRDefault="00FD6796" w:rsidP="00FD6796">
      <w:pPr>
        <w:spacing w:after="0" w:line="240" w:lineRule="auto"/>
        <w:rPr>
          <w:rFonts w:ascii="Times New Roman" w:hAnsi="Times New Roman"/>
        </w:rPr>
      </w:pPr>
    </w:p>
    <w:p w14:paraId="6FF78D37" w14:textId="7BF67BB8" w:rsidR="00FD6796" w:rsidRPr="00074768" w:rsidRDefault="00FD6796" w:rsidP="00FD6796">
      <w:pPr>
        <w:spacing w:after="0" w:line="240" w:lineRule="auto"/>
        <w:rPr>
          <w:rFonts w:ascii="Times New Roman" w:hAnsi="Times New Roman"/>
        </w:rPr>
      </w:pPr>
      <w:r w:rsidRPr="00074768">
        <w:rPr>
          <w:rFonts w:ascii="Times New Roman" w:hAnsi="Times New Roman"/>
        </w:rPr>
        <w:t>Jeigu bet kuri minėta būklė Jums tinka, nedels</w:t>
      </w:r>
      <w:r w:rsidR="00D56D2B">
        <w:rPr>
          <w:rFonts w:ascii="Times New Roman" w:hAnsi="Times New Roman"/>
        </w:rPr>
        <w:t>dami</w:t>
      </w:r>
      <w:r w:rsidRPr="00074768">
        <w:rPr>
          <w:rFonts w:ascii="Times New Roman" w:hAnsi="Times New Roman"/>
        </w:rPr>
        <w:t xml:space="preserve"> pasakykite gydytojui.</w:t>
      </w:r>
    </w:p>
    <w:p w14:paraId="06F1667A" w14:textId="77777777" w:rsidR="00FD6796" w:rsidRPr="00074768" w:rsidRDefault="00FD6796" w:rsidP="00FD6796">
      <w:pPr>
        <w:spacing w:after="0" w:line="240" w:lineRule="auto"/>
        <w:rPr>
          <w:rFonts w:ascii="Times New Roman" w:hAnsi="Times New Roman"/>
          <w:b/>
          <w:bCs/>
        </w:rPr>
      </w:pPr>
    </w:p>
    <w:p w14:paraId="75F51495" w14:textId="77777777" w:rsidR="00FD6796" w:rsidRPr="00074768" w:rsidRDefault="00FD6796" w:rsidP="00FD6796">
      <w:pPr>
        <w:spacing w:after="0" w:line="240" w:lineRule="auto"/>
        <w:rPr>
          <w:rFonts w:ascii="Times New Roman" w:hAnsi="Times New Roman"/>
          <w:b/>
          <w:bCs/>
        </w:rPr>
      </w:pPr>
      <w:r w:rsidRPr="00074768">
        <w:rPr>
          <w:rFonts w:ascii="Times New Roman" w:hAnsi="Times New Roman"/>
          <w:b/>
          <w:bCs/>
        </w:rPr>
        <w:t>Kitas šalutinis poveikis</w:t>
      </w:r>
    </w:p>
    <w:p w14:paraId="56239628" w14:textId="77777777" w:rsidR="00FD6796" w:rsidRPr="00074768" w:rsidRDefault="00FD6796" w:rsidP="00FD6796">
      <w:pPr>
        <w:spacing w:after="0" w:line="240" w:lineRule="auto"/>
        <w:rPr>
          <w:rFonts w:ascii="Times New Roman" w:hAnsi="Times New Roman"/>
          <w:b/>
          <w:bCs/>
        </w:rPr>
      </w:pPr>
    </w:p>
    <w:p w14:paraId="4D624E7C" w14:textId="3210010B" w:rsidR="005D787C" w:rsidRPr="002642B8" w:rsidRDefault="005D787C" w:rsidP="005D787C">
      <w:pPr>
        <w:tabs>
          <w:tab w:val="left" w:pos="567"/>
        </w:tabs>
        <w:spacing w:after="0" w:line="240" w:lineRule="auto"/>
        <w:rPr>
          <w:rFonts w:ascii="Times New Roman" w:eastAsia="Times New Roman" w:hAnsi="Times New Roman"/>
          <w:b/>
          <w:bCs/>
        </w:rPr>
      </w:pPr>
      <w:r w:rsidRPr="002642B8">
        <w:rPr>
          <w:rFonts w:ascii="Times New Roman" w:eastAsia="Times New Roman" w:hAnsi="Times New Roman"/>
          <w:b/>
          <w:bCs/>
        </w:rPr>
        <w:t>Labai dažni šalutinio poveikio reiškiniai (gali pasireikšti ne rečiau kaip 1 iš 10 asmenų):</w:t>
      </w:r>
    </w:p>
    <w:p w14:paraId="11B4A987" w14:textId="77777777" w:rsidR="00FD6796" w:rsidRPr="004200DB" w:rsidRDefault="00FD6796" w:rsidP="008A75C3">
      <w:pPr>
        <w:pStyle w:val="Sraopastraipa"/>
        <w:numPr>
          <w:ilvl w:val="0"/>
          <w:numId w:val="11"/>
        </w:numPr>
        <w:spacing w:line="240" w:lineRule="auto"/>
        <w:ind w:left="567" w:hanging="567"/>
        <w:rPr>
          <w:rFonts w:eastAsia="TimesNewRomanPSMT"/>
          <w:szCs w:val="22"/>
          <w:lang w:val="lt-LT"/>
        </w:rPr>
      </w:pPr>
      <w:r w:rsidRPr="0085406C">
        <w:rPr>
          <w:rFonts w:eastAsia="TimesNewRomanPSMT"/>
          <w:szCs w:val="22"/>
          <w:lang w:val="lt-LT"/>
        </w:rPr>
        <w:t>Raudonųjų kraujo ląstelių kiekio sumažėjimas (mažakraujystė), baltųjų kraujo ląstelių kiekio</w:t>
      </w:r>
      <w:r w:rsidR="00153EF5" w:rsidRPr="0085406C">
        <w:rPr>
          <w:rFonts w:eastAsia="TimesNewRomanPSMT"/>
          <w:szCs w:val="22"/>
          <w:lang w:val="lt-LT"/>
        </w:rPr>
        <w:t xml:space="preserve"> </w:t>
      </w:r>
      <w:r w:rsidRPr="004200DB">
        <w:rPr>
          <w:rFonts w:eastAsia="TimesNewRomanPSMT"/>
          <w:szCs w:val="22"/>
          <w:lang w:val="lt-LT"/>
        </w:rPr>
        <w:t>sumažėjimas (šios ląstelės svarbios kovojant su infekcija).</w:t>
      </w:r>
    </w:p>
    <w:p w14:paraId="5AD85B29" w14:textId="77777777" w:rsidR="00FD6796" w:rsidRPr="004200DB" w:rsidRDefault="00FD6796" w:rsidP="008A75C3">
      <w:pPr>
        <w:pStyle w:val="Sraopastraipa"/>
        <w:numPr>
          <w:ilvl w:val="1"/>
          <w:numId w:val="11"/>
        </w:numPr>
        <w:spacing w:line="240" w:lineRule="auto"/>
        <w:ind w:left="567" w:hanging="567"/>
        <w:rPr>
          <w:rFonts w:eastAsia="TimesNewRomanPSMT"/>
          <w:szCs w:val="22"/>
          <w:lang w:val="lt-LT"/>
        </w:rPr>
      </w:pPr>
      <w:r w:rsidRPr="004200DB">
        <w:rPr>
          <w:rFonts w:eastAsia="TimesNewRomanPSMT"/>
          <w:szCs w:val="22"/>
          <w:lang w:val="lt-LT"/>
        </w:rPr>
        <w:t>Trombocitų kiekio sumažėjimas (dėl to padidėja kraujavimo pavojus).</w:t>
      </w:r>
    </w:p>
    <w:p w14:paraId="392E19CC" w14:textId="77777777" w:rsidR="00FD6796" w:rsidRPr="00037DA8" w:rsidRDefault="00FD6796" w:rsidP="008A75C3">
      <w:pPr>
        <w:pStyle w:val="Sraopastraipa"/>
        <w:numPr>
          <w:ilvl w:val="1"/>
          <w:numId w:val="11"/>
        </w:numPr>
        <w:spacing w:line="240" w:lineRule="auto"/>
        <w:ind w:left="567" w:hanging="567"/>
        <w:rPr>
          <w:rFonts w:eastAsia="TimesNewRomanPSMT"/>
          <w:szCs w:val="22"/>
          <w:lang w:val="lt-LT"/>
        </w:rPr>
      </w:pPr>
      <w:r w:rsidRPr="00037DA8">
        <w:rPr>
          <w:rFonts w:eastAsia="TimesNewRomanPSMT"/>
          <w:szCs w:val="22"/>
          <w:lang w:val="lt-LT"/>
        </w:rPr>
        <w:t>Apetito netekimas (anoreksija).</w:t>
      </w:r>
    </w:p>
    <w:p w14:paraId="371B9B98" w14:textId="77777777" w:rsidR="00FD6796" w:rsidRPr="00037DA8" w:rsidRDefault="00FD6796" w:rsidP="008A75C3">
      <w:pPr>
        <w:pStyle w:val="Sraopastraipa"/>
        <w:numPr>
          <w:ilvl w:val="0"/>
          <w:numId w:val="11"/>
        </w:numPr>
        <w:spacing w:line="240" w:lineRule="auto"/>
        <w:ind w:left="567" w:hanging="567"/>
        <w:rPr>
          <w:rFonts w:eastAsia="TimesNewRomanPSMT"/>
          <w:szCs w:val="22"/>
          <w:lang w:val="lt-LT"/>
        </w:rPr>
      </w:pPr>
      <w:r w:rsidRPr="00037DA8">
        <w:rPr>
          <w:rFonts w:eastAsia="TimesNewRomanPSMT"/>
          <w:szCs w:val="22"/>
          <w:lang w:val="lt-LT"/>
        </w:rPr>
        <w:t>Virškinimo trakto sutrikimas, įskaitant šleikštulį (pykinimą), vėmimą, viduriavimą ar vidurių užkietėjimą.</w:t>
      </w:r>
    </w:p>
    <w:p w14:paraId="0F0A009A" w14:textId="77777777" w:rsidR="00FD6796" w:rsidRPr="00037DA8" w:rsidRDefault="00FD6796" w:rsidP="008A75C3">
      <w:pPr>
        <w:pStyle w:val="Sraopastraipa"/>
        <w:numPr>
          <w:ilvl w:val="1"/>
          <w:numId w:val="11"/>
        </w:numPr>
        <w:spacing w:line="240" w:lineRule="auto"/>
        <w:ind w:left="567" w:hanging="567"/>
        <w:rPr>
          <w:rFonts w:eastAsia="TimesNewRomanPSMT"/>
          <w:szCs w:val="22"/>
          <w:lang w:val="lt-LT"/>
        </w:rPr>
      </w:pPr>
      <w:r w:rsidRPr="00037DA8">
        <w:rPr>
          <w:rFonts w:eastAsia="TimesNewRomanPSMT"/>
          <w:szCs w:val="22"/>
          <w:lang w:val="lt-LT"/>
        </w:rPr>
        <w:t>Nugaros skausmas.</w:t>
      </w:r>
    </w:p>
    <w:p w14:paraId="7A298D41" w14:textId="77777777" w:rsidR="00FD6796" w:rsidRPr="00037DA8" w:rsidRDefault="00FD6796" w:rsidP="008A75C3">
      <w:pPr>
        <w:pStyle w:val="Sraopastraipa"/>
        <w:numPr>
          <w:ilvl w:val="1"/>
          <w:numId w:val="11"/>
        </w:numPr>
        <w:spacing w:line="240" w:lineRule="auto"/>
        <w:ind w:left="567" w:hanging="567"/>
        <w:rPr>
          <w:rFonts w:eastAsia="TimesNewRomanPSMT"/>
          <w:szCs w:val="22"/>
          <w:lang w:val="lt-LT"/>
        </w:rPr>
      </w:pPr>
      <w:r w:rsidRPr="00037DA8">
        <w:rPr>
          <w:rFonts w:eastAsia="TimesNewRomanPSMT"/>
          <w:szCs w:val="22"/>
          <w:lang w:val="lt-LT"/>
        </w:rPr>
        <w:t>Kraujas šlapime.</w:t>
      </w:r>
    </w:p>
    <w:p w14:paraId="271CE4C2" w14:textId="77777777" w:rsidR="00FD6796" w:rsidRPr="00037DA8" w:rsidRDefault="00FD6796" w:rsidP="008A75C3">
      <w:pPr>
        <w:pStyle w:val="Sraopastraipa"/>
        <w:numPr>
          <w:ilvl w:val="1"/>
          <w:numId w:val="11"/>
        </w:numPr>
        <w:spacing w:line="240" w:lineRule="auto"/>
        <w:ind w:left="567" w:hanging="567"/>
        <w:rPr>
          <w:rFonts w:eastAsia="TimesNewRomanPSMT"/>
          <w:szCs w:val="22"/>
          <w:lang w:val="lt-LT"/>
        </w:rPr>
      </w:pPr>
      <w:r w:rsidRPr="00037DA8">
        <w:rPr>
          <w:rFonts w:eastAsia="TimesNewRomanPSMT"/>
          <w:szCs w:val="22"/>
          <w:lang w:val="lt-LT"/>
        </w:rPr>
        <w:t>Nuovargis, silpnumas ar energijos stoka.</w:t>
      </w:r>
    </w:p>
    <w:p w14:paraId="1A80C0EB" w14:textId="77777777" w:rsidR="00FD6796" w:rsidRPr="00074768" w:rsidRDefault="00FD6796" w:rsidP="00FD6796">
      <w:pPr>
        <w:spacing w:after="0" w:line="240" w:lineRule="auto"/>
        <w:rPr>
          <w:rFonts w:ascii="Times New Roman" w:hAnsi="Times New Roman"/>
          <w:b/>
          <w:bCs/>
        </w:rPr>
      </w:pPr>
    </w:p>
    <w:p w14:paraId="31DB4D3E" w14:textId="268439E8" w:rsidR="005D787C" w:rsidRPr="002642B8" w:rsidRDefault="005D787C" w:rsidP="005D787C">
      <w:pPr>
        <w:tabs>
          <w:tab w:val="left" w:pos="567"/>
        </w:tabs>
        <w:spacing w:after="0" w:line="240" w:lineRule="auto"/>
        <w:rPr>
          <w:rFonts w:ascii="Times New Roman" w:eastAsia="Times New Roman" w:hAnsi="Times New Roman"/>
          <w:b/>
          <w:bCs/>
        </w:rPr>
      </w:pPr>
      <w:r w:rsidRPr="002642B8">
        <w:rPr>
          <w:rFonts w:ascii="Times New Roman" w:eastAsia="Times New Roman" w:hAnsi="Times New Roman"/>
          <w:b/>
          <w:bCs/>
        </w:rPr>
        <w:t>Dažni šalutinio poveikio reiškiniai (gali pasireikšti rečiau kaip 1 iš 10 asmenų):</w:t>
      </w:r>
    </w:p>
    <w:p w14:paraId="42CDEC5C" w14:textId="77777777" w:rsidR="00350E12" w:rsidRPr="00037DA8" w:rsidRDefault="00350E12" w:rsidP="002642B8">
      <w:pPr>
        <w:pStyle w:val="Sraopastraipa"/>
        <w:numPr>
          <w:ilvl w:val="1"/>
          <w:numId w:val="12"/>
        </w:numPr>
        <w:tabs>
          <w:tab w:val="clear" w:pos="567"/>
        </w:tabs>
        <w:spacing w:line="240" w:lineRule="auto"/>
        <w:ind w:left="567" w:hanging="567"/>
        <w:rPr>
          <w:rFonts w:eastAsia="TimesNewRomanPSMT"/>
          <w:szCs w:val="22"/>
          <w:lang w:val="lt-LT"/>
        </w:rPr>
      </w:pPr>
      <w:r w:rsidRPr="00037DA8">
        <w:rPr>
          <w:rFonts w:eastAsia="TimesNewRomanPSMT"/>
          <w:szCs w:val="22"/>
          <w:lang w:val="lt-LT"/>
        </w:rPr>
        <w:t>Skonio pojūčio pokytis.</w:t>
      </w:r>
    </w:p>
    <w:p w14:paraId="70F16BEC" w14:textId="77777777" w:rsidR="00350E12" w:rsidRPr="00037DA8" w:rsidRDefault="00350E12" w:rsidP="002642B8">
      <w:pPr>
        <w:pStyle w:val="Sraopastraipa"/>
        <w:numPr>
          <w:ilvl w:val="1"/>
          <w:numId w:val="12"/>
        </w:numPr>
        <w:tabs>
          <w:tab w:val="clear" w:pos="567"/>
        </w:tabs>
        <w:spacing w:line="240" w:lineRule="auto"/>
        <w:ind w:left="567" w:hanging="567"/>
        <w:rPr>
          <w:rFonts w:eastAsia="TimesNewRomanPSMT"/>
          <w:szCs w:val="22"/>
          <w:lang w:val="lt-LT"/>
        </w:rPr>
      </w:pPr>
      <w:r w:rsidRPr="00037DA8">
        <w:rPr>
          <w:rFonts w:eastAsia="TimesNewRomanPSMT"/>
          <w:szCs w:val="22"/>
          <w:lang w:val="lt-LT"/>
        </w:rPr>
        <w:t>Dusulys.</w:t>
      </w:r>
    </w:p>
    <w:p w14:paraId="78C62927" w14:textId="77777777" w:rsidR="00350E12" w:rsidRPr="00037DA8" w:rsidRDefault="00350E12" w:rsidP="002642B8">
      <w:pPr>
        <w:pStyle w:val="Sraopastraipa"/>
        <w:numPr>
          <w:ilvl w:val="1"/>
          <w:numId w:val="12"/>
        </w:numPr>
        <w:tabs>
          <w:tab w:val="clear" w:pos="567"/>
        </w:tabs>
        <w:spacing w:line="240" w:lineRule="auto"/>
        <w:ind w:left="567" w:hanging="567"/>
        <w:rPr>
          <w:rFonts w:eastAsia="TimesNewRomanPSMT"/>
          <w:szCs w:val="22"/>
          <w:lang w:val="lt-LT"/>
        </w:rPr>
      </w:pPr>
      <w:r w:rsidRPr="00037DA8">
        <w:rPr>
          <w:rFonts w:eastAsia="TimesNewRomanPSMT"/>
          <w:szCs w:val="22"/>
          <w:lang w:val="lt-LT"/>
        </w:rPr>
        <w:t>Kosulys.</w:t>
      </w:r>
    </w:p>
    <w:p w14:paraId="12CBFA2F" w14:textId="77777777" w:rsidR="00350E12" w:rsidRPr="00037DA8" w:rsidRDefault="00350E12" w:rsidP="002642B8">
      <w:pPr>
        <w:pStyle w:val="Sraopastraipa"/>
        <w:numPr>
          <w:ilvl w:val="1"/>
          <w:numId w:val="12"/>
        </w:numPr>
        <w:tabs>
          <w:tab w:val="clear" w:pos="567"/>
        </w:tabs>
        <w:spacing w:line="240" w:lineRule="auto"/>
        <w:ind w:left="567" w:hanging="567"/>
        <w:rPr>
          <w:rFonts w:eastAsia="TimesNewRomanPSMT"/>
          <w:szCs w:val="22"/>
          <w:lang w:val="lt-LT"/>
        </w:rPr>
      </w:pPr>
      <w:r w:rsidRPr="00037DA8">
        <w:rPr>
          <w:rFonts w:eastAsia="TimesNewRomanPSMT"/>
          <w:szCs w:val="22"/>
          <w:lang w:val="lt-LT"/>
        </w:rPr>
        <w:t>Pilvo skausmas.</w:t>
      </w:r>
    </w:p>
    <w:p w14:paraId="11683FB0" w14:textId="77777777" w:rsidR="00DA17EA" w:rsidRPr="00037DA8" w:rsidRDefault="00DA17EA" w:rsidP="002642B8">
      <w:pPr>
        <w:pStyle w:val="Sraopastraipa"/>
        <w:numPr>
          <w:ilvl w:val="1"/>
          <w:numId w:val="12"/>
        </w:numPr>
        <w:tabs>
          <w:tab w:val="clear" w:pos="567"/>
        </w:tabs>
        <w:spacing w:line="240" w:lineRule="auto"/>
        <w:ind w:left="567" w:hanging="567"/>
        <w:rPr>
          <w:rFonts w:eastAsia="TimesNewRomanPSMT"/>
          <w:szCs w:val="22"/>
          <w:lang w:val="lt-LT"/>
        </w:rPr>
      </w:pPr>
      <w:r w:rsidRPr="00037DA8">
        <w:rPr>
          <w:rFonts w:eastAsia="TimesNewRomanPSMT"/>
          <w:szCs w:val="22"/>
          <w:lang w:val="lt-LT"/>
        </w:rPr>
        <w:t>Trumpalaikis plaukų netekimas (dažniausiai plaukai vėl pradeda augti normaliai).</w:t>
      </w:r>
    </w:p>
    <w:p w14:paraId="6F692B25" w14:textId="77777777" w:rsidR="00DA17EA" w:rsidRPr="00037DA8" w:rsidRDefault="00DA17EA" w:rsidP="002642B8">
      <w:pPr>
        <w:pStyle w:val="Sraopastraipa"/>
        <w:numPr>
          <w:ilvl w:val="1"/>
          <w:numId w:val="12"/>
        </w:numPr>
        <w:tabs>
          <w:tab w:val="clear" w:pos="567"/>
        </w:tabs>
        <w:spacing w:line="240" w:lineRule="auto"/>
        <w:ind w:left="567" w:hanging="567"/>
        <w:rPr>
          <w:rFonts w:eastAsia="TimesNewRomanPSMT"/>
          <w:szCs w:val="22"/>
          <w:lang w:val="lt-LT"/>
        </w:rPr>
      </w:pPr>
      <w:r w:rsidRPr="00037DA8">
        <w:rPr>
          <w:rFonts w:eastAsia="TimesNewRomanPSMT"/>
          <w:szCs w:val="22"/>
          <w:lang w:val="lt-LT"/>
        </w:rPr>
        <w:t>Sąnarių skausmas.</w:t>
      </w:r>
    </w:p>
    <w:p w14:paraId="3689A899" w14:textId="77777777" w:rsidR="00FD6796" w:rsidRPr="0085406C" w:rsidRDefault="00FD6796" w:rsidP="008A75C3">
      <w:pPr>
        <w:pStyle w:val="Sraopastraipa"/>
        <w:numPr>
          <w:ilvl w:val="1"/>
          <w:numId w:val="12"/>
        </w:numPr>
        <w:spacing w:line="240" w:lineRule="auto"/>
        <w:ind w:left="567" w:hanging="567"/>
        <w:rPr>
          <w:rFonts w:eastAsia="TimesNewRomanPSMT"/>
          <w:szCs w:val="22"/>
          <w:lang w:val="lt-LT"/>
        </w:rPr>
      </w:pPr>
      <w:r w:rsidRPr="0085406C">
        <w:rPr>
          <w:rFonts w:eastAsia="TimesNewRomanPSMT"/>
          <w:szCs w:val="22"/>
          <w:lang w:val="lt-LT"/>
        </w:rPr>
        <w:t>Šlapimo takų infekcija.</w:t>
      </w:r>
    </w:p>
    <w:p w14:paraId="5A15C6CE" w14:textId="77777777" w:rsidR="00FD6796" w:rsidRPr="004200DB" w:rsidRDefault="00FD6796" w:rsidP="008A75C3">
      <w:pPr>
        <w:pStyle w:val="Sraopastraipa"/>
        <w:numPr>
          <w:ilvl w:val="1"/>
          <w:numId w:val="12"/>
        </w:numPr>
        <w:spacing w:line="240" w:lineRule="auto"/>
        <w:ind w:left="567" w:hanging="567"/>
        <w:rPr>
          <w:rFonts w:eastAsia="TimesNewRomanPSMT"/>
          <w:szCs w:val="22"/>
          <w:lang w:val="lt-LT"/>
        </w:rPr>
      </w:pPr>
      <w:r w:rsidRPr="004200DB">
        <w:rPr>
          <w:rFonts w:eastAsia="TimesNewRomanPSMT"/>
          <w:szCs w:val="22"/>
          <w:lang w:val="lt-LT"/>
        </w:rPr>
        <w:t>Baltųjų kraujo ląstelių stoka, susijusi su karščiavimu ir infekcija.</w:t>
      </w:r>
    </w:p>
    <w:p w14:paraId="1078A2C8" w14:textId="77777777" w:rsidR="00FD6796" w:rsidRPr="004200DB" w:rsidRDefault="00FD6796" w:rsidP="008A75C3">
      <w:pPr>
        <w:pStyle w:val="Sraopastraipa"/>
        <w:numPr>
          <w:ilvl w:val="1"/>
          <w:numId w:val="12"/>
        </w:numPr>
        <w:spacing w:line="240" w:lineRule="auto"/>
        <w:ind w:left="567" w:hanging="567"/>
        <w:rPr>
          <w:rFonts w:eastAsia="TimesNewRomanPSMT"/>
          <w:szCs w:val="22"/>
          <w:lang w:val="lt-LT"/>
        </w:rPr>
      </w:pPr>
      <w:r w:rsidRPr="004200DB">
        <w:rPr>
          <w:rFonts w:eastAsia="TimesNewRomanPSMT"/>
          <w:szCs w:val="22"/>
          <w:lang w:val="lt-LT"/>
        </w:rPr>
        <w:t>Delnų ir pėdų tirpimo, dilgčiojimo, deginimo pojūtis ar sumažėjęs jautrumas.</w:t>
      </w:r>
    </w:p>
    <w:p w14:paraId="7F09933E" w14:textId="6441243D" w:rsidR="00FD6796" w:rsidRPr="00037DA8" w:rsidRDefault="00524443" w:rsidP="008A75C3">
      <w:pPr>
        <w:pStyle w:val="Sraopastraipa"/>
        <w:numPr>
          <w:ilvl w:val="1"/>
          <w:numId w:val="12"/>
        </w:numPr>
        <w:spacing w:line="240" w:lineRule="auto"/>
        <w:ind w:left="567" w:hanging="567"/>
        <w:rPr>
          <w:rFonts w:eastAsia="TimesNewRomanPSMT"/>
          <w:szCs w:val="22"/>
          <w:lang w:val="lt-LT"/>
        </w:rPr>
      </w:pPr>
      <w:r>
        <w:rPr>
          <w:rFonts w:eastAsia="TimesNewRomanPSMT"/>
          <w:szCs w:val="22"/>
          <w:lang w:val="lt-LT"/>
        </w:rPr>
        <w:t>Svaigulys</w:t>
      </w:r>
      <w:r w:rsidR="00FD6796" w:rsidRPr="00037DA8">
        <w:rPr>
          <w:rFonts w:eastAsia="TimesNewRomanPSMT"/>
          <w:szCs w:val="22"/>
          <w:lang w:val="lt-LT"/>
        </w:rPr>
        <w:t>.</w:t>
      </w:r>
    </w:p>
    <w:p w14:paraId="2D62A165"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Galvos skausmas.</w:t>
      </w:r>
    </w:p>
    <w:p w14:paraId="3BD65A83"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Kraujospūdžio sumažėjimas ar padidėjimas.</w:t>
      </w:r>
    </w:p>
    <w:p w14:paraId="295B1D9F"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Nemalonus pojūtis skrandyje, rėmuo ar raugulys.</w:t>
      </w:r>
    </w:p>
    <w:p w14:paraId="278C21EC"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Skrandžio skausmas.</w:t>
      </w:r>
    </w:p>
    <w:p w14:paraId="45FE2750"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Hemorojus.</w:t>
      </w:r>
    </w:p>
    <w:p w14:paraId="4236F3F7"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Raumenų spazmai.</w:t>
      </w:r>
    </w:p>
    <w:p w14:paraId="513A24A5"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Skausmingas ar dažnas šlapinimasis.</w:t>
      </w:r>
    </w:p>
    <w:p w14:paraId="3E9CA695"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Šlapimo nelaikymas.</w:t>
      </w:r>
    </w:p>
    <w:p w14:paraId="1AAF7766"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Inkstų ligos ar sutrikimai.</w:t>
      </w:r>
    </w:p>
    <w:p w14:paraId="588452A7"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Burnos ar lūpų skausmas.</w:t>
      </w:r>
    </w:p>
    <w:p w14:paraId="6763BF43"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Infekcija ar jos rizika.</w:t>
      </w:r>
    </w:p>
    <w:p w14:paraId="78AD4B12"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Didelis cukraus kiekis kraujyje.</w:t>
      </w:r>
    </w:p>
    <w:p w14:paraId="3D92AC7D" w14:textId="77777777" w:rsidR="00137AFE" w:rsidRDefault="00F54964" w:rsidP="008A75C3">
      <w:pPr>
        <w:pStyle w:val="Sraopastraipa"/>
        <w:numPr>
          <w:ilvl w:val="1"/>
          <w:numId w:val="12"/>
        </w:numPr>
        <w:spacing w:line="240" w:lineRule="auto"/>
        <w:ind w:left="567" w:hanging="567"/>
        <w:rPr>
          <w:rFonts w:eastAsia="TimesNewRomanPSMT"/>
          <w:szCs w:val="22"/>
          <w:lang w:val="lt-LT"/>
        </w:rPr>
      </w:pPr>
      <w:r>
        <w:rPr>
          <w:rFonts w:eastAsia="TimesNewRomanPSMT"/>
          <w:szCs w:val="22"/>
          <w:lang w:val="lt-LT"/>
        </w:rPr>
        <w:t>Nemiga</w:t>
      </w:r>
      <w:r w:rsidR="00137AFE">
        <w:rPr>
          <w:rFonts w:eastAsia="TimesNewRomanPSMT"/>
          <w:szCs w:val="22"/>
          <w:lang w:val="lt-LT"/>
        </w:rPr>
        <w:t>.</w:t>
      </w:r>
    </w:p>
    <w:p w14:paraId="6B0DE874"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Psichinis sumišimas.</w:t>
      </w:r>
    </w:p>
    <w:p w14:paraId="0F9B99C9"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Nerimo pojūtis.</w:t>
      </w:r>
    </w:p>
    <w:p w14:paraId="5F67805F"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Nenormalus delnų ir pėdų pojūtis, pojūčių susilpnėjimas ar skausmas.</w:t>
      </w:r>
    </w:p>
    <w:p w14:paraId="4B7FE64A"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Pusiausvyros sutrikimas.</w:t>
      </w:r>
    </w:p>
    <w:p w14:paraId="04B27C67"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Greitas ar nereguliarus širdies plakimas.</w:t>
      </w:r>
    </w:p>
    <w:p w14:paraId="4E5B34E3" w14:textId="59B3F959"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Kraujo krešulių susidarymas kojose</w:t>
      </w:r>
      <w:r w:rsidR="00F3447C">
        <w:rPr>
          <w:rFonts w:eastAsia="TimesNewRomanPSMT"/>
          <w:szCs w:val="22"/>
          <w:lang w:val="lt-LT"/>
        </w:rPr>
        <w:t xml:space="preserve"> arba plaučiuose</w:t>
      </w:r>
      <w:r w:rsidRPr="00037DA8">
        <w:rPr>
          <w:rFonts w:eastAsia="TimesNewRomanPSMT"/>
          <w:szCs w:val="22"/>
          <w:lang w:val="lt-LT"/>
        </w:rPr>
        <w:t>.</w:t>
      </w:r>
    </w:p>
    <w:p w14:paraId="1C08CE85" w14:textId="46559520" w:rsidR="00FD6796" w:rsidRDefault="00F3447C" w:rsidP="008A75C3">
      <w:pPr>
        <w:pStyle w:val="Sraopastraipa"/>
        <w:numPr>
          <w:ilvl w:val="1"/>
          <w:numId w:val="12"/>
        </w:numPr>
        <w:spacing w:line="240" w:lineRule="auto"/>
        <w:ind w:left="567" w:hanging="567"/>
        <w:rPr>
          <w:rFonts w:eastAsia="TimesNewRomanPSMT"/>
          <w:szCs w:val="22"/>
          <w:lang w:val="lt-LT"/>
        </w:rPr>
      </w:pPr>
      <w:r>
        <w:rPr>
          <w:rFonts w:eastAsia="TimesNewRomanPSMT"/>
          <w:szCs w:val="22"/>
          <w:lang w:val="lt-LT"/>
        </w:rPr>
        <w:t>Staigus odos paraudimas</w:t>
      </w:r>
      <w:r w:rsidR="00FD6796" w:rsidRPr="00037DA8">
        <w:rPr>
          <w:rFonts w:eastAsia="TimesNewRomanPSMT"/>
          <w:szCs w:val="22"/>
          <w:lang w:val="lt-LT"/>
        </w:rPr>
        <w:t>.</w:t>
      </w:r>
    </w:p>
    <w:p w14:paraId="18E786EE"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Burnos ar gerklės skausmas.</w:t>
      </w:r>
    </w:p>
    <w:p w14:paraId="05301E4C"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Kraujavimas iš tiesiosios žarnos.</w:t>
      </w:r>
    </w:p>
    <w:p w14:paraId="02D17387" w14:textId="071034AC"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Nemalonus raumenų pojūtis, raumenų maudimas</w:t>
      </w:r>
      <w:r w:rsidR="00F3447C">
        <w:rPr>
          <w:rFonts w:eastAsia="TimesNewRomanPSMT"/>
          <w:szCs w:val="22"/>
          <w:lang w:val="lt-LT"/>
        </w:rPr>
        <w:t>, silpnumas</w:t>
      </w:r>
      <w:r w:rsidRPr="00037DA8">
        <w:rPr>
          <w:rFonts w:eastAsia="TimesNewRomanPSMT"/>
          <w:szCs w:val="22"/>
          <w:lang w:val="lt-LT"/>
        </w:rPr>
        <w:t xml:space="preserve"> ar skausmas.</w:t>
      </w:r>
    </w:p>
    <w:p w14:paraId="3849B8F7" w14:textId="77777777" w:rsidR="00FD6796" w:rsidRPr="00037DA8" w:rsidRDefault="00FD6796" w:rsidP="008A75C3">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Pėdų ar kojų patinimas.</w:t>
      </w:r>
    </w:p>
    <w:p w14:paraId="318D4876" w14:textId="2F41FC02" w:rsidR="001172E8" w:rsidRPr="001172E8" w:rsidRDefault="00FD6796" w:rsidP="001172E8">
      <w:pPr>
        <w:pStyle w:val="Sraopastraipa"/>
        <w:numPr>
          <w:ilvl w:val="1"/>
          <w:numId w:val="12"/>
        </w:numPr>
        <w:spacing w:line="240" w:lineRule="auto"/>
        <w:ind w:left="567" w:hanging="567"/>
        <w:rPr>
          <w:rFonts w:eastAsia="TimesNewRomanPSMT"/>
        </w:rPr>
      </w:pPr>
      <w:proofErr w:type="spellStart"/>
      <w:r w:rsidRPr="00037DA8">
        <w:rPr>
          <w:rFonts w:eastAsia="TimesNewRomanPSMT"/>
          <w:szCs w:val="22"/>
          <w:lang w:val="lt-LT"/>
        </w:rPr>
        <w:t>Šaltkrėtis</w:t>
      </w:r>
      <w:proofErr w:type="spellEnd"/>
      <w:r w:rsidRPr="00037DA8">
        <w:rPr>
          <w:rFonts w:eastAsia="TimesNewRomanPSMT"/>
          <w:szCs w:val="22"/>
          <w:lang w:val="lt-LT"/>
        </w:rPr>
        <w:t>.</w:t>
      </w:r>
    </w:p>
    <w:p w14:paraId="35D3AB1F" w14:textId="56BE6B3E" w:rsidR="00307A91" w:rsidRPr="009D7B20" w:rsidDel="001172E8" w:rsidRDefault="00307A91" w:rsidP="00307A91">
      <w:pPr>
        <w:pStyle w:val="Sraopastraipa"/>
        <w:numPr>
          <w:ilvl w:val="1"/>
          <w:numId w:val="12"/>
        </w:numPr>
        <w:spacing w:line="240" w:lineRule="auto"/>
        <w:ind w:left="567" w:hanging="567"/>
        <w:rPr>
          <w:rFonts w:eastAsia="TimesNewRomanPSMT"/>
          <w:szCs w:val="22"/>
          <w:lang w:val="lt-LT"/>
        </w:rPr>
      </w:pPr>
      <w:r>
        <w:rPr>
          <w:rFonts w:eastAsia="TimesNewRomanPSMT"/>
          <w:szCs w:val="22"/>
          <w:lang w:val="lt-LT"/>
        </w:rPr>
        <w:lastRenderedPageBreak/>
        <w:t>N</w:t>
      </w:r>
      <w:r w:rsidRPr="00D4156F" w:rsidDel="001172E8">
        <w:rPr>
          <w:rFonts w:eastAsia="TimesNewRomanPSMT"/>
          <w:szCs w:val="22"/>
          <w:lang w:val="lt-LT"/>
        </w:rPr>
        <w:t>agų sutrikimai (nagų spalvos pokytis; nagai gali atšokti</w:t>
      </w:r>
      <w:r w:rsidRPr="00A1477B" w:rsidDel="001172E8">
        <w:rPr>
          <w:szCs w:val="22"/>
          <w:u w:val="single"/>
          <w:lang w:val="lt-LT"/>
        </w:rPr>
        <w:t>).</w:t>
      </w:r>
    </w:p>
    <w:p w14:paraId="4A996146" w14:textId="77777777" w:rsidR="00FD6796" w:rsidRPr="00074768" w:rsidRDefault="00FD6796" w:rsidP="00FD6796">
      <w:pPr>
        <w:spacing w:line="240" w:lineRule="auto"/>
        <w:rPr>
          <w:rFonts w:ascii="Times New Roman" w:eastAsia="TimesNewRomanPS-BoldMT" w:hAnsi="Times New Roman"/>
          <w:b/>
          <w:bCs/>
        </w:rPr>
      </w:pPr>
    </w:p>
    <w:p w14:paraId="58BE6FBE" w14:textId="1D528555" w:rsidR="005D787C" w:rsidRPr="002642B8" w:rsidRDefault="005D787C" w:rsidP="005D787C">
      <w:pPr>
        <w:tabs>
          <w:tab w:val="left" w:pos="567"/>
        </w:tabs>
        <w:spacing w:after="0" w:line="240" w:lineRule="auto"/>
        <w:rPr>
          <w:rFonts w:ascii="Times New Roman" w:eastAsia="Times New Roman" w:hAnsi="Times New Roman"/>
          <w:b/>
          <w:bCs/>
        </w:rPr>
      </w:pPr>
      <w:r w:rsidRPr="002642B8">
        <w:rPr>
          <w:rFonts w:ascii="Times New Roman" w:eastAsia="Times New Roman" w:hAnsi="Times New Roman"/>
          <w:b/>
          <w:bCs/>
        </w:rPr>
        <w:t xml:space="preserve">Nedažni šalutinio poveikio reiškiniai (gali pasireikšti rečiau kaip 1 iš 100 asmenų): </w:t>
      </w:r>
    </w:p>
    <w:p w14:paraId="706B7CBC" w14:textId="77777777" w:rsidR="00137AFE" w:rsidRPr="00037DA8" w:rsidRDefault="00137AFE" w:rsidP="00137AFE">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Mažas kalio kiekis kraujyje.</w:t>
      </w:r>
    </w:p>
    <w:p w14:paraId="27C361AF" w14:textId="77777777" w:rsidR="00137AFE" w:rsidRDefault="00137AFE" w:rsidP="00137AFE">
      <w:pPr>
        <w:pStyle w:val="Sraopastraipa"/>
        <w:numPr>
          <w:ilvl w:val="1"/>
          <w:numId w:val="12"/>
        </w:numPr>
        <w:spacing w:line="240" w:lineRule="auto"/>
        <w:ind w:left="567" w:hanging="567"/>
        <w:rPr>
          <w:rFonts w:eastAsia="TimesNewRomanPSMT"/>
          <w:szCs w:val="22"/>
          <w:lang w:val="lt-LT"/>
        </w:rPr>
      </w:pPr>
      <w:r w:rsidRPr="00037DA8">
        <w:rPr>
          <w:rFonts w:eastAsia="TimesNewRomanPSMT"/>
          <w:szCs w:val="22"/>
          <w:lang w:val="lt-LT"/>
        </w:rPr>
        <w:t>Spengimas ausyse</w:t>
      </w:r>
      <w:r>
        <w:rPr>
          <w:rFonts w:eastAsia="TimesNewRomanPSMT"/>
          <w:szCs w:val="22"/>
          <w:lang w:val="lt-LT"/>
        </w:rPr>
        <w:t xml:space="preserve"> (</w:t>
      </w:r>
      <w:r w:rsidRPr="00376617">
        <w:rPr>
          <w:rFonts w:eastAsia="TimesNewRomanPSMT"/>
          <w:szCs w:val="22"/>
          <w:lang w:val="lt-LT"/>
        </w:rPr>
        <w:t>ūžesys [</w:t>
      </w:r>
      <w:proofErr w:type="spellStart"/>
      <w:r w:rsidRPr="00A1477B">
        <w:rPr>
          <w:rFonts w:eastAsia="TimesNewRomanPSMT"/>
          <w:i/>
          <w:iCs/>
          <w:szCs w:val="22"/>
          <w:lang w:val="lt-LT"/>
        </w:rPr>
        <w:t>tinnitus</w:t>
      </w:r>
      <w:proofErr w:type="spellEnd"/>
      <w:r w:rsidRPr="00376617">
        <w:rPr>
          <w:rFonts w:eastAsia="TimesNewRomanPSMT"/>
          <w:szCs w:val="22"/>
          <w:lang w:val="lt-LT"/>
        </w:rPr>
        <w:t>])</w:t>
      </w:r>
      <w:r w:rsidRPr="00037DA8">
        <w:rPr>
          <w:rFonts w:eastAsia="TimesNewRomanPSMT"/>
          <w:szCs w:val="22"/>
          <w:lang w:val="lt-LT"/>
        </w:rPr>
        <w:t>.</w:t>
      </w:r>
    </w:p>
    <w:p w14:paraId="5FFA8026" w14:textId="147D1DDE" w:rsidR="00F3447C" w:rsidRDefault="00F3447C" w:rsidP="00137AFE">
      <w:pPr>
        <w:pStyle w:val="Sraopastraipa"/>
        <w:numPr>
          <w:ilvl w:val="1"/>
          <w:numId w:val="12"/>
        </w:numPr>
        <w:spacing w:line="240" w:lineRule="auto"/>
        <w:ind w:left="567" w:hanging="567"/>
        <w:rPr>
          <w:rFonts w:eastAsia="TimesNewRomanPSMT"/>
          <w:szCs w:val="22"/>
          <w:lang w:val="lt-LT"/>
        </w:rPr>
      </w:pPr>
      <w:r>
        <w:rPr>
          <w:rFonts w:eastAsia="TimesNewRomanPSMT"/>
          <w:szCs w:val="22"/>
          <w:lang w:val="lt-LT"/>
        </w:rPr>
        <w:t>Karščio pojūtis odoje</w:t>
      </w:r>
      <w:r w:rsidR="000770B1">
        <w:rPr>
          <w:rFonts w:eastAsia="TimesNewRomanPSMT"/>
          <w:szCs w:val="22"/>
          <w:lang w:val="lt-LT"/>
        </w:rPr>
        <w:t>.</w:t>
      </w:r>
    </w:p>
    <w:p w14:paraId="51821385" w14:textId="7B4C5065" w:rsidR="000770B1" w:rsidRDefault="000770B1" w:rsidP="00137AFE">
      <w:pPr>
        <w:pStyle w:val="Sraopastraipa"/>
        <w:numPr>
          <w:ilvl w:val="1"/>
          <w:numId w:val="12"/>
        </w:numPr>
        <w:spacing w:line="240" w:lineRule="auto"/>
        <w:ind w:left="567" w:hanging="567"/>
        <w:rPr>
          <w:rFonts w:eastAsia="TimesNewRomanPSMT"/>
          <w:szCs w:val="22"/>
          <w:lang w:val="lt-LT"/>
        </w:rPr>
      </w:pPr>
      <w:r>
        <w:rPr>
          <w:rFonts w:eastAsia="TimesNewRomanPSMT"/>
          <w:szCs w:val="22"/>
          <w:lang w:val="lt-LT"/>
        </w:rPr>
        <w:t>Odos paraudimas.</w:t>
      </w:r>
    </w:p>
    <w:p w14:paraId="1707726E" w14:textId="77777777" w:rsidR="00FD6796" w:rsidRPr="0085406C" w:rsidRDefault="00FD6796" w:rsidP="008A75C3">
      <w:pPr>
        <w:pStyle w:val="Sraopastraipa"/>
        <w:numPr>
          <w:ilvl w:val="0"/>
          <w:numId w:val="12"/>
        </w:numPr>
        <w:spacing w:line="240" w:lineRule="auto"/>
        <w:ind w:left="567" w:hanging="567"/>
        <w:rPr>
          <w:rFonts w:eastAsia="TimesNewRomanPSMT"/>
          <w:szCs w:val="22"/>
          <w:lang w:val="lt-LT"/>
        </w:rPr>
      </w:pPr>
      <w:r w:rsidRPr="0085406C">
        <w:rPr>
          <w:rFonts w:eastAsia="TimesNewRomanPSMT"/>
          <w:szCs w:val="22"/>
          <w:lang w:val="lt-LT"/>
        </w:rPr>
        <w:t>Šlapimo pūslės uždegimas, galintis pasireikšti, jeigu anksčiau buvo taikytas šlapimo pūslės spindulinis gydymas (spindulinio gydymo sukeltų reakcijų atsinaujinimo fenomeno sukeltas cistitas).</w:t>
      </w:r>
    </w:p>
    <w:p w14:paraId="13BDB503" w14:textId="77777777" w:rsidR="00FD6796" w:rsidRPr="00074768" w:rsidRDefault="00FD6796" w:rsidP="00FD6796">
      <w:pPr>
        <w:spacing w:after="0" w:line="240" w:lineRule="auto"/>
        <w:rPr>
          <w:rFonts w:ascii="Times New Roman" w:hAnsi="Times New Roman"/>
          <w:b/>
          <w:bCs/>
        </w:rPr>
      </w:pPr>
    </w:p>
    <w:p w14:paraId="7DECC8B2" w14:textId="184CB0FE" w:rsidR="005D787C" w:rsidRPr="002642B8" w:rsidRDefault="005D787C" w:rsidP="005D787C">
      <w:pPr>
        <w:tabs>
          <w:tab w:val="left" w:pos="567"/>
        </w:tabs>
        <w:spacing w:after="0" w:line="240" w:lineRule="auto"/>
        <w:rPr>
          <w:rFonts w:ascii="Times New Roman" w:eastAsia="Times New Roman" w:hAnsi="Times New Roman"/>
          <w:b/>
          <w:bCs/>
        </w:rPr>
      </w:pPr>
      <w:r w:rsidRPr="002642B8">
        <w:rPr>
          <w:rFonts w:ascii="Times New Roman" w:eastAsia="Times New Roman" w:hAnsi="Times New Roman"/>
          <w:b/>
          <w:bCs/>
        </w:rPr>
        <w:t>Šalutinio poveikio reiškiniai, kurių dažnis nežinomas (negali būti apskaičiuotas pagal turimus duomenis):</w:t>
      </w:r>
    </w:p>
    <w:p w14:paraId="7FC1ED92" w14:textId="77777777" w:rsidR="00267DDB" w:rsidRPr="0085406C" w:rsidRDefault="00FD6796" w:rsidP="008A75C3">
      <w:pPr>
        <w:pStyle w:val="Sraopastraipa"/>
        <w:numPr>
          <w:ilvl w:val="0"/>
          <w:numId w:val="12"/>
        </w:numPr>
        <w:spacing w:line="240" w:lineRule="auto"/>
        <w:ind w:left="567" w:hanging="567"/>
        <w:rPr>
          <w:szCs w:val="22"/>
          <w:lang w:val="lt-LT"/>
        </w:rPr>
      </w:pPr>
      <w:proofErr w:type="spellStart"/>
      <w:r w:rsidRPr="0085406C">
        <w:rPr>
          <w:rFonts w:eastAsia="TimesNewRomanPSMT"/>
          <w:szCs w:val="22"/>
          <w:lang w:val="lt-LT"/>
        </w:rPr>
        <w:t>Intersticinė</w:t>
      </w:r>
      <w:proofErr w:type="spellEnd"/>
      <w:r w:rsidRPr="0085406C">
        <w:rPr>
          <w:rFonts w:eastAsia="TimesNewRomanPSMT"/>
          <w:szCs w:val="22"/>
          <w:lang w:val="lt-LT"/>
        </w:rPr>
        <w:t xml:space="preserve"> plaučių liga (kosulį ir kvėpavimo pasunkėjimą sukeliantis plaučių uždegimas).</w:t>
      </w:r>
    </w:p>
    <w:p w14:paraId="4DC4057B" w14:textId="77777777" w:rsidR="00FD6796" w:rsidRPr="00074768" w:rsidRDefault="00FD6796" w:rsidP="00267DDB">
      <w:pPr>
        <w:spacing w:after="0" w:line="240" w:lineRule="auto"/>
        <w:rPr>
          <w:rFonts w:ascii="Times New Roman" w:hAnsi="Times New Roman"/>
        </w:rPr>
      </w:pPr>
    </w:p>
    <w:p w14:paraId="74131ADE" w14:textId="77777777" w:rsidR="00267DDB" w:rsidRPr="00074768" w:rsidRDefault="00267DDB" w:rsidP="00267DDB">
      <w:pPr>
        <w:spacing w:after="0" w:line="240" w:lineRule="auto"/>
        <w:rPr>
          <w:rFonts w:ascii="Times New Roman" w:hAnsi="Times New Roman"/>
          <w:b/>
        </w:rPr>
      </w:pPr>
      <w:r w:rsidRPr="00074768">
        <w:rPr>
          <w:rFonts w:ascii="Times New Roman" w:hAnsi="Times New Roman"/>
          <w:b/>
        </w:rPr>
        <w:t>Pranešimas apie šalutinį poveikį</w:t>
      </w:r>
    </w:p>
    <w:p w14:paraId="651874F3" w14:textId="011B9E1D" w:rsidR="00B34310" w:rsidRPr="002B549A" w:rsidRDefault="00267DDB" w:rsidP="002B549A">
      <w:pPr>
        <w:tabs>
          <w:tab w:val="left" w:pos="567"/>
        </w:tabs>
        <w:ind w:right="-449"/>
        <w:rPr>
          <w:rFonts w:ascii="Times New Roman" w:hAnsi="Times New Roman"/>
        </w:rPr>
      </w:pPr>
      <w:r w:rsidRPr="002B549A">
        <w:rPr>
          <w:rFonts w:ascii="Times New Roman" w:hAnsi="Times New Roman"/>
        </w:rPr>
        <w:t xml:space="preserve">Jeigu pasireiškė šalutinis poveikis, įskaitant šiame lapelyje nenurodytą, pasakykite gydytojui, </w:t>
      </w:r>
      <w:r w:rsidR="00B34310" w:rsidRPr="002B549A">
        <w:rPr>
          <w:rFonts w:ascii="Times New Roman" w:hAnsi="Times New Roman"/>
        </w:rPr>
        <w:t xml:space="preserve">Pranešimą apie šalutinį poveikį galite </w:t>
      </w:r>
      <w:r w:rsidR="00B34310" w:rsidRPr="002B549A">
        <w:rPr>
          <w:rFonts w:ascii="Times New Roman" w:hAnsi="Times New Roman"/>
          <w:snapToGrid w:val="0"/>
          <w:szCs w:val="20"/>
        </w:rPr>
        <w:t xml:space="preserve">užpildyti ir </w:t>
      </w:r>
      <w:r w:rsidR="00B34310" w:rsidRPr="002B549A">
        <w:rPr>
          <w:rFonts w:ascii="Times New Roman" w:hAnsi="Times New Roman"/>
        </w:rPr>
        <w:t xml:space="preserve">pateikti Valstybinės vaistų kontrolės tarnybos prie Lietuvos Respublikos sveikatos apsaugos ministerijos </w:t>
      </w:r>
      <w:r w:rsidR="00B34310" w:rsidRPr="002B549A">
        <w:rPr>
          <w:rFonts w:ascii="Times New Roman" w:hAnsi="Times New Roman"/>
          <w:snapToGrid w:val="0"/>
          <w:szCs w:val="20"/>
        </w:rPr>
        <w:t>tinklalapyje</w:t>
      </w:r>
      <w:hyperlink w:history="1">
        <w:r w:rsidR="00B34310" w:rsidRPr="002B549A">
          <w:rPr>
            <w:rStyle w:val="Hipersaitas"/>
            <w:rFonts w:ascii="Times New Roman" w:hAnsi="Times New Roman"/>
            <w:snapToGrid w:val="0"/>
          </w:rPr>
          <w:t xml:space="preserve">https://vvkt.lrv.lt </w:t>
        </w:r>
      </w:hyperlink>
      <w:r w:rsidR="00B34310" w:rsidRPr="002B549A">
        <w:rPr>
          <w:rFonts w:ascii="Times New Roman" w:hAnsi="Times New Roman"/>
          <w:snapToGrid w:val="0"/>
          <w:szCs w:val="20"/>
          <w:u w:val="single"/>
        </w:rPr>
        <w:t>nurodytas būdais</w:t>
      </w:r>
      <w:r w:rsidR="00B34310" w:rsidRPr="002B549A">
        <w:rPr>
          <w:rFonts w:ascii="Times New Roman" w:hAnsi="Times New Roman"/>
          <w:color w:val="0000FF"/>
          <w:u w:val="single"/>
        </w:rPr>
        <w:t xml:space="preserve"> </w:t>
      </w:r>
      <w:r w:rsidR="00B34310" w:rsidRPr="002B549A">
        <w:rPr>
          <w:rFonts w:ascii="Times New Roman" w:hAnsi="Times New Roman"/>
          <w:snapToGrid w:val="0"/>
          <w:szCs w:val="20"/>
        </w:rPr>
        <w:t>arba paskambinti</w:t>
      </w:r>
      <w:r w:rsidR="00B34310" w:rsidRPr="002B549A">
        <w:rPr>
          <w:rFonts w:ascii="Times New Roman" w:hAnsi="Times New Roman"/>
        </w:rPr>
        <w:t xml:space="preserve"> nemokamu telefonu 8 800 73 568. Pranešdami apie šalutinį poveikį galite mums padėti gauti daugiau informacijos apie šio vaisto saugumą.</w:t>
      </w:r>
    </w:p>
    <w:p w14:paraId="134D0EDF" w14:textId="77777777" w:rsidR="00267DDB" w:rsidRDefault="00267DDB" w:rsidP="002B549A">
      <w:pPr>
        <w:spacing w:after="0" w:line="240" w:lineRule="auto"/>
        <w:ind w:right="48"/>
        <w:rPr>
          <w:rFonts w:ascii="Times New Roman" w:hAnsi="Times New Roman"/>
        </w:rPr>
      </w:pPr>
    </w:p>
    <w:p w14:paraId="64E8CD8B" w14:textId="77777777" w:rsidR="00C33FF9" w:rsidRPr="00074768" w:rsidRDefault="00C33FF9" w:rsidP="00267DDB">
      <w:pPr>
        <w:spacing w:after="0" w:line="240" w:lineRule="auto"/>
        <w:rPr>
          <w:rFonts w:ascii="Times New Roman" w:hAnsi="Times New Roman"/>
        </w:rPr>
      </w:pPr>
    </w:p>
    <w:p w14:paraId="0E4033E4" w14:textId="77777777" w:rsidR="00267DDB" w:rsidRPr="00074768" w:rsidRDefault="00267DDB" w:rsidP="00267DDB">
      <w:pPr>
        <w:tabs>
          <w:tab w:val="left" w:pos="567"/>
        </w:tabs>
        <w:spacing w:after="0" w:line="240" w:lineRule="auto"/>
        <w:rPr>
          <w:rFonts w:ascii="Times New Roman" w:hAnsi="Times New Roman"/>
          <w:b/>
        </w:rPr>
      </w:pPr>
      <w:r w:rsidRPr="00074768">
        <w:rPr>
          <w:rFonts w:ascii="Times New Roman" w:hAnsi="Times New Roman"/>
          <w:b/>
        </w:rPr>
        <w:t>5.</w:t>
      </w:r>
      <w:r w:rsidRPr="00074768">
        <w:rPr>
          <w:rFonts w:ascii="Times New Roman" w:hAnsi="Times New Roman"/>
          <w:b/>
        </w:rPr>
        <w:tab/>
        <w:t xml:space="preserve">Kaip laikyti </w:t>
      </w:r>
      <w:proofErr w:type="spellStart"/>
      <w:r w:rsidR="00FE3805" w:rsidRPr="00074768">
        <w:rPr>
          <w:rFonts w:ascii="Times New Roman" w:hAnsi="Times New Roman"/>
          <w:b/>
        </w:rPr>
        <w:t>Cabazitaxel</w:t>
      </w:r>
      <w:proofErr w:type="spellEnd"/>
      <w:r w:rsidR="00FE3805" w:rsidRPr="00074768">
        <w:rPr>
          <w:rFonts w:ascii="Times New Roman" w:hAnsi="Times New Roman"/>
          <w:b/>
        </w:rPr>
        <w:t xml:space="preserve"> </w:t>
      </w:r>
      <w:proofErr w:type="spellStart"/>
      <w:r w:rsidR="00FE3805" w:rsidRPr="00074768">
        <w:rPr>
          <w:rFonts w:ascii="Times New Roman" w:hAnsi="Times New Roman"/>
          <w:b/>
        </w:rPr>
        <w:t>Sandoz</w:t>
      </w:r>
      <w:proofErr w:type="spellEnd"/>
    </w:p>
    <w:p w14:paraId="5013721E" w14:textId="77777777" w:rsidR="00267DDB" w:rsidRPr="00074768" w:rsidRDefault="00267DDB" w:rsidP="00267DDB">
      <w:pPr>
        <w:spacing w:after="0" w:line="240" w:lineRule="auto"/>
        <w:rPr>
          <w:rFonts w:ascii="Times New Roman" w:hAnsi="Times New Roman"/>
          <w:b/>
        </w:rPr>
      </w:pPr>
    </w:p>
    <w:p w14:paraId="150DBCE5" w14:textId="77777777" w:rsidR="00267DDB" w:rsidRPr="00074768" w:rsidRDefault="00267DDB" w:rsidP="00267DDB">
      <w:pPr>
        <w:spacing w:after="0" w:line="240" w:lineRule="auto"/>
        <w:rPr>
          <w:rFonts w:ascii="Times New Roman" w:hAnsi="Times New Roman"/>
        </w:rPr>
      </w:pPr>
      <w:r w:rsidRPr="00074768">
        <w:rPr>
          <w:rFonts w:ascii="Times New Roman" w:hAnsi="Times New Roman"/>
        </w:rPr>
        <w:t>Šį vaistą laikykite vaikams nepastebimoje ir nepasiekiamoje vietoje.</w:t>
      </w:r>
    </w:p>
    <w:p w14:paraId="4B14686B" w14:textId="77777777" w:rsidR="00267DDB" w:rsidRPr="00074768" w:rsidRDefault="00267DDB" w:rsidP="00267DDB">
      <w:pPr>
        <w:spacing w:after="0" w:line="240" w:lineRule="auto"/>
        <w:rPr>
          <w:rFonts w:ascii="Times New Roman" w:hAnsi="Times New Roman"/>
        </w:rPr>
      </w:pPr>
    </w:p>
    <w:p w14:paraId="68F6B8CB" w14:textId="7D2C3A45" w:rsidR="00267DDB" w:rsidRPr="00074768" w:rsidRDefault="00267DDB" w:rsidP="00267DDB">
      <w:pPr>
        <w:spacing w:after="0" w:line="240" w:lineRule="auto"/>
        <w:rPr>
          <w:rFonts w:ascii="Times New Roman" w:hAnsi="Times New Roman"/>
        </w:rPr>
      </w:pPr>
      <w:r w:rsidRPr="00074768">
        <w:rPr>
          <w:rFonts w:ascii="Times New Roman" w:hAnsi="Times New Roman"/>
        </w:rPr>
        <w:t xml:space="preserve">Ant dėžutės ir flakono etiketės po „EXP“ nurodytam tinkamumo laikui pasibaigus, šio vaisto vartoti negalima. Vaistas tinkamas vartoti iki paskutinės nurodyto mėnesio dienos. </w:t>
      </w:r>
    </w:p>
    <w:p w14:paraId="5C1C4179" w14:textId="77777777" w:rsidR="00267DDB" w:rsidRPr="00074768" w:rsidRDefault="00267DDB" w:rsidP="00267DDB">
      <w:pPr>
        <w:spacing w:after="0" w:line="240" w:lineRule="auto"/>
        <w:rPr>
          <w:rFonts w:ascii="Times New Roman" w:hAnsi="Times New Roman"/>
        </w:rPr>
      </w:pPr>
    </w:p>
    <w:p w14:paraId="4308B738" w14:textId="512ECB20" w:rsidR="00153EF5" w:rsidRPr="00BC3E54" w:rsidRDefault="00153EF5" w:rsidP="00153EF5">
      <w:pPr>
        <w:widowControl w:val="0"/>
        <w:autoSpaceDE w:val="0"/>
        <w:autoSpaceDN w:val="0"/>
        <w:adjustRightInd w:val="0"/>
        <w:spacing w:after="0" w:line="240" w:lineRule="auto"/>
        <w:rPr>
          <w:rFonts w:ascii="Times New Roman" w:eastAsia="Times New Roman" w:hAnsi="Times New Roman"/>
          <w:snapToGrid w:val="0"/>
        </w:rPr>
      </w:pPr>
      <w:r w:rsidRPr="0085406C">
        <w:rPr>
          <w:rFonts w:ascii="Times New Roman" w:eastAsia="Times New Roman" w:hAnsi="Times New Roman"/>
          <w:snapToGrid w:val="0"/>
        </w:rPr>
        <w:t>Laikyti ne aukštesnėje kaip 25</w:t>
      </w:r>
      <w:r w:rsidR="00324597">
        <w:rPr>
          <w:rFonts w:ascii="Times New Roman" w:eastAsia="Times New Roman" w:hAnsi="Times New Roman"/>
          <w:snapToGrid w:val="0"/>
        </w:rPr>
        <w:t> </w:t>
      </w:r>
      <w:r w:rsidRPr="00074768">
        <w:rPr>
          <w:rFonts w:ascii="Times New Roman" w:eastAsia="Times New Roman" w:hAnsi="Times New Roman"/>
          <w:snapToGrid w:val="0"/>
        </w:rPr>
        <w:sym w:font="Symbol" w:char="F0B0"/>
      </w:r>
      <w:r w:rsidRPr="00074768">
        <w:rPr>
          <w:rFonts w:ascii="Times New Roman" w:eastAsia="Times New Roman" w:hAnsi="Times New Roman"/>
          <w:snapToGrid w:val="0"/>
        </w:rPr>
        <w:t>C temperatūroje</w:t>
      </w:r>
    </w:p>
    <w:p w14:paraId="4069A746" w14:textId="77777777" w:rsidR="00153EF5" w:rsidRPr="00074768" w:rsidRDefault="00153EF5" w:rsidP="00267DDB">
      <w:pPr>
        <w:widowControl w:val="0"/>
        <w:autoSpaceDE w:val="0"/>
        <w:autoSpaceDN w:val="0"/>
        <w:adjustRightInd w:val="0"/>
        <w:spacing w:after="0" w:line="240" w:lineRule="auto"/>
        <w:rPr>
          <w:rFonts w:ascii="Times New Roman" w:eastAsia="Times New Roman" w:hAnsi="Times New Roman"/>
          <w:snapToGrid w:val="0"/>
          <w:u w:val="single"/>
        </w:rPr>
      </w:pPr>
    </w:p>
    <w:p w14:paraId="304310A8" w14:textId="53C694D2" w:rsidR="00267DDB" w:rsidRPr="00074768" w:rsidRDefault="00153EF5" w:rsidP="00153EF5">
      <w:pPr>
        <w:spacing w:after="0" w:line="240" w:lineRule="auto"/>
        <w:rPr>
          <w:rFonts w:ascii="Times New Roman" w:hAnsi="Times New Roman"/>
        </w:rPr>
      </w:pPr>
      <w:r w:rsidRPr="00074768">
        <w:rPr>
          <w:rFonts w:ascii="Times New Roman" w:hAnsi="Times New Roman"/>
        </w:rPr>
        <w:t xml:space="preserve">Informacija apie praskiesto ir vartoti paruošto </w:t>
      </w:r>
      <w:proofErr w:type="spellStart"/>
      <w:r w:rsidRPr="00074768">
        <w:rPr>
          <w:rFonts w:ascii="Times New Roman" w:hAnsi="Times New Roman"/>
        </w:rPr>
        <w:t>Cabazitaxel</w:t>
      </w:r>
      <w:proofErr w:type="spellEnd"/>
      <w:r w:rsidRPr="00074768">
        <w:rPr>
          <w:rFonts w:ascii="Times New Roman" w:hAnsi="Times New Roman"/>
        </w:rPr>
        <w:t xml:space="preserve"> </w:t>
      </w:r>
      <w:proofErr w:type="spellStart"/>
      <w:r w:rsidRPr="00074768">
        <w:rPr>
          <w:rFonts w:ascii="Times New Roman" w:hAnsi="Times New Roman"/>
        </w:rPr>
        <w:t>Sandoz</w:t>
      </w:r>
      <w:proofErr w:type="spellEnd"/>
      <w:r w:rsidRPr="00074768">
        <w:rPr>
          <w:rFonts w:ascii="Times New Roman" w:hAnsi="Times New Roman"/>
        </w:rPr>
        <w:t xml:space="preserve"> laikymo sąlygas ir tinkamumo laiką pateikta</w:t>
      </w:r>
      <w:r w:rsidR="004B7C5B" w:rsidRPr="00074768">
        <w:rPr>
          <w:rFonts w:ascii="Times New Roman" w:hAnsi="Times New Roman"/>
        </w:rPr>
        <w:t xml:space="preserve"> s</w:t>
      </w:r>
      <w:r w:rsidRPr="00074768">
        <w:rPr>
          <w:rFonts w:ascii="Times New Roman" w:hAnsi="Times New Roman"/>
        </w:rPr>
        <w:t>kyriuje „MEDICINOS AR SVEIKATOS PRIEŽIŪROS SPECIALISTAMS SKIRTA PRAKTINĖ INFORMACIJA APIE C</w:t>
      </w:r>
      <w:r w:rsidR="00E15730" w:rsidRPr="00074768">
        <w:rPr>
          <w:rFonts w:ascii="Times New Roman" w:hAnsi="Times New Roman"/>
        </w:rPr>
        <w:t>ABAZITAXEL SANDOZ</w:t>
      </w:r>
      <w:r w:rsidRPr="00074768">
        <w:rPr>
          <w:rFonts w:ascii="Times New Roman" w:hAnsi="Times New Roman"/>
        </w:rPr>
        <w:t xml:space="preserve"> RUOŠIMĄ, VARTOJIMĄ IR DARBĄ SU VAISTINIU PREPARATU</w:t>
      </w:r>
      <w:r w:rsidR="00E15730" w:rsidRPr="00074768">
        <w:rPr>
          <w:rFonts w:ascii="Times New Roman" w:hAnsi="Times New Roman"/>
        </w:rPr>
        <w:t>“.</w:t>
      </w:r>
    </w:p>
    <w:p w14:paraId="17E2C9E9" w14:textId="77777777" w:rsidR="00153EF5" w:rsidRPr="00074768" w:rsidRDefault="00153EF5" w:rsidP="00267DDB">
      <w:pPr>
        <w:spacing w:after="0" w:line="240" w:lineRule="auto"/>
        <w:rPr>
          <w:rFonts w:ascii="Times New Roman" w:hAnsi="Times New Roman"/>
        </w:rPr>
      </w:pPr>
    </w:p>
    <w:p w14:paraId="7268B10E" w14:textId="04397D74" w:rsidR="00267DDB" w:rsidRPr="00074768" w:rsidRDefault="00267DDB" w:rsidP="00267DDB">
      <w:pPr>
        <w:spacing w:after="0" w:line="240" w:lineRule="auto"/>
        <w:rPr>
          <w:rFonts w:ascii="Times New Roman" w:hAnsi="Times New Roman"/>
        </w:rPr>
      </w:pPr>
      <w:r w:rsidRPr="00074768">
        <w:rPr>
          <w:rFonts w:ascii="Times New Roman" w:hAnsi="Times New Roman"/>
        </w:rPr>
        <w:t>Vaistų negalima išmesti į kanalizaciją arba su buitinėmis atliekomis. Kaip išmesti nereikalingus vaistus, klauskite vaistininko. Šios priemonės padės apsaugoti aplinką.</w:t>
      </w:r>
    </w:p>
    <w:p w14:paraId="355D55E1" w14:textId="77777777" w:rsidR="00267DDB" w:rsidRPr="00074768" w:rsidRDefault="00267DDB" w:rsidP="00267DDB">
      <w:pPr>
        <w:spacing w:after="0" w:line="240" w:lineRule="auto"/>
        <w:rPr>
          <w:rFonts w:ascii="Times New Roman" w:hAnsi="Times New Roman"/>
        </w:rPr>
      </w:pPr>
    </w:p>
    <w:p w14:paraId="58B472E0" w14:textId="77777777" w:rsidR="00267DDB" w:rsidRPr="00074768" w:rsidRDefault="00267DDB" w:rsidP="00267DDB">
      <w:pPr>
        <w:spacing w:after="0" w:line="240" w:lineRule="auto"/>
        <w:rPr>
          <w:rFonts w:ascii="Times New Roman" w:hAnsi="Times New Roman"/>
        </w:rPr>
      </w:pPr>
    </w:p>
    <w:p w14:paraId="1DA7E8EC" w14:textId="77777777" w:rsidR="00267DDB" w:rsidRPr="00074768" w:rsidRDefault="00267DDB" w:rsidP="00267DDB">
      <w:pPr>
        <w:tabs>
          <w:tab w:val="left" w:pos="567"/>
        </w:tabs>
        <w:spacing w:after="0" w:line="240" w:lineRule="auto"/>
        <w:rPr>
          <w:rFonts w:ascii="Times New Roman" w:hAnsi="Times New Roman"/>
          <w:b/>
        </w:rPr>
      </w:pPr>
      <w:r w:rsidRPr="00074768">
        <w:rPr>
          <w:rFonts w:ascii="Times New Roman" w:hAnsi="Times New Roman"/>
          <w:b/>
        </w:rPr>
        <w:t>6.</w:t>
      </w:r>
      <w:r w:rsidRPr="00074768">
        <w:rPr>
          <w:rFonts w:ascii="Times New Roman" w:hAnsi="Times New Roman"/>
          <w:b/>
        </w:rPr>
        <w:tab/>
        <w:t>Pakuotės turinys ir kita informacija</w:t>
      </w:r>
    </w:p>
    <w:p w14:paraId="4D9F6EA4" w14:textId="77777777" w:rsidR="00267DDB" w:rsidRPr="00074768" w:rsidRDefault="00267DDB" w:rsidP="00267DDB">
      <w:pPr>
        <w:spacing w:after="0" w:line="240" w:lineRule="auto"/>
        <w:rPr>
          <w:rFonts w:ascii="Times New Roman" w:hAnsi="Times New Roman"/>
        </w:rPr>
      </w:pPr>
    </w:p>
    <w:p w14:paraId="7864594C" w14:textId="77777777" w:rsidR="00267DDB" w:rsidRPr="00074768" w:rsidRDefault="00FE3805" w:rsidP="00267DDB">
      <w:pPr>
        <w:spacing w:after="0" w:line="240" w:lineRule="auto"/>
        <w:rPr>
          <w:rFonts w:ascii="Times New Roman" w:hAnsi="Times New Roman"/>
          <w:b/>
        </w:rPr>
      </w:pPr>
      <w:proofErr w:type="spellStart"/>
      <w:r w:rsidRPr="00074768">
        <w:rPr>
          <w:rFonts w:ascii="Times New Roman" w:hAnsi="Times New Roman"/>
          <w:b/>
        </w:rPr>
        <w:t>Cabazitaxel</w:t>
      </w:r>
      <w:proofErr w:type="spellEnd"/>
      <w:r w:rsidRPr="00074768">
        <w:rPr>
          <w:rFonts w:ascii="Times New Roman" w:hAnsi="Times New Roman"/>
          <w:b/>
        </w:rPr>
        <w:t xml:space="preserve"> </w:t>
      </w:r>
      <w:proofErr w:type="spellStart"/>
      <w:r w:rsidRPr="00074768">
        <w:rPr>
          <w:rFonts w:ascii="Times New Roman" w:hAnsi="Times New Roman"/>
          <w:b/>
        </w:rPr>
        <w:t>Sandoz</w:t>
      </w:r>
      <w:proofErr w:type="spellEnd"/>
      <w:r w:rsidR="00267DDB" w:rsidRPr="00074768">
        <w:rPr>
          <w:rFonts w:ascii="Times New Roman" w:hAnsi="Times New Roman"/>
          <w:b/>
        </w:rPr>
        <w:t xml:space="preserve"> sudėtis</w:t>
      </w:r>
    </w:p>
    <w:p w14:paraId="3CC2C301" w14:textId="77777777" w:rsidR="00267DDB" w:rsidRPr="004200DB" w:rsidRDefault="00267DDB" w:rsidP="008A75C3">
      <w:pPr>
        <w:pStyle w:val="Sraopastraipa"/>
        <w:numPr>
          <w:ilvl w:val="0"/>
          <w:numId w:val="14"/>
        </w:numPr>
        <w:spacing w:line="240" w:lineRule="auto"/>
        <w:ind w:left="567" w:hanging="567"/>
        <w:rPr>
          <w:szCs w:val="22"/>
          <w:lang w:val="lt-LT"/>
        </w:rPr>
      </w:pPr>
      <w:r w:rsidRPr="0085406C">
        <w:rPr>
          <w:szCs w:val="22"/>
          <w:lang w:val="lt-LT"/>
        </w:rPr>
        <w:t xml:space="preserve">Veiklioji medžiaga yra </w:t>
      </w:r>
      <w:proofErr w:type="spellStart"/>
      <w:r w:rsidR="00153EF5" w:rsidRPr="0085406C">
        <w:rPr>
          <w:szCs w:val="22"/>
          <w:lang w:val="lt-LT"/>
        </w:rPr>
        <w:t>kabazitakselis</w:t>
      </w:r>
      <w:proofErr w:type="spellEnd"/>
      <w:r w:rsidR="00D369E0" w:rsidRPr="0085406C">
        <w:rPr>
          <w:szCs w:val="22"/>
          <w:lang w:val="lt-LT"/>
        </w:rPr>
        <w:t xml:space="preserve"> (</w:t>
      </w:r>
      <w:proofErr w:type="spellStart"/>
      <w:r w:rsidR="00153EF5" w:rsidRPr="0085406C">
        <w:rPr>
          <w:szCs w:val="22"/>
          <w:lang w:val="lt-LT"/>
        </w:rPr>
        <w:t>mono</w:t>
      </w:r>
      <w:r w:rsidR="00D369E0" w:rsidRPr="0085406C">
        <w:rPr>
          <w:szCs w:val="22"/>
          <w:lang w:val="lt-LT"/>
        </w:rPr>
        <w:t>hidrato</w:t>
      </w:r>
      <w:proofErr w:type="spellEnd"/>
      <w:r w:rsidR="00D369E0" w:rsidRPr="0085406C">
        <w:rPr>
          <w:szCs w:val="22"/>
          <w:lang w:val="lt-LT"/>
        </w:rPr>
        <w:t xml:space="preserve"> pavidalu)</w:t>
      </w:r>
      <w:r w:rsidRPr="0085406C">
        <w:rPr>
          <w:szCs w:val="22"/>
          <w:lang w:val="lt-LT"/>
        </w:rPr>
        <w:t>.</w:t>
      </w:r>
    </w:p>
    <w:p w14:paraId="16BFC3B9" w14:textId="77777777" w:rsidR="00D369E0" w:rsidRPr="004200DB" w:rsidRDefault="00D369E0" w:rsidP="00D369E0">
      <w:pPr>
        <w:tabs>
          <w:tab w:val="left" w:pos="567"/>
        </w:tabs>
        <w:spacing w:after="0" w:line="260" w:lineRule="exact"/>
        <w:rPr>
          <w:rFonts w:ascii="Times New Roman" w:eastAsia="Times New Roman" w:hAnsi="Times New Roman"/>
          <w:snapToGrid w:val="0"/>
        </w:rPr>
      </w:pPr>
    </w:p>
    <w:p w14:paraId="55C45930" w14:textId="77777777" w:rsidR="00153EF5" w:rsidRPr="00037DA8" w:rsidRDefault="00153EF5" w:rsidP="00951635">
      <w:pPr>
        <w:tabs>
          <w:tab w:val="left" w:pos="567"/>
        </w:tabs>
        <w:spacing w:after="0" w:line="260" w:lineRule="exact"/>
        <w:ind w:left="567"/>
        <w:rPr>
          <w:rFonts w:ascii="Times New Roman" w:eastAsia="Times New Roman" w:hAnsi="Times New Roman"/>
          <w:snapToGrid w:val="0"/>
        </w:rPr>
      </w:pPr>
      <w:r w:rsidRPr="00037DA8">
        <w:rPr>
          <w:rFonts w:ascii="Times New Roman" w:eastAsia="Times New Roman" w:hAnsi="Times New Roman"/>
          <w:snapToGrid w:val="0"/>
        </w:rPr>
        <w:t xml:space="preserve">Kiekviename flakone esančiuose 4,5 ml koncentrato infuziniam tirpalui yra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monohidrato</w:t>
      </w:r>
      <w:proofErr w:type="spellEnd"/>
      <w:r w:rsidRPr="00037DA8">
        <w:rPr>
          <w:rFonts w:ascii="Times New Roman" w:eastAsia="Times New Roman" w:hAnsi="Times New Roman"/>
          <w:snapToGrid w:val="0"/>
        </w:rPr>
        <w:t xml:space="preserve"> kiekis, ekvivalentiškas 45 mg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w:t>
      </w:r>
    </w:p>
    <w:p w14:paraId="689E5D21" w14:textId="77777777" w:rsidR="00153EF5" w:rsidRPr="00037DA8" w:rsidRDefault="00153EF5" w:rsidP="00951635">
      <w:pPr>
        <w:shd w:val="clear" w:color="auto" w:fill="FFFFFF" w:themeFill="background1"/>
        <w:tabs>
          <w:tab w:val="left" w:pos="567"/>
        </w:tabs>
        <w:spacing w:after="0" w:line="260" w:lineRule="exact"/>
        <w:ind w:left="567"/>
        <w:rPr>
          <w:rFonts w:ascii="Times New Roman" w:eastAsia="Times New Roman" w:hAnsi="Times New Roman"/>
          <w:snapToGrid w:val="0"/>
        </w:rPr>
      </w:pPr>
      <w:r w:rsidRPr="00037DA8">
        <w:rPr>
          <w:rFonts w:ascii="Times New Roman" w:eastAsia="Times New Roman" w:hAnsi="Times New Roman"/>
          <w:snapToGrid w:val="0"/>
          <w:highlight w:val="lightGray"/>
        </w:rPr>
        <w:t xml:space="preserve">Kiekviename flakone esančiuose 6 ml koncentrato infuziniam tirpalui yra </w:t>
      </w:r>
      <w:proofErr w:type="spellStart"/>
      <w:r w:rsidRPr="00037DA8">
        <w:rPr>
          <w:rFonts w:ascii="Times New Roman" w:eastAsia="Times New Roman" w:hAnsi="Times New Roman"/>
          <w:snapToGrid w:val="0"/>
          <w:highlight w:val="lightGray"/>
        </w:rPr>
        <w:t>kabazitakselio</w:t>
      </w:r>
      <w:proofErr w:type="spellEnd"/>
      <w:r w:rsidRPr="00037DA8">
        <w:rPr>
          <w:rFonts w:ascii="Times New Roman" w:eastAsia="Times New Roman" w:hAnsi="Times New Roman"/>
          <w:snapToGrid w:val="0"/>
          <w:highlight w:val="lightGray"/>
        </w:rPr>
        <w:t xml:space="preserve"> </w:t>
      </w:r>
      <w:proofErr w:type="spellStart"/>
      <w:r w:rsidRPr="00037DA8">
        <w:rPr>
          <w:rFonts w:ascii="Times New Roman" w:eastAsia="Times New Roman" w:hAnsi="Times New Roman"/>
          <w:snapToGrid w:val="0"/>
          <w:highlight w:val="lightGray"/>
        </w:rPr>
        <w:t>monohidrato</w:t>
      </w:r>
      <w:proofErr w:type="spellEnd"/>
      <w:r w:rsidRPr="00037DA8">
        <w:rPr>
          <w:rFonts w:ascii="Times New Roman" w:eastAsia="Times New Roman" w:hAnsi="Times New Roman"/>
          <w:snapToGrid w:val="0"/>
          <w:highlight w:val="lightGray"/>
        </w:rPr>
        <w:t xml:space="preserve"> kiekis, ekvivalentiškas 60 mg </w:t>
      </w:r>
      <w:proofErr w:type="spellStart"/>
      <w:r w:rsidRPr="00037DA8">
        <w:rPr>
          <w:rFonts w:ascii="Times New Roman" w:eastAsia="Times New Roman" w:hAnsi="Times New Roman"/>
          <w:snapToGrid w:val="0"/>
          <w:highlight w:val="lightGray"/>
        </w:rPr>
        <w:t>kabazitakselio</w:t>
      </w:r>
      <w:proofErr w:type="spellEnd"/>
      <w:r w:rsidRPr="00037DA8">
        <w:rPr>
          <w:rFonts w:ascii="Times New Roman" w:eastAsia="Times New Roman" w:hAnsi="Times New Roman"/>
          <w:snapToGrid w:val="0"/>
          <w:highlight w:val="lightGray"/>
        </w:rPr>
        <w:t>.</w:t>
      </w:r>
    </w:p>
    <w:p w14:paraId="1E679AE6" w14:textId="77777777" w:rsidR="00153EF5" w:rsidRPr="00037DA8" w:rsidRDefault="00153EF5" w:rsidP="00951635">
      <w:pPr>
        <w:tabs>
          <w:tab w:val="left" w:pos="567"/>
        </w:tabs>
        <w:spacing w:after="0" w:line="260" w:lineRule="exact"/>
        <w:ind w:left="567"/>
        <w:rPr>
          <w:rFonts w:ascii="Times New Roman" w:eastAsia="Times New Roman" w:hAnsi="Times New Roman"/>
          <w:snapToGrid w:val="0"/>
        </w:rPr>
      </w:pPr>
    </w:p>
    <w:p w14:paraId="07AE3037" w14:textId="77777777" w:rsidR="00153EF5" w:rsidRPr="00037DA8" w:rsidRDefault="00153EF5" w:rsidP="00951635">
      <w:pPr>
        <w:tabs>
          <w:tab w:val="left" w:pos="567"/>
        </w:tabs>
        <w:spacing w:after="0" w:line="260" w:lineRule="exact"/>
        <w:ind w:left="567"/>
        <w:rPr>
          <w:rFonts w:ascii="Times New Roman" w:eastAsia="Times New Roman" w:hAnsi="Times New Roman"/>
          <w:snapToGrid w:val="0"/>
        </w:rPr>
      </w:pPr>
      <w:r w:rsidRPr="00037DA8">
        <w:rPr>
          <w:rFonts w:ascii="Times New Roman" w:eastAsia="Times New Roman" w:hAnsi="Times New Roman"/>
          <w:snapToGrid w:val="0"/>
        </w:rPr>
        <w:t xml:space="preserve">Kiekviename koncentrato infuziniam tirpalui ml yra 10 mg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w:t>
      </w:r>
    </w:p>
    <w:p w14:paraId="407C6C79" w14:textId="25A66CA3" w:rsidR="00951635" w:rsidRPr="00037DA8" w:rsidRDefault="00D369E0" w:rsidP="008A75C3">
      <w:pPr>
        <w:pStyle w:val="Sraopastraipa"/>
        <w:numPr>
          <w:ilvl w:val="0"/>
          <w:numId w:val="13"/>
        </w:numPr>
        <w:ind w:left="567" w:hanging="567"/>
        <w:rPr>
          <w:szCs w:val="22"/>
          <w:lang w:val="lt-LT"/>
        </w:rPr>
      </w:pPr>
      <w:r w:rsidRPr="00037DA8">
        <w:rPr>
          <w:szCs w:val="22"/>
          <w:lang w:val="lt-LT"/>
        </w:rPr>
        <w:lastRenderedPageBreak/>
        <w:t xml:space="preserve">Pagalbinės medžiagos yra </w:t>
      </w:r>
      <w:proofErr w:type="spellStart"/>
      <w:r w:rsidR="00153EF5" w:rsidRPr="00037DA8">
        <w:rPr>
          <w:szCs w:val="22"/>
          <w:lang w:val="lt-LT"/>
        </w:rPr>
        <w:t>polisorbatas</w:t>
      </w:r>
      <w:proofErr w:type="spellEnd"/>
      <w:r w:rsidR="00934AB2">
        <w:rPr>
          <w:szCs w:val="22"/>
          <w:lang w:val="lt-LT"/>
        </w:rPr>
        <w:t> </w:t>
      </w:r>
      <w:r w:rsidR="00153EF5" w:rsidRPr="00037DA8">
        <w:rPr>
          <w:szCs w:val="22"/>
          <w:lang w:val="lt-LT"/>
        </w:rPr>
        <w:t xml:space="preserve">80, bevandenė citrinų rūgštis, bevandenis etanolis, </w:t>
      </w:r>
      <w:proofErr w:type="spellStart"/>
      <w:r w:rsidR="00153EF5" w:rsidRPr="00037DA8">
        <w:rPr>
          <w:szCs w:val="22"/>
          <w:lang w:val="lt-LT"/>
        </w:rPr>
        <w:t>makrogolis</w:t>
      </w:r>
      <w:proofErr w:type="spellEnd"/>
      <w:r w:rsidR="00934AB2">
        <w:rPr>
          <w:szCs w:val="22"/>
          <w:lang w:val="lt-LT"/>
        </w:rPr>
        <w:t> </w:t>
      </w:r>
      <w:r w:rsidR="00153EF5" w:rsidRPr="00037DA8">
        <w:rPr>
          <w:szCs w:val="22"/>
          <w:lang w:val="lt-LT"/>
        </w:rPr>
        <w:t>300. Prašom peržiūrėti 2</w:t>
      </w:r>
      <w:r w:rsidR="00934AB2">
        <w:rPr>
          <w:szCs w:val="22"/>
          <w:lang w:val="lt-LT"/>
        </w:rPr>
        <w:t> </w:t>
      </w:r>
      <w:r w:rsidR="00153EF5" w:rsidRPr="00037DA8">
        <w:rPr>
          <w:szCs w:val="22"/>
          <w:lang w:val="lt-LT"/>
        </w:rPr>
        <w:t>skyriaus poskyrį „</w:t>
      </w:r>
      <w:r w:rsidR="00951635" w:rsidRPr="00037DA8">
        <w:rPr>
          <w:szCs w:val="22"/>
          <w:lang w:val="lt-LT"/>
        </w:rPr>
        <w:t xml:space="preserve"> </w:t>
      </w:r>
      <w:proofErr w:type="spellStart"/>
      <w:r w:rsidR="00951635" w:rsidRPr="00037DA8">
        <w:rPr>
          <w:i/>
          <w:szCs w:val="22"/>
          <w:lang w:val="lt-LT"/>
        </w:rPr>
        <w:t>Cabazitaxel</w:t>
      </w:r>
      <w:proofErr w:type="spellEnd"/>
      <w:r w:rsidR="00951635" w:rsidRPr="00037DA8">
        <w:rPr>
          <w:i/>
          <w:szCs w:val="22"/>
          <w:lang w:val="lt-LT"/>
        </w:rPr>
        <w:t xml:space="preserve"> </w:t>
      </w:r>
      <w:proofErr w:type="spellStart"/>
      <w:r w:rsidR="00951635" w:rsidRPr="00037DA8">
        <w:rPr>
          <w:i/>
          <w:szCs w:val="22"/>
          <w:lang w:val="lt-LT"/>
        </w:rPr>
        <w:t>Sandoz</w:t>
      </w:r>
      <w:proofErr w:type="spellEnd"/>
      <w:r w:rsidR="00951635" w:rsidRPr="00037DA8">
        <w:rPr>
          <w:i/>
          <w:szCs w:val="22"/>
          <w:lang w:val="lt-LT"/>
        </w:rPr>
        <w:t xml:space="preserve"> sudėtyje yra </w:t>
      </w:r>
      <w:r w:rsidR="00F41061">
        <w:rPr>
          <w:i/>
          <w:szCs w:val="22"/>
          <w:lang w:val="lt-LT"/>
        </w:rPr>
        <w:t>etanolio (</w:t>
      </w:r>
      <w:r w:rsidR="00951635" w:rsidRPr="00037DA8">
        <w:rPr>
          <w:i/>
          <w:szCs w:val="22"/>
          <w:lang w:val="lt-LT"/>
        </w:rPr>
        <w:t>alkoholio</w:t>
      </w:r>
      <w:r w:rsidR="00BE1EE5">
        <w:rPr>
          <w:i/>
          <w:szCs w:val="22"/>
          <w:lang w:val="lt-LT"/>
        </w:rPr>
        <w:t>)</w:t>
      </w:r>
      <w:r w:rsidR="00951635" w:rsidRPr="00037DA8">
        <w:rPr>
          <w:szCs w:val="22"/>
          <w:lang w:val="lt-LT"/>
        </w:rPr>
        <w:t>“.</w:t>
      </w:r>
    </w:p>
    <w:p w14:paraId="005A242B" w14:textId="77777777" w:rsidR="0003632F" w:rsidRPr="00074768" w:rsidRDefault="0003632F" w:rsidP="00267DDB">
      <w:pPr>
        <w:spacing w:after="0" w:line="240" w:lineRule="auto"/>
        <w:rPr>
          <w:rFonts w:ascii="Times New Roman" w:hAnsi="Times New Roman"/>
          <w:b/>
        </w:rPr>
      </w:pPr>
    </w:p>
    <w:p w14:paraId="1D2A40AB" w14:textId="77777777" w:rsidR="00267DDB" w:rsidRPr="00074768" w:rsidRDefault="00FE3805" w:rsidP="00267DDB">
      <w:pPr>
        <w:spacing w:after="0" w:line="240" w:lineRule="auto"/>
        <w:rPr>
          <w:rFonts w:ascii="Times New Roman" w:hAnsi="Times New Roman"/>
          <w:b/>
        </w:rPr>
      </w:pPr>
      <w:proofErr w:type="spellStart"/>
      <w:r w:rsidRPr="00074768">
        <w:rPr>
          <w:rFonts w:ascii="Times New Roman" w:hAnsi="Times New Roman"/>
          <w:b/>
        </w:rPr>
        <w:t>Cabazitaxel</w:t>
      </w:r>
      <w:proofErr w:type="spellEnd"/>
      <w:r w:rsidRPr="00074768">
        <w:rPr>
          <w:rFonts w:ascii="Times New Roman" w:hAnsi="Times New Roman"/>
          <w:b/>
        </w:rPr>
        <w:t xml:space="preserve"> </w:t>
      </w:r>
      <w:proofErr w:type="spellStart"/>
      <w:r w:rsidRPr="00074768">
        <w:rPr>
          <w:rFonts w:ascii="Times New Roman" w:hAnsi="Times New Roman"/>
          <w:b/>
        </w:rPr>
        <w:t>Sandoz</w:t>
      </w:r>
      <w:proofErr w:type="spellEnd"/>
      <w:r w:rsidR="00267DDB" w:rsidRPr="00074768">
        <w:rPr>
          <w:rFonts w:ascii="Times New Roman" w:hAnsi="Times New Roman"/>
          <w:b/>
        </w:rPr>
        <w:t xml:space="preserve"> išvaizda ir kiekis pakuotėje</w:t>
      </w:r>
    </w:p>
    <w:p w14:paraId="78FF98B1" w14:textId="77777777" w:rsidR="00267DDB" w:rsidRPr="00074768" w:rsidRDefault="00267DDB" w:rsidP="00267DDB">
      <w:pPr>
        <w:spacing w:after="0" w:line="240" w:lineRule="auto"/>
        <w:rPr>
          <w:rFonts w:ascii="Times New Roman" w:hAnsi="Times New Roman"/>
        </w:rPr>
      </w:pPr>
    </w:p>
    <w:p w14:paraId="0091ABDA" w14:textId="7CA280E1" w:rsidR="00F258E4" w:rsidRPr="00074768" w:rsidRDefault="00537A60" w:rsidP="00F258E4">
      <w:pPr>
        <w:spacing w:after="0" w:line="240" w:lineRule="auto"/>
        <w:rPr>
          <w:rFonts w:ascii="Times New Roman" w:hAnsi="Times New Roman"/>
        </w:rPr>
      </w:pPr>
      <w:proofErr w:type="spellStart"/>
      <w:r w:rsidRPr="00537A60">
        <w:rPr>
          <w:rFonts w:ascii="Times New Roman" w:hAnsi="Times New Roman"/>
        </w:rPr>
        <w:t>Cabazitaxel</w:t>
      </w:r>
      <w:proofErr w:type="spellEnd"/>
      <w:r w:rsidRPr="00537A60">
        <w:rPr>
          <w:rFonts w:ascii="Times New Roman" w:hAnsi="Times New Roman"/>
        </w:rPr>
        <w:t xml:space="preserve"> </w:t>
      </w:r>
      <w:proofErr w:type="spellStart"/>
      <w:r w:rsidRPr="00537A60">
        <w:rPr>
          <w:rFonts w:ascii="Times New Roman" w:hAnsi="Times New Roman"/>
        </w:rPr>
        <w:t>Sandoz</w:t>
      </w:r>
      <w:proofErr w:type="spellEnd"/>
      <w:r w:rsidRPr="00537A60">
        <w:rPr>
          <w:rFonts w:ascii="Times New Roman" w:hAnsi="Times New Roman"/>
        </w:rPr>
        <w:t xml:space="preserve"> </w:t>
      </w:r>
      <w:r>
        <w:rPr>
          <w:rFonts w:ascii="Times New Roman" w:hAnsi="Times New Roman"/>
        </w:rPr>
        <w:t xml:space="preserve">yra </w:t>
      </w:r>
      <w:r w:rsidR="00224BF0">
        <w:rPr>
          <w:rFonts w:ascii="Times New Roman" w:hAnsi="Times New Roman"/>
        </w:rPr>
        <w:t>s</w:t>
      </w:r>
      <w:r w:rsidR="007E32C4" w:rsidRPr="007E32C4">
        <w:rPr>
          <w:rFonts w:ascii="Times New Roman" w:hAnsi="Times New Roman"/>
        </w:rPr>
        <w:t>kaidrus, bespalvis arba šviesiai geltonas tirpalas</w:t>
      </w:r>
      <w:r w:rsidR="00210F20">
        <w:rPr>
          <w:rFonts w:ascii="Times New Roman" w:hAnsi="Times New Roman"/>
        </w:rPr>
        <w:t>, supakuotas</w:t>
      </w:r>
      <w:r w:rsidR="00F258E4" w:rsidRPr="00074768">
        <w:rPr>
          <w:rFonts w:ascii="Times New Roman" w:hAnsi="Times New Roman"/>
        </w:rPr>
        <w:t xml:space="preserve"> I</w:t>
      </w:r>
      <w:r w:rsidR="00BE1EE5">
        <w:rPr>
          <w:rFonts w:ascii="Times New Roman" w:hAnsi="Times New Roman"/>
        </w:rPr>
        <w:t> </w:t>
      </w:r>
      <w:r w:rsidR="00F258E4" w:rsidRPr="00074768">
        <w:rPr>
          <w:rFonts w:ascii="Times New Roman" w:hAnsi="Times New Roman"/>
        </w:rPr>
        <w:t>tipo skaidraus, bespalvio stiklo, padengtuos</w:t>
      </w:r>
      <w:r w:rsidR="003165FB" w:rsidRPr="00074768">
        <w:rPr>
          <w:rFonts w:ascii="Times New Roman" w:hAnsi="Times New Roman"/>
        </w:rPr>
        <w:t>e</w:t>
      </w:r>
      <w:r w:rsidR="00F258E4" w:rsidRPr="00074768">
        <w:rPr>
          <w:rFonts w:ascii="Times New Roman" w:hAnsi="Times New Roman"/>
        </w:rPr>
        <w:t xml:space="preserve"> pilku </w:t>
      </w:r>
      <w:proofErr w:type="spellStart"/>
      <w:r w:rsidR="00F258E4" w:rsidRPr="00074768">
        <w:rPr>
          <w:rFonts w:ascii="Times New Roman" w:hAnsi="Times New Roman"/>
        </w:rPr>
        <w:t>fluoropolimeru</w:t>
      </w:r>
      <w:proofErr w:type="spellEnd"/>
      <w:r w:rsidR="00F258E4" w:rsidRPr="00074768">
        <w:rPr>
          <w:rFonts w:ascii="Times New Roman" w:hAnsi="Times New Roman"/>
        </w:rPr>
        <w:t xml:space="preserve"> flakonuose, užkimštuose </w:t>
      </w:r>
      <w:proofErr w:type="spellStart"/>
      <w:r w:rsidR="00F258E4" w:rsidRPr="00074768">
        <w:rPr>
          <w:rFonts w:ascii="Times New Roman" w:hAnsi="Times New Roman"/>
        </w:rPr>
        <w:t>bromobutilo</w:t>
      </w:r>
      <w:proofErr w:type="spellEnd"/>
      <w:r w:rsidR="00F258E4" w:rsidRPr="00074768">
        <w:rPr>
          <w:rFonts w:ascii="Times New Roman" w:hAnsi="Times New Roman"/>
        </w:rPr>
        <w:t xml:space="preserve"> gumos kamščiais. Flakonai užsandarinti gofruotu aliuminio dangteliu bei nuplėšiamu </w:t>
      </w:r>
      <w:proofErr w:type="spellStart"/>
      <w:r w:rsidR="00F258E4" w:rsidRPr="00074768">
        <w:rPr>
          <w:rFonts w:ascii="Times New Roman" w:hAnsi="Times New Roman"/>
        </w:rPr>
        <w:t>gaubteliu</w:t>
      </w:r>
      <w:proofErr w:type="spellEnd"/>
      <w:r w:rsidR="00F258E4" w:rsidRPr="00074768">
        <w:rPr>
          <w:rFonts w:ascii="Times New Roman" w:hAnsi="Times New Roman"/>
        </w:rPr>
        <w:t xml:space="preserve">. </w:t>
      </w:r>
    </w:p>
    <w:p w14:paraId="6F7A6CE2" w14:textId="77777777" w:rsidR="00F258E4" w:rsidRPr="00074768" w:rsidRDefault="00F258E4" w:rsidP="00F258E4">
      <w:pPr>
        <w:spacing w:after="0" w:line="240" w:lineRule="auto"/>
        <w:rPr>
          <w:rFonts w:ascii="Times New Roman" w:hAnsi="Times New Roman"/>
        </w:rPr>
      </w:pPr>
    </w:p>
    <w:p w14:paraId="46B01E20" w14:textId="3BA6CA1D" w:rsidR="00F258E4" w:rsidRPr="00074768" w:rsidRDefault="00F258E4" w:rsidP="00F258E4">
      <w:pPr>
        <w:spacing w:after="0" w:line="240" w:lineRule="auto"/>
        <w:rPr>
          <w:rFonts w:ascii="Times New Roman" w:hAnsi="Times New Roman"/>
        </w:rPr>
      </w:pPr>
      <w:r w:rsidRPr="00074768">
        <w:rPr>
          <w:rFonts w:ascii="Times New Roman" w:hAnsi="Times New Roman"/>
        </w:rPr>
        <w:t>Pakuotės dydžiai: 4,5 ml ar 6 ml koncentrato 1</w:t>
      </w:r>
      <w:r w:rsidR="008809D8">
        <w:rPr>
          <w:rFonts w:ascii="Times New Roman" w:hAnsi="Times New Roman"/>
        </w:rPr>
        <w:t> </w:t>
      </w:r>
      <w:r w:rsidRPr="00074768">
        <w:rPr>
          <w:rFonts w:ascii="Times New Roman" w:hAnsi="Times New Roman"/>
        </w:rPr>
        <w:t>flakonas arba 5</w:t>
      </w:r>
      <w:r w:rsidR="008809D8">
        <w:rPr>
          <w:rFonts w:ascii="Times New Roman" w:hAnsi="Times New Roman"/>
        </w:rPr>
        <w:t> </w:t>
      </w:r>
      <w:r w:rsidRPr="00074768">
        <w:rPr>
          <w:rFonts w:ascii="Times New Roman" w:hAnsi="Times New Roman"/>
        </w:rPr>
        <w:t xml:space="preserve">flakonai. </w:t>
      </w:r>
    </w:p>
    <w:p w14:paraId="6D8098F3" w14:textId="77777777" w:rsidR="00F258E4" w:rsidRPr="00074768" w:rsidRDefault="00F258E4" w:rsidP="00F258E4">
      <w:pPr>
        <w:spacing w:after="0" w:line="240" w:lineRule="auto"/>
        <w:rPr>
          <w:rFonts w:ascii="Times New Roman" w:hAnsi="Times New Roman"/>
        </w:rPr>
      </w:pPr>
    </w:p>
    <w:p w14:paraId="79788E9F" w14:textId="77777777" w:rsidR="00F258E4" w:rsidRPr="00074768" w:rsidRDefault="00F258E4" w:rsidP="00F258E4">
      <w:pPr>
        <w:spacing w:after="0" w:line="240" w:lineRule="auto"/>
        <w:rPr>
          <w:rFonts w:ascii="Times New Roman" w:hAnsi="Times New Roman"/>
        </w:rPr>
      </w:pPr>
      <w:r w:rsidRPr="00074768">
        <w:rPr>
          <w:rFonts w:ascii="Times New Roman" w:hAnsi="Times New Roman"/>
        </w:rPr>
        <w:t>Gali būti tiekiamos ne visų dydžių pakuotės.</w:t>
      </w:r>
    </w:p>
    <w:p w14:paraId="21045CC7" w14:textId="77777777" w:rsidR="003165FB" w:rsidRPr="00074768" w:rsidRDefault="003165FB" w:rsidP="00267DDB">
      <w:pPr>
        <w:spacing w:after="0" w:line="240" w:lineRule="auto"/>
        <w:rPr>
          <w:rFonts w:ascii="Times New Roman" w:hAnsi="Times New Roman"/>
          <w:b/>
        </w:rPr>
      </w:pPr>
    </w:p>
    <w:p w14:paraId="3F68113D" w14:textId="77777777" w:rsidR="00267DDB" w:rsidRPr="00074768" w:rsidRDefault="00267DDB" w:rsidP="00267DDB">
      <w:pPr>
        <w:spacing w:after="0" w:line="240" w:lineRule="auto"/>
        <w:rPr>
          <w:rFonts w:ascii="Times New Roman" w:hAnsi="Times New Roman"/>
          <w:b/>
        </w:rPr>
      </w:pPr>
      <w:r w:rsidRPr="00074768">
        <w:rPr>
          <w:rFonts w:ascii="Times New Roman" w:hAnsi="Times New Roman"/>
          <w:b/>
        </w:rPr>
        <w:t>Registruotojas ir gamintojas</w:t>
      </w:r>
    </w:p>
    <w:p w14:paraId="166A2DED" w14:textId="77777777" w:rsidR="00267DDB" w:rsidRPr="00074768" w:rsidRDefault="00267DDB" w:rsidP="00267DDB">
      <w:pPr>
        <w:spacing w:after="0" w:line="240" w:lineRule="auto"/>
        <w:rPr>
          <w:rFonts w:ascii="Times New Roman" w:hAnsi="Times New Roman"/>
        </w:rPr>
      </w:pPr>
    </w:p>
    <w:p w14:paraId="02708BA2" w14:textId="77777777" w:rsidR="00267DDB" w:rsidRPr="00074768" w:rsidRDefault="00267DDB" w:rsidP="00267DDB">
      <w:pPr>
        <w:spacing w:after="0" w:line="240" w:lineRule="auto"/>
        <w:rPr>
          <w:rFonts w:ascii="Times New Roman" w:hAnsi="Times New Roman"/>
          <w:i/>
        </w:rPr>
      </w:pPr>
      <w:r w:rsidRPr="00074768">
        <w:rPr>
          <w:rFonts w:ascii="Times New Roman" w:hAnsi="Times New Roman"/>
          <w:i/>
        </w:rPr>
        <w:t>Registruotojas</w:t>
      </w:r>
    </w:p>
    <w:p w14:paraId="32A9719C" w14:textId="77777777" w:rsidR="0003632F" w:rsidRPr="00074768" w:rsidRDefault="0003632F" w:rsidP="0003632F">
      <w:pPr>
        <w:tabs>
          <w:tab w:val="left" w:pos="425"/>
          <w:tab w:val="left" w:pos="567"/>
        </w:tabs>
        <w:suppressAutoHyphens/>
        <w:spacing w:after="0" w:line="240" w:lineRule="auto"/>
        <w:rPr>
          <w:rFonts w:ascii="Times New Roman" w:eastAsia="Times New Roman" w:hAnsi="Times New Roman"/>
          <w:color w:val="000000"/>
          <w:lang w:eastAsia="ar-SA"/>
        </w:rPr>
      </w:pPr>
      <w:proofErr w:type="spellStart"/>
      <w:r w:rsidRPr="00074768">
        <w:rPr>
          <w:rFonts w:ascii="Times New Roman" w:eastAsia="Times New Roman" w:hAnsi="Times New Roman"/>
          <w:color w:val="000000"/>
          <w:lang w:eastAsia="ar-SA"/>
        </w:rPr>
        <w:t>Sandoz</w:t>
      </w:r>
      <w:proofErr w:type="spellEnd"/>
      <w:r w:rsidRPr="00074768">
        <w:rPr>
          <w:rFonts w:ascii="Times New Roman" w:eastAsia="Times New Roman" w:hAnsi="Times New Roman"/>
          <w:color w:val="000000"/>
          <w:lang w:eastAsia="ar-SA"/>
        </w:rPr>
        <w:t xml:space="preserve"> </w:t>
      </w:r>
      <w:proofErr w:type="spellStart"/>
      <w:r w:rsidRPr="00074768">
        <w:rPr>
          <w:rFonts w:ascii="Times New Roman" w:eastAsia="Times New Roman" w:hAnsi="Times New Roman"/>
          <w:color w:val="000000"/>
          <w:lang w:eastAsia="ar-SA"/>
        </w:rPr>
        <w:t>d.d</w:t>
      </w:r>
      <w:proofErr w:type="spellEnd"/>
      <w:r w:rsidRPr="00074768">
        <w:rPr>
          <w:rFonts w:ascii="Times New Roman" w:eastAsia="Times New Roman" w:hAnsi="Times New Roman"/>
          <w:color w:val="000000"/>
          <w:lang w:eastAsia="ar-SA"/>
        </w:rPr>
        <w:t>.</w:t>
      </w:r>
    </w:p>
    <w:p w14:paraId="29784A83" w14:textId="77777777" w:rsidR="0003632F" w:rsidRPr="00074768" w:rsidRDefault="0003632F" w:rsidP="0003632F">
      <w:pPr>
        <w:tabs>
          <w:tab w:val="left" w:pos="425"/>
          <w:tab w:val="left" w:pos="567"/>
        </w:tabs>
        <w:suppressAutoHyphens/>
        <w:spacing w:after="0" w:line="240" w:lineRule="auto"/>
        <w:rPr>
          <w:rFonts w:ascii="Times New Roman" w:eastAsia="Times New Roman" w:hAnsi="Times New Roman"/>
          <w:color w:val="000000"/>
          <w:lang w:eastAsia="ar-SA"/>
        </w:rPr>
      </w:pPr>
      <w:proofErr w:type="spellStart"/>
      <w:r w:rsidRPr="00074768">
        <w:rPr>
          <w:rFonts w:ascii="Times New Roman" w:eastAsia="Times New Roman" w:hAnsi="Times New Roman"/>
          <w:color w:val="000000"/>
          <w:lang w:eastAsia="ar-SA"/>
        </w:rPr>
        <w:t>Verovškova</w:t>
      </w:r>
      <w:proofErr w:type="spellEnd"/>
      <w:r w:rsidRPr="00074768">
        <w:rPr>
          <w:rFonts w:ascii="Times New Roman" w:eastAsia="Times New Roman" w:hAnsi="Times New Roman"/>
          <w:color w:val="000000"/>
          <w:lang w:eastAsia="ar-SA"/>
        </w:rPr>
        <w:t xml:space="preserve"> 57</w:t>
      </w:r>
    </w:p>
    <w:p w14:paraId="06CF5018" w14:textId="77777777" w:rsidR="0003632F" w:rsidRPr="00074768" w:rsidRDefault="0003632F" w:rsidP="0003632F">
      <w:pPr>
        <w:tabs>
          <w:tab w:val="left" w:pos="425"/>
          <w:tab w:val="left" w:pos="567"/>
        </w:tabs>
        <w:suppressAutoHyphens/>
        <w:spacing w:after="0" w:line="240" w:lineRule="auto"/>
        <w:rPr>
          <w:rFonts w:ascii="Times New Roman" w:eastAsia="Times New Roman" w:hAnsi="Times New Roman"/>
          <w:color w:val="000000"/>
          <w:lang w:eastAsia="ar-SA"/>
        </w:rPr>
      </w:pPr>
      <w:r w:rsidRPr="00074768">
        <w:rPr>
          <w:rFonts w:ascii="Times New Roman" w:eastAsia="Times New Roman" w:hAnsi="Times New Roman"/>
          <w:color w:val="000000"/>
          <w:lang w:eastAsia="ar-SA"/>
        </w:rPr>
        <w:t xml:space="preserve">SI-1000 </w:t>
      </w:r>
      <w:proofErr w:type="spellStart"/>
      <w:r w:rsidRPr="00074768">
        <w:rPr>
          <w:rFonts w:ascii="Times New Roman" w:eastAsia="Times New Roman" w:hAnsi="Times New Roman"/>
          <w:color w:val="000000"/>
          <w:lang w:eastAsia="ar-SA"/>
        </w:rPr>
        <w:t>Ljubljana</w:t>
      </w:r>
      <w:proofErr w:type="spellEnd"/>
    </w:p>
    <w:p w14:paraId="5A406DA7" w14:textId="77777777" w:rsidR="0003632F" w:rsidRPr="00074768" w:rsidRDefault="0003632F" w:rsidP="0003632F">
      <w:pPr>
        <w:tabs>
          <w:tab w:val="left" w:pos="425"/>
          <w:tab w:val="left" w:pos="567"/>
        </w:tabs>
        <w:suppressAutoHyphens/>
        <w:spacing w:after="0" w:line="240" w:lineRule="auto"/>
        <w:rPr>
          <w:rFonts w:ascii="Times New Roman" w:eastAsia="SimSun" w:hAnsi="Times New Roman"/>
          <w:color w:val="000000"/>
          <w:lang w:eastAsia="ar-SA"/>
        </w:rPr>
      </w:pPr>
      <w:r w:rsidRPr="00074768">
        <w:rPr>
          <w:rFonts w:ascii="Times New Roman" w:eastAsia="Times New Roman" w:hAnsi="Times New Roman"/>
          <w:color w:val="000000"/>
          <w:lang w:eastAsia="ar-SA"/>
        </w:rPr>
        <w:t>Slovėnija</w:t>
      </w:r>
    </w:p>
    <w:p w14:paraId="74BB7DB3" w14:textId="77777777" w:rsidR="0003632F" w:rsidRPr="00074768" w:rsidRDefault="0003632F" w:rsidP="00267DDB">
      <w:pPr>
        <w:spacing w:after="0" w:line="240" w:lineRule="auto"/>
        <w:rPr>
          <w:rFonts w:ascii="Times New Roman" w:hAnsi="Times New Roman"/>
          <w:i/>
        </w:rPr>
      </w:pPr>
    </w:p>
    <w:p w14:paraId="57D23AA8" w14:textId="62421C8B" w:rsidR="00267DDB" w:rsidRPr="00074768" w:rsidRDefault="00267DDB" w:rsidP="00267DDB">
      <w:pPr>
        <w:spacing w:after="0" w:line="240" w:lineRule="auto"/>
        <w:rPr>
          <w:rFonts w:ascii="Times New Roman" w:hAnsi="Times New Roman"/>
          <w:i/>
        </w:rPr>
      </w:pPr>
      <w:r w:rsidRPr="00074768">
        <w:rPr>
          <w:rFonts w:ascii="Times New Roman" w:hAnsi="Times New Roman"/>
          <w:i/>
        </w:rPr>
        <w:t>Gamintoja</w:t>
      </w:r>
      <w:r w:rsidR="006F6F67">
        <w:rPr>
          <w:rFonts w:ascii="Times New Roman" w:hAnsi="Times New Roman"/>
          <w:i/>
        </w:rPr>
        <w:t>i</w:t>
      </w:r>
    </w:p>
    <w:p w14:paraId="372117F9" w14:textId="77777777" w:rsidR="0003632F" w:rsidRPr="00074768" w:rsidRDefault="0003632F" w:rsidP="0003632F">
      <w:pPr>
        <w:spacing w:after="0" w:line="240" w:lineRule="auto"/>
        <w:rPr>
          <w:rFonts w:ascii="Times New Roman" w:hAnsi="Times New Roman"/>
        </w:rPr>
      </w:pPr>
      <w:r w:rsidRPr="00074768">
        <w:rPr>
          <w:rFonts w:ascii="Times New Roman" w:hAnsi="Times New Roman"/>
        </w:rPr>
        <w:t xml:space="preserve">EBEWE Pharma </w:t>
      </w:r>
      <w:proofErr w:type="spellStart"/>
      <w:r w:rsidRPr="00074768">
        <w:rPr>
          <w:rFonts w:ascii="Times New Roman" w:hAnsi="Times New Roman"/>
        </w:rPr>
        <w:t>Ges.m.b.H</w:t>
      </w:r>
      <w:proofErr w:type="spellEnd"/>
      <w:r w:rsidRPr="00074768">
        <w:rPr>
          <w:rFonts w:ascii="Times New Roman" w:hAnsi="Times New Roman"/>
        </w:rPr>
        <w:t xml:space="preserve">. </w:t>
      </w:r>
      <w:proofErr w:type="spellStart"/>
      <w:r w:rsidRPr="00074768">
        <w:rPr>
          <w:rFonts w:ascii="Times New Roman" w:hAnsi="Times New Roman"/>
        </w:rPr>
        <w:t>Nfg</w:t>
      </w:r>
      <w:proofErr w:type="spellEnd"/>
      <w:r w:rsidRPr="00074768">
        <w:rPr>
          <w:rFonts w:ascii="Times New Roman" w:hAnsi="Times New Roman"/>
        </w:rPr>
        <w:t>. KG</w:t>
      </w:r>
    </w:p>
    <w:p w14:paraId="0BA1763D" w14:textId="77777777" w:rsidR="0003632F" w:rsidRPr="00074768" w:rsidRDefault="0003632F" w:rsidP="0003632F">
      <w:pPr>
        <w:spacing w:after="0" w:line="240" w:lineRule="auto"/>
        <w:rPr>
          <w:rFonts w:ascii="Times New Roman" w:hAnsi="Times New Roman"/>
        </w:rPr>
      </w:pPr>
      <w:proofErr w:type="spellStart"/>
      <w:r w:rsidRPr="00074768">
        <w:rPr>
          <w:rFonts w:ascii="Times New Roman" w:hAnsi="Times New Roman"/>
        </w:rPr>
        <w:t>Mondseestraße</w:t>
      </w:r>
      <w:proofErr w:type="spellEnd"/>
      <w:r w:rsidRPr="00074768">
        <w:rPr>
          <w:rFonts w:ascii="Times New Roman" w:hAnsi="Times New Roman"/>
        </w:rPr>
        <w:t xml:space="preserve"> 11 </w:t>
      </w:r>
    </w:p>
    <w:p w14:paraId="4C41C046" w14:textId="77777777" w:rsidR="0003632F" w:rsidRPr="00074768" w:rsidRDefault="0003632F" w:rsidP="0003632F">
      <w:pPr>
        <w:spacing w:after="0" w:line="240" w:lineRule="auto"/>
        <w:rPr>
          <w:rFonts w:ascii="Times New Roman" w:hAnsi="Times New Roman"/>
          <w:color w:val="222222"/>
          <w:lang w:eastAsia="lt-LT"/>
        </w:rPr>
      </w:pPr>
      <w:r w:rsidRPr="00074768">
        <w:rPr>
          <w:rFonts w:ascii="Times New Roman" w:hAnsi="Times New Roman"/>
        </w:rPr>
        <w:t xml:space="preserve">A-4866 </w:t>
      </w:r>
      <w:proofErr w:type="spellStart"/>
      <w:r w:rsidRPr="00074768">
        <w:rPr>
          <w:rFonts w:ascii="Times New Roman" w:hAnsi="Times New Roman"/>
          <w:color w:val="222222"/>
          <w:lang w:eastAsia="lt-LT"/>
        </w:rPr>
        <w:t>Unterach</w:t>
      </w:r>
      <w:proofErr w:type="spellEnd"/>
      <w:r w:rsidRPr="00074768">
        <w:rPr>
          <w:rFonts w:ascii="Times New Roman" w:hAnsi="Times New Roman"/>
          <w:color w:val="222222"/>
          <w:lang w:eastAsia="lt-LT"/>
        </w:rPr>
        <w:t xml:space="preserve"> am </w:t>
      </w:r>
      <w:proofErr w:type="spellStart"/>
      <w:r w:rsidRPr="00074768">
        <w:rPr>
          <w:rFonts w:ascii="Times New Roman" w:hAnsi="Times New Roman"/>
          <w:color w:val="222222"/>
          <w:lang w:eastAsia="lt-LT"/>
        </w:rPr>
        <w:t>Attersee</w:t>
      </w:r>
      <w:proofErr w:type="spellEnd"/>
    </w:p>
    <w:p w14:paraId="117A2D87" w14:textId="77777777" w:rsidR="0003632F" w:rsidRPr="00074768" w:rsidRDefault="0003632F" w:rsidP="0003632F">
      <w:pPr>
        <w:spacing w:after="0" w:line="240" w:lineRule="auto"/>
        <w:rPr>
          <w:rFonts w:ascii="Times New Roman" w:hAnsi="Times New Roman"/>
          <w:i/>
        </w:rPr>
      </w:pPr>
      <w:r w:rsidRPr="00074768">
        <w:rPr>
          <w:rFonts w:ascii="Times New Roman" w:hAnsi="Times New Roman"/>
        </w:rPr>
        <w:t>Austrija</w:t>
      </w:r>
    </w:p>
    <w:p w14:paraId="17313D55" w14:textId="431BFD1B" w:rsidR="00267DDB" w:rsidRDefault="00267DDB" w:rsidP="00267DDB">
      <w:pPr>
        <w:spacing w:after="0" w:line="240" w:lineRule="auto"/>
        <w:rPr>
          <w:rFonts w:ascii="Times New Roman" w:hAnsi="Times New Roman"/>
        </w:rPr>
      </w:pPr>
    </w:p>
    <w:p w14:paraId="14238881" w14:textId="77777777" w:rsidR="006F6F67" w:rsidRPr="006F6F67" w:rsidRDefault="006F6F67" w:rsidP="006F6F67">
      <w:pPr>
        <w:spacing w:after="0" w:line="240" w:lineRule="auto"/>
        <w:rPr>
          <w:rFonts w:ascii="Times New Roman" w:hAnsi="Times New Roman"/>
        </w:rPr>
      </w:pPr>
      <w:proofErr w:type="spellStart"/>
      <w:r w:rsidRPr="006F6F67">
        <w:rPr>
          <w:rFonts w:ascii="Times New Roman" w:hAnsi="Times New Roman"/>
        </w:rPr>
        <w:t>Fareva</w:t>
      </w:r>
      <w:proofErr w:type="spellEnd"/>
      <w:r w:rsidRPr="006F6F67">
        <w:rPr>
          <w:rFonts w:ascii="Times New Roman" w:hAnsi="Times New Roman"/>
        </w:rPr>
        <w:t xml:space="preserve"> </w:t>
      </w:r>
      <w:proofErr w:type="spellStart"/>
      <w:r w:rsidRPr="006F6F67">
        <w:rPr>
          <w:rFonts w:ascii="Times New Roman" w:hAnsi="Times New Roman"/>
        </w:rPr>
        <w:t>Unterach</w:t>
      </w:r>
      <w:proofErr w:type="spellEnd"/>
      <w:r w:rsidRPr="006F6F67">
        <w:rPr>
          <w:rFonts w:ascii="Times New Roman" w:hAnsi="Times New Roman"/>
        </w:rPr>
        <w:t xml:space="preserve"> </w:t>
      </w:r>
      <w:proofErr w:type="spellStart"/>
      <w:r w:rsidRPr="006F6F67">
        <w:rPr>
          <w:rFonts w:ascii="Times New Roman" w:hAnsi="Times New Roman"/>
        </w:rPr>
        <w:t>GmbH</w:t>
      </w:r>
      <w:proofErr w:type="spellEnd"/>
    </w:p>
    <w:p w14:paraId="323885B2" w14:textId="77777777" w:rsidR="006F6F67" w:rsidRPr="006F6F67" w:rsidRDefault="006F6F67" w:rsidP="006F6F67">
      <w:pPr>
        <w:spacing w:after="0" w:line="240" w:lineRule="auto"/>
        <w:rPr>
          <w:rFonts w:ascii="Times New Roman" w:hAnsi="Times New Roman"/>
        </w:rPr>
      </w:pPr>
      <w:proofErr w:type="spellStart"/>
      <w:r w:rsidRPr="006F6F67">
        <w:rPr>
          <w:rFonts w:ascii="Times New Roman" w:hAnsi="Times New Roman"/>
        </w:rPr>
        <w:t>Mondseestrasse</w:t>
      </w:r>
      <w:proofErr w:type="spellEnd"/>
      <w:r w:rsidRPr="006F6F67">
        <w:rPr>
          <w:rFonts w:ascii="Times New Roman" w:hAnsi="Times New Roman"/>
        </w:rPr>
        <w:t xml:space="preserve"> 11</w:t>
      </w:r>
    </w:p>
    <w:p w14:paraId="3D6DC66B" w14:textId="77777777" w:rsidR="006F6F67" w:rsidRPr="006F6F67" w:rsidRDefault="006F6F67" w:rsidP="006F6F67">
      <w:pPr>
        <w:spacing w:after="0" w:line="240" w:lineRule="auto"/>
        <w:rPr>
          <w:rFonts w:ascii="Times New Roman" w:hAnsi="Times New Roman"/>
        </w:rPr>
      </w:pPr>
      <w:r w:rsidRPr="006F6F67">
        <w:rPr>
          <w:rFonts w:ascii="Times New Roman" w:hAnsi="Times New Roman"/>
        </w:rPr>
        <w:t xml:space="preserve">4866 </w:t>
      </w:r>
      <w:proofErr w:type="spellStart"/>
      <w:r w:rsidRPr="006F6F67">
        <w:rPr>
          <w:rFonts w:ascii="Times New Roman" w:hAnsi="Times New Roman"/>
        </w:rPr>
        <w:t>Unterach</w:t>
      </w:r>
      <w:proofErr w:type="spellEnd"/>
    </w:p>
    <w:p w14:paraId="23C9BDCA" w14:textId="2666E456" w:rsidR="006F6F67" w:rsidRDefault="006F6F67" w:rsidP="006F6F67">
      <w:pPr>
        <w:spacing w:after="0" w:line="240" w:lineRule="auto"/>
        <w:rPr>
          <w:rFonts w:ascii="Times New Roman" w:hAnsi="Times New Roman"/>
        </w:rPr>
      </w:pPr>
      <w:proofErr w:type="spellStart"/>
      <w:r w:rsidRPr="006F6F67">
        <w:rPr>
          <w:rFonts w:ascii="Times New Roman" w:hAnsi="Times New Roman"/>
        </w:rPr>
        <w:t>Austria</w:t>
      </w:r>
      <w:proofErr w:type="spellEnd"/>
    </w:p>
    <w:p w14:paraId="54528CF6" w14:textId="77777777" w:rsidR="006F6F67" w:rsidRPr="00074768" w:rsidRDefault="006F6F67" w:rsidP="006F6F67">
      <w:pPr>
        <w:spacing w:after="0" w:line="240" w:lineRule="auto"/>
        <w:rPr>
          <w:rFonts w:ascii="Times New Roman" w:hAnsi="Times New Roman"/>
        </w:rPr>
      </w:pPr>
    </w:p>
    <w:p w14:paraId="570A9C93" w14:textId="08A484DE" w:rsidR="00F1490C" w:rsidRPr="0047734B" w:rsidRDefault="00F1490C" w:rsidP="00F1490C">
      <w:pPr>
        <w:tabs>
          <w:tab w:val="left" w:pos="567"/>
        </w:tabs>
        <w:autoSpaceDE w:val="0"/>
        <w:autoSpaceDN w:val="0"/>
        <w:adjustRightInd w:val="0"/>
        <w:spacing w:after="0" w:line="260" w:lineRule="exact"/>
        <w:rPr>
          <w:rFonts w:ascii="Times New Roman" w:eastAsia="Times New Roman" w:hAnsi="Times New Roman"/>
          <w:bCs/>
          <w:snapToGrid w:val="0"/>
        </w:rPr>
      </w:pPr>
      <w:r w:rsidRPr="00074768">
        <w:rPr>
          <w:rFonts w:ascii="Times New Roman" w:eastAsia="Times New Roman" w:hAnsi="Times New Roman"/>
          <w:bCs/>
          <w:snapToGrid w:val="0"/>
        </w:rPr>
        <w:t>Jeigu apie šį vaistą norite sužinoti daugiau, kreipkitės į vietinį registruotojo atstovą</w:t>
      </w:r>
      <w:r w:rsidR="008809D8">
        <w:rPr>
          <w:rFonts w:ascii="Times New Roman" w:eastAsia="Times New Roman" w:hAnsi="Times New Roman"/>
          <w:bCs/>
          <w:snapToGrid w:val="0"/>
        </w:rPr>
        <w:t>:</w:t>
      </w:r>
    </w:p>
    <w:p w14:paraId="4D25A42B" w14:textId="77777777" w:rsidR="00F1490C" w:rsidRPr="00074768" w:rsidRDefault="00F1490C" w:rsidP="00F1490C">
      <w:pPr>
        <w:tabs>
          <w:tab w:val="left" w:pos="567"/>
        </w:tabs>
        <w:suppressAutoHyphens/>
        <w:spacing w:before="120" w:after="0" w:line="260" w:lineRule="exact"/>
        <w:rPr>
          <w:rFonts w:ascii="Times New Roman" w:eastAsia="Times New Roman" w:hAnsi="Times New Roman"/>
          <w:color w:val="000000"/>
          <w:lang w:eastAsia="ar-SA"/>
        </w:rPr>
      </w:pPr>
      <w:proofErr w:type="spellStart"/>
      <w:r w:rsidRPr="00074768">
        <w:rPr>
          <w:rFonts w:ascii="Times New Roman" w:eastAsia="Times New Roman" w:hAnsi="Times New Roman"/>
          <w:color w:val="000000"/>
          <w:lang w:eastAsia="ar-SA"/>
        </w:rPr>
        <w:t>Sandoz</w:t>
      </w:r>
      <w:proofErr w:type="spellEnd"/>
      <w:r w:rsidRPr="00074768">
        <w:rPr>
          <w:rFonts w:ascii="Times New Roman" w:eastAsia="Times New Roman" w:hAnsi="Times New Roman"/>
          <w:color w:val="000000"/>
          <w:lang w:eastAsia="ar-SA"/>
        </w:rPr>
        <w:t xml:space="preserve"> </w:t>
      </w:r>
      <w:proofErr w:type="spellStart"/>
      <w:r w:rsidRPr="00074768">
        <w:rPr>
          <w:rFonts w:ascii="Times New Roman" w:eastAsia="Times New Roman" w:hAnsi="Times New Roman"/>
          <w:color w:val="000000"/>
          <w:lang w:eastAsia="ar-SA"/>
        </w:rPr>
        <w:t>Pharmaceuticals</w:t>
      </w:r>
      <w:proofErr w:type="spellEnd"/>
      <w:r w:rsidRPr="00074768">
        <w:rPr>
          <w:rFonts w:ascii="Times New Roman" w:eastAsia="Times New Roman" w:hAnsi="Times New Roman"/>
          <w:color w:val="000000"/>
          <w:lang w:eastAsia="ar-SA"/>
        </w:rPr>
        <w:t xml:space="preserve"> </w:t>
      </w:r>
      <w:proofErr w:type="spellStart"/>
      <w:r w:rsidRPr="00074768">
        <w:rPr>
          <w:rFonts w:ascii="Times New Roman" w:eastAsia="Times New Roman" w:hAnsi="Times New Roman"/>
          <w:color w:val="000000"/>
          <w:lang w:eastAsia="ar-SA"/>
        </w:rPr>
        <w:t>d.d</w:t>
      </w:r>
      <w:proofErr w:type="spellEnd"/>
      <w:r w:rsidRPr="00074768">
        <w:rPr>
          <w:rFonts w:ascii="Times New Roman" w:eastAsia="Times New Roman" w:hAnsi="Times New Roman"/>
          <w:color w:val="000000"/>
          <w:lang w:eastAsia="ar-SA"/>
        </w:rPr>
        <w:t>. filialas</w:t>
      </w:r>
    </w:p>
    <w:p w14:paraId="71934BDB" w14:textId="77777777" w:rsidR="00F1490C" w:rsidRPr="00074768" w:rsidRDefault="00F1490C" w:rsidP="00F1490C">
      <w:pPr>
        <w:tabs>
          <w:tab w:val="left" w:pos="567"/>
        </w:tabs>
        <w:suppressAutoHyphens/>
        <w:spacing w:after="0" w:line="260" w:lineRule="exact"/>
        <w:rPr>
          <w:rFonts w:ascii="Times New Roman" w:eastAsia="Times New Roman" w:hAnsi="Times New Roman"/>
          <w:color w:val="000000"/>
          <w:lang w:eastAsia="ar-SA"/>
        </w:rPr>
      </w:pPr>
      <w:r w:rsidRPr="00074768">
        <w:rPr>
          <w:rFonts w:ascii="Times New Roman" w:eastAsia="Times New Roman" w:hAnsi="Times New Roman"/>
          <w:color w:val="000000"/>
          <w:lang w:eastAsia="ar-SA"/>
        </w:rPr>
        <w:t>Tel. +370 5 2636037</w:t>
      </w:r>
    </w:p>
    <w:p w14:paraId="1F46C270" w14:textId="46F3FDD5" w:rsidR="00F1490C" w:rsidRPr="00074768" w:rsidRDefault="00F1490C" w:rsidP="00F1490C">
      <w:pPr>
        <w:tabs>
          <w:tab w:val="left" w:pos="567"/>
        </w:tabs>
        <w:suppressAutoHyphens/>
        <w:spacing w:after="0" w:line="260" w:lineRule="exact"/>
        <w:rPr>
          <w:rFonts w:ascii="Times New Roman" w:eastAsia="Times New Roman" w:hAnsi="Times New Roman"/>
          <w:color w:val="000000"/>
          <w:u w:val="single"/>
          <w:lang w:eastAsia="ar-SA"/>
        </w:rPr>
      </w:pPr>
    </w:p>
    <w:p w14:paraId="789E01D9" w14:textId="77777777" w:rsidR="00F1490C" w:rsidRPr="00074768" w:rsidRDefault="00F1490C" w:rsidP="00F1490C">
      <w:pPr>
        <w:tabs>
          <w:tab w:val="left" w:pos="567"/>
        </w:tabs>
        <w:suppressAutoHyphens/>
        <w:spacing w:after="0" w:line="260" w:lineRule="exact"/>
        <w:rPr>
          <w:rFonts w:ascii="Times New Roman" w:eastAsia="Times New Roman" w:hAnsi="Times New Roman"/>
          <w:color w:val="000000"/>
          <w:u w:val="single"/>
          <w:lang w:eastAsia="ar-SA"/>
        </w:rPr>
      </w:pPr>
    </w:p>
    <w:p w14:paraId="60B9E6C1" w14:textId="1DCDC994" w:rsidR="008655E6" w:rsidRPr="00074768" w:rsidRDefault="00F1490C" w:rsidP="00F1490C">
      <w:pPr>
        <w:tabs>
          <w:tab w:val="left" w:pos="567"/>
        </w:tabs>
        <w:suppressAutoHyphens/>
        <w:spacing w:after="120" w:line="240" w:lineRule="auto"/>
        <w:rPr>
          <w:rFonts w:ascii="Times New Roman" w:eastAsia="SimSun" w:hAnsi="Times New Roman"/>
          <w:color w:val="000000"/>
          <w:lang w:eastAsia="ar-SA"/>
        </w:rPr>
      </w:pPr>
      <w:r w:rsidRPr="00074768">
        <w:rPr>
          <w:rFonts w:ascii="Times New Roman" w:eastAsia="SimSun" w:hAnsi="Times New Roman"/>
          <w:b/>
          <w:color w:val="000000"/>
          <w:lang w:eastAsia="ar-SA"/>
        </w:rPr>
        <w:t xml:space="preserve">Šis vaistas </w:t>
      </w:r>
      <w:r w:rsidR="00BE4575" w:rsidRPr="00BE4575">
        <w:rPr>
          <w:rFonts w:ascii="Times New Roman" w:eastAsia="SimSun" w:hAnsi="Times New Roman"/>
          <w:b/>
          <w:color w:val="000000"/>
          <w:lang w:eastAsia="ar-SA"/>
        </w:rPr>
        <w:t>Europos ekonominės erdvės valstybėse narėse ir Jungtinėje Karalystėje (Šiaurės Airijoje)</w:t>
      </w:r>
      <w:r w:rsidRPr="00074768">
        <w:rPr>
          <w:rFonts w:ascii="Times New Roman" w:eastAsia="SimSun" w:hAnsi="Times New Roman"/>
          <w:b/>
          <w:color w:val="000000"/>
          <w:lang w:eastAsia="ar-SA"/>
        </w:rPr>
        <w:t xml:space="preserve"> registruotas tokiais pavadinimais</w:t>
      </w:r>
      <w:r w:rsidRPr="00074768">
        <w:rPr>
          <w:rFonts w:ascii="Times New Roman" w:eastAsia="SimSun" w:hAnsi="Times New Roman"/>
          <w:color w:val="000000"/>
          <w:lang w:eastAsia="ar-SA"/>
        </w:rPr>
        <w:t>:</w:t>
      </w:r>
    </w:p>
    <w:tbl>
      <w:tblPr>
        <w:tblStyle w:val="Lentelstinklelis"/>
        <w:tblW w:w="0" w:type="auto"/>
        <w:tblLook w:val="04A0" w:firstRow="1" w:lastRow="0" w:firstColumn="1" w:lastColumn="0" w:noHBand="0" w:noVBand="1"/>
      </w:tblPr>
      <w:tblGrid>
        <w:gridCol w:w="4528"/>
        <w:gridCol w:w="4532"/>
      </w:tblGrid>
      <w:tr w:rsidR="008655E6" w:rsidRPr="00074768" w14:paraId="58253E55" w14:textId="77777777" w:rsidTr="008655E6">
        <w:tc>
          <w:tcPr>
            <w:tcW w:w="4643" w:type="dxa"/>
          </w:tcPr>
          <w:p w14:paraId="56D65CF1" w14:textId="68B9C37A" w:rsidR="008655E6" w:rsidRPr="00074768" w:rsidRDefault="008655E6" w:rsidP="00BB1256">
            <w:pPr>
              <w:tabs>
                <w:tab w:val="left" w:pos="567"/>
              </w:tabs>
              <w:suppressAutoHyphens/>
              <w:spacing w:after="120" w:line="240" w:lineRule="auto"/>
              <w:rPr>
                <w:rFonts w:ascii="Times New Roman" w:eastAsia="SimSun" w:hAnsi="Times New Roman"/>
                <w:color w:val="000000"/>
                <w:lang w:eastAsia="ar-SA"/>
              </w:rPr>
            </w:pPr>
            <w:r w:rsidRPr="00074768">
              <w:rPr>
                <w:rFonts w:ascii="Times New Roman" w:eastAsia="Times New Roman" w:hAnsi="Times New Roman"/>
                <w:lang w:eastAsia="lt-LT"/>
              </w:rPr>
              <w:t xml:space="preserve">Austrija, Belgija, Čekija, Danija, Estija, Ispanija, Italija, Jungtinė </w:t>
            </w:r>
            <w:r w:rsidRPr="008809D8">
              <w:rPr>
                <w:rFonts w:ascii="Times New Roman" w:eastAsia="Times New Roman" w:hAnsi="Times New Roman"/>
                <w:lang w:eastAsia="lt-LT"/>
              </w:rPr>
              <w:t>Karalystė</w:t>
            </w:r>
            <w:r w:rsidR="00BB1256" w:rsidRPr="008809D8">
              <w:rPr>
                <w:rFonts w:ascii="Times New Roman" w:eastAsia="Times New Roman" w:hAnsi="Times New Roman"/>
                <w:lang w:eastAsia="lt-LT"/>
              </w:rPr>
              <w:t xml:space="preserve"> </w:t>
            </w:r>
            <w:r w:rsidR="00BB1256" w:rsidRPr="00A1477B">
              <w:rPr>
                <w:rFonts w:ascii="Times New Roman" w:eastAsia="SimSun" w:hAnsi="Times New Roman"/>
                <w:color w:val="000000"/>
                <w:lang w:eastAsia="ar-SA"/>
              </w:rPr>
              <w:t>(Šiaurės Airija)</w:t>
            </w:r>
            <w:r w:rsidRPr="008809D8">
              <w:rPr>
                <w:rFonts w:ascii="Times New Roman" w:eastAsia="Times New Roman" w:hAnsi="Times New Roman"/>
                <w:lang w:eastAsia="lt-LT"/>
              </w:rPr>
              <w:t>,</w:t>
            </w:r>
            <w:r w:rsidRPr="00074768">
              <w:rPr>
                <w:rFonts w:ascii="Times New Roman" w:eastAsia="Times New Roman" w:hAnsi="Times New Roman"/>
                <w:lang w:eastAsia="lt-LT"/>
              </w:rPr>
              <w:t xml:space="preserve"> Lietuva, Norvegija, Portugalija, Prancūzija, Rumunija, Suomija, Švedija, Vengrija</w:t>
            </w:r>
          </w:p>
        </w:tc>
        <w:tc>
          <w:tcPr>
            <w:tcW w:w="4643" w:type="dxa"/>
          </w:tcPr>
          <w:p w14:paraId="78B879CA" w14:textId="77777777" w:rsidR="008655E6" w:rsidRPr="00074768" w:rsidRDefault="008655E6" w:rsidP="00F1490C">
            <w:pPr>
              <w:tabs>
                <w:tab w:val="left" w:pos="567"/>
              </w:tabs>
              <w:suppressAutoHyphens/>
              <w:spacing w:after="120" w:line="240" w:lineRule="auto"/>
              <w:rPr>
                <w:rFonts w:ascii="Times New Roman" w:eastAsia="SimSun" w:hAnsi="Times New Roman"/>
                <w:color w:val="000000"/>
                <w:lang w:eastAsia="ar-SA"/>
              </w:rPr>
            </w:pPr>
            <w:proofErr w:type="spellStart"/>
            <w:r w:rsidRPr="00074768">
              <w:rPr>
                <w:rFonts w:ascii="Times New Roman" w:hAnsi="Times New Roman"/>
              </w:rPr>
              <w:t>Cabazitaxel</w:t>
            </w:r>
            <w:proofErr w:type="spellEnd"/>
            <w:r w:rsidRPr="00074768">
              <w:rPr>
                <w:rFonts w:ascii="Times New Roman" w:hAnsi="Times New Roman"/>
              </w:rPr>
              <w:t xml:space="preserve"> </w:t>
            </w:r>
            <w:proofErr w:type="spellStart"/>
            <w:r w:rsidRPr="00074768">
              <w:rPr>
                <w:rFonts w:ascii="Times New Roman" w:hAnsi="Times New Roman"/>
              </w:rPr>
              <w:t>Sandoz</w:t>
            </w:r>
            <w:proofErr w:type="spellEnd"/>
          </w:p>
        </w:tc>
      </w:tr>
      <w:tr w:rsidR="008655E6" w:rsidRPr="00074768" w14:paraId="097CA490" w14:textId="77777777" w:rsidTr="008655E6">
        <w:tc>
          <w:tcPr>
            <w:tcW w:w="4643" w:type="dxa"/>
          </w:tcPr>
          <w:p w14:paraId="27D517C6" w14:textId="77777777" w:rsidR="008655E6" w:rsidRPr="00074768" w:rsidRDefault="008655E6" w:rsidP="00F1490C">
            <w:pPr>
              <w:tabs>
                <w:tab w:val="left" w:pos="567"/>
              </w:tabs>
              <w:suppressAutoHyphens/>
              <w:spacing w:after="120" w:line="240" w:lineRule="auto"/>
              <w:rPr>
                <w:rFonts w:ascii="Times New Roman" w:eastAsia="SimSun" w:hAnsi="Times New Roman"/>
                <w:color w:val="000000"/>
                <w:lang w:eastAsia="ar-SA"/>
              </w:rPr>
            </w:pPr>
            <w:r w:rsidRPr="00074768">
              <w:rPr>
                <w:rFonts w:ascii="Times New Roman" w:eastAsia="SimSun" w:hAnsi="Times New Roman"/>
                <w:color w:val="000000"/>
                <w:lang w:eastAsia="ar-SA"/>
              </w:rPr>
              <w:t>Kroatija, Slovėnija</w:t>
            </w:r>
          </w:p>
        </w:tc>
        <w:tc>
          <w:tcPr>
            <w:tcW w:w="4643" w:type="dxa"/>
          </w:tcPr>
          <w:p w14:paraId="34FDD90D" w14:textId="77777777" w:rsidR="008655E6" w:rsidRPr="00074768" w:rsidRDefault="008655E6" w:rsidP="00F1490C">
            <w:pPr>
              <w:tabs>
                <w:tab w:val="left" w:pos="567"/>
              </w:tabs>
              <w:suppressAutoHyphens/>
              <w:spacing w:after="120" w:line="240" w:lineRule="auto"/>
              <w:rPr>
                <w:rFonts w:ascii="Times New Roman" w:eastAsia="SimSun" w:hAnsi="Times New Roman"/>
                <w:color w:val="000000"/>
                <w:lang w:eastAsia="ar-SA"/>
              </w:rPr>
            </w:pPr>
            <w:proofErr w:type="spellStart"/>
            <w:r w:rsidRPr="00074768">
              <w:rPr>
                <w:rFonts w:ascii="Times New Roman" w:eastAsia="Times New Roman" w:hAnsi="Times New Roman"/>
                <w:lang w:eastAsia="lt-LT"/>
              </w:rPr>
              <w:t>Kabazitaksel</w:t>
            </w:r>
            <w:proofErr w:type="spellEnd"/>
            <w:r w:rsidRPr="00074768">
              <w:rPr>
                <w:rFonts w:ascii="Times New Roman" w:eastAsia="Times New Roman" w:hAnsi="Times New Roman"/>
                <w:lang w:eastAsia="lt-LT"/>
              </w:rPr>
              <w:t xml:space="preserve"> </w:t>
            </w:r>
            <w:proofErr w:type="spellStart"/>
            <w:r w:rsidRPr="00074768">
              <w:rPr>
                <w:rFonts w:ascii="Times New Roman" w:eastAsia="Times New Roman" w:hAnsi="Times New Roman"/>
                <w:lang w:eastAsia="lt-LT"/>
              </w:rPr>
              <w:t>Sandoz</w:t>
            </w:r>
            <w:proofErr w:type="spellEnd"/>
          </w:p>
        </w:tc>
      </w:tr>
      <w:tr w:rsidR="008655E6" w:rsidRPr="00074768" w14:paraId="51716B86" w14:textId="77777777" w:rsidTr="008655E6">
        <w:tc>
          <w:tcPr>
            <w:tcW w:w="4643" w:type="dxa"/>
          </w:tcPr>
          <w:p w14:paraId="0DC1DDD1" w14:textId="77777777" w:rsidR="008655E6" w:rsidRPr="00074768" w:rsidRDefault="008655E6" w:rsidP="00F1490C">
            <w:pPr>
              <w:tabs>
                <w:tab w:val="left" w:pos="567"/>
              </w:tabs>
              <w:suppressAutoHyphens/>
              <w:spacing w:after="120" w:line="240" w:lineRule="auto"/>
              <w:rPr>
                <w:rFonts w:ascii="Times New Roman" w:eastAsia="SimSun" w:hAnsi="Times New Roman"/>
                <w:color w:val="000000"/>
                <w:lang w:eastAsia="ar-SA"/>
              </w:rPr>
            </w:pPr>
            <w:r w:rsidRPr="00074768">
              <w:rPr>
                <w:rFonts w:ascii="Times New Roman" w:eastAsia="SimSun" w:hAnsi="Times New Roman"/>
                <w:color w:val="000000"/>
                <w:lang w:eastAsia="ar-SA"/>
              </w:rPr>
              <w:t>Vokietija</w:t>
            </w:r>
          </w:p>
        </w:tc>
        <w:tc>
          <w:tcPr>
            <w:tcW w:w="4643" w:type="dxa"/>
          </w:tcPr>
          <w:p w14:paraId="61674290" w14:textId="77777777" w:rsidR="008655E6" w:rsidRPr="00074768" w:rsidRDefault="008655E6" w:rsidP="00F1490C">
            <w:pPr>
              <w:tabs>
                <w:tab w:val="left" w:pos="567"/>
              </w:tabs>
              <w:suppressAutoHyphens/>
              <w:spacing w:after="120" w:line="240" w:lineRule="auto"/>
              <w:rPr>
                <w:rFonts w:ascii="Times New Roman" w:eastAsia="SimSun" w:hAnsi="Times New Roman"/>
                <w:color w:val="000000"/>
                <w:lang w:eastAsia="ar-SA"/>
              </w:rPr>
            </w:pPr>
            <w:proofErr w:type="spellStart"/>
            <w:r w:rsidRPr="00074768">
              <w:rPr>
                <w:rFonts w:ascii="Times New Roman" w:hAnsi="Times New Roman"/>
              </w:rPr>
              <w:t>Cabazitaxel</w:t>
            </w:r>
            <w:proofErr w:type="spellEnd"/>
            <w:r w:rsidRPr="00074768">
              <w:rPr>
                <w:rFonts w:ascii="Times New Roman" w:hAnsi="Times New Roman"/>
              </w:rPr>
              <w:t xml:space="preserve"> HEXAL</w:t>
            </w:r>
          </w:p>
        </w:tc>
      </w:tr>
    </w:tbl>
    <w:p w14:paraId="0736CC06" w14:textId="77777777" w:rsidR="00F1490C" w:rsidRPr="00074768" w:rsidRDefault="00F1490C" w:rsidP="00F1490C">
      <w:pPr>
        <w:tabs>
          <w:tab w:val="left" w:pos="567"/>
        </w:tabs>
        <w:suppressAutoHyphens/>
        <w:spacing w:after="120" w:line="240" w:lineRule="auto"/>
        <w:rPr>
          <w:rFonts w:ascii="Times New Roman" w:eastAsia="SimSun" w:hAnsi="Times New Roman"/>
          <w:color w:val="000000"/>
          <w:lang w:eastAsia="ar-SA"/>
        </w:rPr>
      </w:pPr>
    </w:p>
    <w:p w14:paraId="5C3DBB93" w14:textId="5C5E22AB" w:rsidR="00F1490C" w:rsidRPr="00074768" w:rsidRDefault="00F1490C" w:rsidP="00F1490C">
      <w:pPr>
        <w:numPr>
          <w:ilvl w:val="12"/>
          <w:numId w:val="0"/>
        </w:numPr>
        <w:tabs>
          <w:tab w:val="left" w:pos="567"/>
        </w:tabs>
        <w:spacing w:after="0" w:line="240" w:lineRule="auto"/>
        <w:outlineLvl w:val="0"/>
        <w:rPr>
          <w:rFonts w:ascii="Times New Roman" w:eastAsia="SimSun" w:hAnsi="Times New Roman"/>
          <w:lang w:eastAsia="zh-CN"/>
        </w:rPr>
      </w:pPr>
      <w:r w:rsidRPr="00074768">
        <w:rPr>
          <w:rFonts w:ascii="Times New Roman" w:eastAsia="SimSun" w:hAnsi="Times New Roman"/>
          <w:b/>
          <w:bCs/>
          <w:lang w:eastAsia="zh-CN"/>
        </w:rPr>
        <w:t xml:space="preserve">Šis pakuotės </w:t>
      </w:r>
      <w:r w:rsidRPr="00074768">
        <w:rPr>
          <w:rFonts w:ascii="Times New Roman" w:eastAsia="SimSun" w:hAnsi="Times New Roman"/>
          <w:b/>
          <w:lang w:eastAsia="zh-CN"/>
        </w:rPr>
        <w:t>lapelis paskutinį kartą peržiūrėtas</w:t>
      </w:r>
      <w:r w:rsidR="002627AB">
        <w:rPr>
          <w:rFonts w:ascii="Times New Roman" w:eastAsia="SimSun" w:hAnsi="Times New Roman"/>
          <w:b/>
          <w:lang w:eastAsia="zh-CN"/>
        </w:rPr>
        <w:t xml:space="preserve"> </w:t>
      </w:r>
      <w:r w:rsidR="007523B2">
        <w:rPr>
          <w:rFonts w:ascii="Times New Roman" w:eastAsia="SimSun" w:hAnsi="Times New Roman"/>
          <w:b/>
          <w:lang w:eastAsia="zh-CN"/>
        </w:rPr>
        <w:t>2024-11-21.</w:t>
      </w:r>
    </w:p>
    <w:p w14:paraId="4751D57C" w14:textId="77777777" w:rsidR="00F1490C" w:rsidRPr="00074768" w:rsidRDefault="00F1490C" w:rsidP="00F1490C">
      <w:pPr>
        <w:numPr>
          <w:ilvl w:val="12"/>
          <w:numId w:val="0"/>
        </w:numPr>
        <w:tabs>
          <w:tab w:val="left" w:pos="567"/>
        </w:tabs>
        <w:spacing w:after="0" w:line="240" w:lineRule="auto"/>
        <w:rPr>
          <w:rFonts w:ascii="Times New Roman" w:eastAsia="SimSun" w:hAnsi="Times New Roman"/>
          <w:iCs/>
          <w:highlight w:val="yellow"/>
          <w:lang w:eastAsia="zh-CN"/>
        </w:rPr>
      </w:pPr>
    </w:p>
    <w:p w14:paraId="742A56B6" w14:textId="77777777" w:rsidR="002B549A" w:rsidRPr="002B549A" w:rsidRDefault="002B549A" w:rsidP="002B549A">
      <w:pPr>
        <w:tabs>
          <w:tab w:val="center" w:pos="4819"/>
          <w:tab w:val="right" w:pos="9638"/>
        </w:tabs>
        <w:rPr>
          <w:rFonts w:ascii="Times New Roman" w:hAnsi="Times New Roman"/>
        </w:rPr>
      </w:pPr>
      <w:r w:rsidRPr="002B549A">
        <w:rPr>
          <w:rFonts w:ascii="Times New Roman" w:hAnsi="Times New Roman"/>
          <w:lang w:eastAsia="lt-LT"/>
        </w:rPr>
        <w:t xml:space="preserve">Išsami informacija apie šį vaistinį preparatą pateikiama Valstybinės vaistų kontrolės tarnybos prie Lietuvos Respublikos sveikatos apsaugos ministerijos tinklalapyje </w:t>
      </w:r>
      <w:r w:rsidRPr="002B549A">
        <w:rPr>
          <w:rFonts w:ascii="Times New Roman" w:hAnsi="Times New Roman"/>
          <w:color w:val="0000EE"/>
          <w:u w:val="single"/>
          <w:lang w:eastAsia="lt-LT"/>
        </w:rPr>
        <w:t>https://vvkt.lrv.lt/lt/.</w:t>
      </w:r>
    </w:p>
    <w:p w14:paraId="7751C7E6" w14:textId="77777777" w:rsidR="00F1490C" w:rsidRPr="00074768" w:rsidRDefault="00F1490C" w:rsidP="00F1490C">
      <w:pPr>
        <w:spacing w:after="0" w:line="240" w:lineRule="auto"/>
        <w:rPr>
          <w:rFonts w:ascii="Times New Roman" w:hAnsi="Times New Roman"/>
        </w:rPr>
      </w:pPr>
    </w:p>
    <w:p w14:paraId="176EAB02" w14:textId="77777777" w:rsidR="00267DDB" w:rsidRPr="00074768" w:rsidRDefault="00267DDB" w:rsidP="00267DDB">
      <w:pPr>
        <w:spacing w:after="0" w:line="240" w:lineRule="auto"/>
        <w:rPr>
          <w:rFonts w:ascii="Times New Roman" w:hAnsi="Times New Roman"/>
          <w:b/>
        </w:rPr>
      </w:pPr>
      <w:r w:rsidRPr="00074768">
        <w:rPr>
          <w:rFonts w:ascii="Times New Roman" w:hAnsi="Times New Roman"/>
          <w:b/>
        </w:rPr>
        <w:t>---------------------------------------------------------------------------------------------------------------------------</w:t>
      </w:r>
    </w:p>
    <w:p w14:paraId="0BA3274C" w14:textId="77777777" w:rsidR="00267DDB" w:rsidRPr="00074768" w:rsidRDefault="00267DDB" w:rsidP="00267DDB">
      <w:pPr>
        <w:spacing w:after="0" w:line="240" w:lineRule="auto"/>
        <w:rPr>
          <w:rFonts w:ascii="Times New Roman" w:hAnsi="Times New Roman"/>
          <w:b/>
        </w:rPr>
      </w:pPr>
      <w:r w:rsidRPr="00074768">
        <w:rPr>
          <w:rFonts w:ascii="Times New Roman" w:hAnsi="Times New Roman"/>
          <w:b/>
        </w:rPr>
        <w:lastRenderedPageBreak/>
        <w:tab/>
      </w:r>
    </w:p>
    <w:p w14:paraId="0D275199" w14:textId="77777777" w:rsidR="00267DDB" w:rsidRPr="00074768" w:rsidRDefault="00267DDB" w:rsidP="00267DDB">
      <w:pPr>
        <w:spacing w:after="0" w:line="240" w:lineRule="auto"/>
        <w:rPr>
          <w:rFonts w:ascii="Times New Roman" w:hAnsi="Times New Roman"/>
        </w:rPr>
      </w:pPr>
      <w:r w:rsidRPr="00074768">
        <w:rPr>
          <w:rFonts w:ascii="Times New Roman" w:hAnsi="Times New Roman"/>
        </w:rPr>
        <w:t>Toliau pateikta informacija skirta tik sveikatos priežiūros specialistams:</w:t>
      </w:r>
    </w:p>
    <w:p w14:paraId="38721CE5" w14:textId="77777777" w:rsidR="00267DDB" w:rsidRPr="00074768" w:rsidRDefault="00267DDB" w:rsidP="00267DDB">
      <w:pPr>
        <w:spacing w:after="0" w:line="240" w:lineRule="auto"/>
        <w:rPr>
          <w:rFonts w:ascii="Times New Roman" w:hAnsi="Times New Roman"/>
        </w:rPr>
      </w:pPr>
    </w:p>
    <w:p w14:paraId="0CCB4D85" w14:textId="24C45BA2" w:rsidR="00E15730" w:rsidRPr="00074768" w:rsidRDefault="00E15730" w:rsidP="00E15730">
      <w:pPr>
        <w:spacing w:after="0" w:line="240" w:lineRule="auto"/>
        <w:rPr>
          <w:rFonts w:ascii="Times New Roman" w:hAnsi="Times New Roman"/>
        </w:rPr>
      </w:pPr>
      <w:r w:rsidRPr="00074768">
        <w:rPr>
          <w:rFonts w:ascii="Times New Roman" w:hAnsi="Times New Roman"/>
        </w:rPr>
        <w:t>MEDICINOS AR SVEIKATOS PRIEŽIŪROS SPECIALISTAMS SKIRTA PRAKTINĖ INFORMACIJA APIE CABAZITAXEL SANDOZ RUOŠIMĄ, VARTOJIMĄ IR DARBĄ SU VAISTINIU PREPARATU</w:t>
      </w:r>
    </w:p>
    <w:p w14:paraId="6E699000" w14:textId="77777777" w:rsidR="0097445C" w:rsidRPr="0085406C" w:rsidRDefault="0097445C" w:rsidP="0097445C">
      <w:pPr>
        <w:spacing w:after="0" w:line="240" w:lineRule="auto"/>
        <w:rPr>
          <w:rFonts w:ascii="Times New Roman" w:eastAsia="Times New Roman" w:hAnsi="Times New Roman"/>
          <w:snapToGrid w:val="0"/>
        </w:rPr>
      </w:pPr>
    </w:p>
    <w:p w14:paraId="62C6420A" w14:textId="77777777" w:rsidR="00E15730" w:rsidRPr="0085406C" w:rsidRDefault="00E15730" w:rsidP="00E15730">
      <w:pPr>
        <w:spacing w:after="0" w:line="240" w:lineRule="auto"/>
        <w:rPr>
          <w:rFonts w:ascii="Times New Roman" w:eastAsia="Times New Roman" w:hAnsi="Times New Roman"/>
          <w:b/>
          <w:bCs/>
          <w:snapToGrid w:val="0"/>
        </w:rPr>
      </w:pPr>
      <w:r w:rsidRPr="0085406C">
        <w:rPr>
          <w:rFonts w:ascii="Times New Roman" w:eastAsia="Times New Roman" w:hAnsi="Times New Roman"/>
          <w:b/>
          <w:bCs/>
          <w:snapToGrid w:val="0"/>
        </w:rPr>
        <w:t>Nesuderinamumas</w:t>
      </w:r>
    </w:p>
    <w:p w14:paraId="6AE06527" w14:textId="1BFC255A" w:rsidR="00E15730" w:rsidRPr="004200DB" w:rsidRDefault="00E15730" w:rsidP="00E15730">
      <w:pPr>
        <w:spacing w:after="0" w:line="240" w:lineRule="auto"/>
        <w:rPr>
          <w:rFonts w:ascii="Times New Roman" w:eastAsia="Times New Roman" w:hAnsi="Times New Roman"/>
          <w:snapToGrid w:val="0"/>
        </w:rPr>
      </w:pPr>
      <w:r w:rsidRPr="004200DB">
        <w:rPr>
          <w:rFonts w:ascii="Times New Roman" w:eastAsia="Times New Roman" w:hAnsi="Times New Roman"/>
          <w:snapToGrid w:val="0"/>
        </w:rPr>
        <w:t>Šio vaistinio preparato negalima maišyti su kitais</w:t>
      </w:r>
      <w:r w:rsidR="005E5297" w:rsidRPr="004200DB">
        <w:rPr>
          <w:rFonts w:ascii="Times New Roman" w:eastAsia="Times New Roman" w:hAnsi="Times New Roman"/>
          <w:snapToGrid w:val="0"/>
        </w:rPr>
        <w:t xml:space="preserve"> vaist</w:t>
      </w:r>
      <w:r w:rsidR="00C82E9A">
        <w:rPr>
          <w:rFonts w:ascii="Times New Roman" w:eastAsia="Times New Roman" w:hAnsi="Times New Roman"/>
          <w:snapToGrid w:val="0"/>
        </w:rPr>
        <w:t>iniais preparatais</w:t>
      </w:r>
      <w:r w:rsidRPr="004200DB">
        <w:rPr>
          <w:rFonts w:ascii="Times New Roman" w:eastAsia="Times New Roman" w:hAnsi="Times New Roman"/>
          <w:snapToGrid w:val="0"/>
        </w:rPr>
        <w:t>, išskyrus naudojamus praskiedimui.</w:t>
      </w:r>
    </w:p>
    <w:p w14:paraId="3D957C1C" w14:textId="77777777" w:rsidR="00E15730" w:rsidRPr="004200DB" w:rsidRDefault="00E15730" w:rsidP="00E15730">
      <w:pPr>
        <w:spacing w:after="0" w:line="240" w:lineRule="auto"/>
        <w:rPr>
          <w:rFonts w:ascii="Times New Roman" w:eastAsia="Times New Roman" w:hAnsi="Times New Roman"/>
          <w:b/>
          <w:bCs/>
          <w:snapToGrid w:val="0"/>
        </w:rPr>
      </w:pPr>
    </w:p>
    <w:p w14:paraId="2AC70A3A" w14:textId="77777777" w:rsidR="00E15730" w:rsidRPr="00037DA8" w:rsidRDefault="00E15730" w:rsidP="00E15730">
      <w:pPr>
        <w:spacing w:after="0" w:line="240" w:lineRule="auto"/>
        <w:rPr>
          <w:rFonts w:ascii="Times New Roman" w:eastAsia="Times New Roman" w:hAnsi="Times New Roman"/>
          <w:b/>
          <w:bCs/>
          <w:snapToGrid w:val="0"/>
        </w:rPr>
      </w:pPr>
      <w:r w:rsidRPr="00037DA8">
        <w:rPr>
          <w:rFonts w:ascii="Times New Roman" w:eastAsia="Times New Roman" w:hAnsi="Times New Roman"/>
          <w:b/>
          <w:bCs/>
          <w:snapToGrid w:val="0"/>
        </w:rPr>
        <w:t>Tinkamumo laikas ir specialios laikymo sąlygos</w:t>
      </w:r>
    </w:p>
    <w:p w14:paraId="30E0148F" w14:textId="77777777" w:rsidR="005E5297" w:rsidRPr="00037DA8" w:rsidRDefault="005E5297" w:rsidP="005E5297">
      <w:pPr>
        <w:spacing w:after="0" w:line="240" w:lineRule="auto"/>
        <w:rPr>
          <w:rFonts w:ascii="Times New Roman" w:eastAsia="Times New Roman" w:hAnsi="Times New Roman"/>
          <w:snapToGrid w:val="0"/>
          <w:u w:val="single"/>
        </w:rPr>
      </w:pPr>
    </w:p>
    <w:p w14:paraId="1F818259" w14:textId="77777777" w:rsidR="005E5297" w:rsidRPr="00037DA8" w:rsidRDefault="005E5297" w:rsidP="005E5297">
      <w:pPr>
        <w:spacing w:after="0" w:line="240" w:lineRule="auto"/>
        <w:rPr>
          <w:rFonts w:ascii="Times New Roman" w:eastAsia="Times New Roman" w:hAnsi="Times New Roman"/>
          <w:snapToGrid w:val="0"/>
          <w:u w:val="single"/>
        </w:rPr>
      </w:pPr>
      <w:r w:rsidRPr="00037DA8">
        <w:rPr>
          <w:rFonts w:ascii="Times New Roman" w:eastAsia="Times New Roman" w:hAnsi="Times New Roman"/>
          <w:snapToGrid w:val="0"/>
          <w:u w:val="single"/>
        </w:rPr>
        <w:t>Po pirmojo atidarymo</w:t>
      </w:r>
    </w:p>
    <w:p w14:paraId="4672665A" w14:textId="77777777" w:rsidR="005E5297" w:rsidRPr="00037DA8" w:rsidRDefault="005E5297" w:rsidP="005E5297">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Daugkartinio vartojimo flakonas.</w:t>
      </w:r>
    </w:p>
    <w:p w14:paraId="2DCD5241" w14:textId="57637296" w:rsidR="005E5297" w:rsidRPr="00074768" w:rsidRDefault="005E5297" w:rsidP="005E5297">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Po pirmojo atidarymo flakonai yra stabilūs</w:t>
      </w:r>
      <w:r w:rsidR="00610EBF">
        <w:rPr>
          <w:rFonts w:ascii="Times New Roman" w:eastAsia="Times New Roman" w:hAnsi="Times New Roman"/>
          <w:snapToGrid w:val="0"/>
        </w:rPr>
        <w:t xml:space="preserve"> iki 28</w:t>
      </w:r>
      <w:r w:rsidR="00EA7266">
        <w:rPr>
          <w:rFonts w:ascii="Times New Roman" w:eastAsia="Times New Roman" w:hAnsi="Times New Roman"/>
          <w:snapToGrid w:val="0"/>
        </w:rPr>
        <w:t> </w:t>
      </w:r>
      <w:r w:rsidR="00610EBF">
        <w:rPr>
          <w:rFonts w:ascii="Times New Roman" w:eastAsia="Times New Roman" w:hAnsi="Times New Roman"/>
          <w:snapToGrid w:val="0"/>
        </w:rPr>
        <w:t>parų</w:t>
      </w:r>
      <w:r w:rsidRPr="00037DA8">
        <w:rPr>
          <w:rFonts w:ascii="Times New Roman" w:eastAsia="Times New Roman" w:hAnsi="Times New Roman"/>
          <w:snapToGrid w:val="0"/>
        </w:rPr>
        <w:t>, jeigu laikomi kambario temperatūroje (20</w:t>
      </w:r>
      <w:r w:rsidR="00EA7266">
        <w:rPr>
          <w:rFonts w:ascii="Times New Roman" w:eastAsia="Times New Roman" w:hAnsi="Times New Roman"/>
          <w:snapToGrid w:val="0"/>
        </w:rPr>
        <w:t> </w:t>
      </w:r>
      <w:r w:rsidRPr="002E254B">
        <w:rPr>
          <w:rFonts w:ascii="Times New Roman" w:eastAsia="Times New Roman" w:hAnsi="Times New Roman"/>
          <w:snapToGrid w:val="0"/>
        </w:rPr>
        <w:t>°C</w:t>
      </w:r>
      <w:r w:rsidR="00EA7266">
        <w:rPr>
          <w:rFonts w:ascii="Times New Roman" w:eastAsia="Times New Roman" w:hAnsi="Times New Roman"/>
          <w:snapToGrid w:val="0"/>
        </w:rPr>
        <w:noBreakHyphen/>
      </w:r>
      <w:r w:rsidRPr="002E254B">
        <w:rPr>
          <w:rFonts w:ascii="Times New Roman" w:eastAsia="Times New Roman" w:hAnsi="Times New Roman"/>
          <w:snapToGrid w:val="0"/>
        </w:rPr>
        <w:t>25</w:t>
      </w:r>
      <w:r w:rsidR="00EA7266">
        <w:rPr>
          <w:rFonts w:ascii="Times New Roman" w:eastAsia="Times New Roman" w:hAnsi="Times New Roman"/>
          <w:snapToGrid w:val="0"/>
        </w:rPr>
        <w:t> </w:t>
      </w:r>
      <w:r w:rsidRPr="002E254B">
        <w:rPr>
          <w:rFonts w:ascii="Times New Roman" w:eastAsia="Times New Roman" w:hAnsi="Times New Roman"/>
          <w:snapToGrid w:val="0"/>
        </w:rPr>
        <w:t>°C), apsaugoti arba neapsaugoti nuo šviesos arba šaltai (2</w:t>
      </w:r>
      <w:r w:rsidR="00EA7266">
        <w:rPr>
          <w:rFonts w:ascii="Times New Roman" w:eastAsia="Times New Roman" w:hAnsi="Times New Roman"/>
          <w:snapToGrid w:val="0"/>
        </w:rPr>
        <w:t> </w:t>
      </w:r>
      <w:r w:rsidRPr="00074768">
        <w:rPr>
          <w:rFonts w:ascii="Times New Roman" w:eastAsia="Times New Roman" w:hAnsi="Times New Roman"/>
          <w:snapToGrid w:val="0"/>
        </w:rPr>
        <w:sym w:font="Symbol" w:char="F0B0"/>
      </w:r>
      <w:r w:rsidRPr="00074768">
        <w:rPr>
          <w:rFonts w:ascii="Times New Roman" w:eastAsia="Times New Roman" w:hAnsi="Times New Roman"/>
          <w:snapToGrid w:val="0"/>
        </w:rPr>
        <w:t>C</w:t>
      </w:r>
      <w:r w:rsidR="00EA7266">
        <w:rPr>
          <w:rFonts w:ascii="Times New Roman" w:eastAsia="Times New Roman" w:hAnsi="Times New Roman"/>
          <w:snapToGrid w:val="0"/>
        </w:rPr>
        <w:noBreakHyphen/>
      </w:r>
      <w:r w:rsidRPr="00074768">
        <w:rPr>
          <w:rFonts w:ascii="Times New Roman" w:eastAsia="Times New Roman" w:hAnsi="Times New Roman"/>
          <w:snapToGrid w:val="0"/>
        </w:rPr>
        <w:t>8</w:t>
      </w:r>
      <w:r w:rsidR="00EA7266">
        <w:rPr>
          <w:rFonts w:ascii="Times New Roman" w:eastAsia="Times New Roman" w:hAnsi="Times New Roman"/>
          <w:snapToGrid w:val="0"/>
        </w:rPr>
        <w:t> </w:t>
      </w:r>
      <w:r w:rsidRPr="00074768">
        <w:rPr>
          <w:rFonts w:ascii="Times New Roman" w:eastAsia="Times New Roman" w:hAnsi="Times New Roman"/>
          <w:snapToGrid w:val="0"/>
        </w:rPr>
        <w:sym w:font="Symbol" w:char="F0B0"/>
      </w:r>
      <w:r w:rsidRPr="00074768">
        <w:rPr>
          <w:rFonts w:ascii="Times New Roman" w:eastAsia="Times New Roman" w:hAnsi="Times New Roman"/>
          <w:snapToGrid w:val="0"/>
        </w:rPr>
        <w:t>C), apsaugoti nuo šviesos.</w:t>
      </w:r>
    </w:p>
    <w:p w14:paraId="38D94CFF" w14:textId="77777777" w:rsidR="005E5297" w:rsidRPr="0085406C" w:rsidRDefault="005E5297" w:rsidP="005E5297">
      <w:pPr>
        <w:spacing w:after="0" w:line="240" w:lineRule="auto"/>
        <w:rPr>
          <w:rFonts w:ascii="Times New Roman" w:eastAsia="Times New Roman" w:hAnsi="Times New Roman"/>
          <w:snapToGrid w:val="0"/>
        </w:rPr>
      </w:pPr>
    </w:p>
    <w:p w14:paraId="036BB41F" w14:textId="77777777" w:rsidR="005E5297" w:rsidRPr="004200DB" w:rsidRDefault="005E5297" w:rsidP="005E5297">
      <w:pPr>
        <w:spacing w:after="0" w:line="240" w:lineRule="auto"/>
        <w:rPr>
          <w:rFonts w:ascii="Times New Roman" w:eastAsia="Times New Roman" w:hAnsi="Times New Roman"/>
          <w:snapToGrid w:val="0"/>
          <w:u w:val="single"/>
        </w:rPr>
      </w:pPr>
      <w:r w:rsidRPr="004200DB">
        <w:rPr>
          <w:rFonts w:ascii="Times New Roman" w:eastAsia="Times New Roman" w:hAnsi="Times New Roman"/>
          <w:snapToGrid w:val="0"/>
          <w:u w:val="single"/>
        </w:rPr>
        <w:t>Po infuzinio maišelio arba buteliuko praskiedimo</w:t>
      </w:r>
    </w:p>
    <w:p w14:paraId="55E9C8CD" w14:textId="1C0D7884" w:rsidR="005E5297" w:rsidRPr="00074768" w:rsidRDefault="005E5297" w:rsidP="005E5297">
      <w:pPr>
        <w:spacing w:after="0" w:line="240" w:lineRule="auto"/>
        <w:rPr>
          <w:rFonts w:ascii="Times New Roman" w:eastAsia="Times New Roman" w:hAnsi="Times New Roman"/>
          <w:snapToGrid w:val="0"/>
        </w:rPr>
      </w:pPr>
      <w:r w:rsidRPr="004200DB">
        <w:rPr>
          <w:rFonts w:ascii="Times New Roman" w:eastAsia="Times New Roman" w:hAnsi="Times New Roman"/>
          <w:snapToGrid w:val="0"/>
        </w:rPr>
        <w:t>Įrodyta, kad paruoštas 5</w:t>
      </w:r>
      <w:r w:rsidR="00EA7266">
        <w:rPr>
          <w:rFonts w:ascii="Times New Roman" w:eastAsia="Times New Roman" w:hAnsi="Times New Roman"/>
          <w:snapToGrid w:val="0"/>
        </w:rPr>
        <w:t> </w:t>
      </w:r>
      <w:r w:rsidRPr="002E254B">
        <w:rPr>
          <w:rFonts w:ascii="Times New Roman" w:eastAsia="Times New Roman" w:hAnsi="Times New Roman"/>
          <w:snapToGrid w:val="0"/>
        </w:rPr>
        <w:t>% gliukozės ir 0,9</w:t>
      </w:r>
      <w:r w:rsidR="00EA7266">
        <w:rPr>
          <w:rFonts w:ascii="Times New Roman" w:eastAsia="Times New Roman" w:hAnsi="Times New Roman"/>
          <w:snapToGrid w:val="0"/>
        </w:rPr>
        <w:t> </w:t>
      </w:r>
      <w:r w:rsidRPr="002E254B">
        <w:rPr>
          <w:rFonts w:ascii="Times New Roman" w:eastAsia="Times New Roman" w:hAnsi="Times New Roman"/>
          <w:snapToGrid w:val="0"/>
        </w:rPr>
        <w:t>% natrio chlori</w:t>
      </w:r>
      <w:r w:rsidR="004B7C5B" w:rsidRPr="002E254B">
        <w:rPr>
          <w:rFonts w:ascii="Times New Roman" w:eastAsia="Times New Roman" w:hAnsi="Times New Roman"/>
          <w:snapToGrid w:val="0"/>
        </w:rPr>
        <w:t>d</w:t>
      </w:r>
      <w:r w:rsidRPr="002E254B">
        <w:rPr>
          <w:rFonts w:ascii="Times New Roman" w:eastAsia="Times New Roman" w:hAnsi="Times New Roman"/>
          <w:snapToGrid w:val="0"/>
        </w:rPr>
        <w:t>o tirpale 0,1 mg/ml ir 0,26 mg/ml infuzinis tirpalas cheminiu ir fizikiniu požiūriu išlieka stabilus iki 3 parų, jeigu laikomas kambario temperatūroje (20</w:t>
      </w:r>
      <w:r w:rsidR="00EA7266">
        <w:rPr>
          <w:rFonts w:ascii="Times New Roman" w:eastAsia="Times New Roman" w:hAnsi="Times New Roman"/>
          <w:snapToGrid w:val="0"/>
        </w:rPr>
        <w:t> </w:t>
      </w:r>
      <w:r w:rsidRPr="002E254B">
        <w:rPr>
          <w:rFonts w:ascii="Times New Roman" w:eastAsia="Times New Roman" w:hAnsi="Times New Roman"/>
          <w:snapToGrid w:val="0"/>
        </w:rPr>
        <w:t>°C</w:t>
      </w:r>
      <w:r w:rsidR="00EA7266">
        <w:rPr>
          <w:rFonts w:ascii="Times New Roman" w:eastAsia="Times New Roman" w:hAnsi="Times New Roman"/>
          <w:snapToGrid w:val="0"/>
        </w:rPr>
        <w:noBreakHyphen/>
      </w:r>
      <w:r w:rsidRPr="002E254B">
        <w:rPr>
          <w:rFonts w:ascii="Times New Roman" w:eastAsia="Times New Roman" w:hAnsi="Times New Roman"/>
          <w:snapToGrid w:val="0"/>
        </w:rPr>
        <w:t>25</w:t>
      </w:r>
      <w:r w:rsidR="00EA7266">
        <w:rPr>
          <w:rFonts w:ascii="Times New Roman" w:eastAsia="Times New Roman" w:hAnsi="Times New Roman"/>
          <w:snapToGrid w:val="0"/>
        </w:rPr>
        <w:t> </w:t>
      </w:r>
      <w:r w:rsidRPr="002E254B">
        <w:rPr>
          <w:rFonts w:ascii="Times New Roman" w:eastAsia="Times New Roman" w:hAnsi="Times New Roman"/>
          <w:snapToGrid w:val="0"/>
        </w:rPr>
        <w:t>°C), apsaugotas arba neapsaugotas nuo šviesos arba 7</w:t>
      </w:r>
      <w:r w:rsidR="00EA7266">
        <w:rPr>
          <w:rFonts w:ascii="Times New Roman" w:eastAsia="Times New Roman" w:hAnsi="Times New Roman"/>
          <w:snapToGrid w:val="0"/>
        </w:rPr>
        <w:t> </w:t>
      </w:r>
      <w:r w:rsidRPr="002E254B">
        <w:rPr>
          <w:rFonts w:ascii="Times New Roman" w:eastAsia="Times New Roman" w:hAnsi="Times New Roman"/>
          <w:snapToGrid w:val="0"/>
        </w:rPr>
        <w:t>paras, jeigu laikomas šaltai (2</w:t>
      </w:r>
      <w:r w:rsidR="00C67F01">
        <w:rPr>
          <w:rFonts w:ascii="Times New Roman" w:eastAsia="Times New Roman" w:hAnsi="Times New Roman"/>
          <w:snapToGrid w:val="0"/>
        </w:rPr>
        <w:t> </w:t>
      </w:r>
      <w:r w:rsidRPr="00074768">
        <w:rPr>
          <w:rFonts w:ascii="Times New Roman" w:eastAsia="Times New Roman" w:hAnsi="Times New Roman"/>
          <w:snapToGrid w:val="0"/>
        </w:rPr>
        <w:sym w:font="Symbol" w:char="F0B0"/>
      </w:r>
      <w:r w:rsidRPr="00074768">
        <w:rPr>
          <w:rFonts w:ascii="Times New Roman" w:eastAsia="Times New Roman" w:hAnsi="Times New Roman"/>
          <w:snapToGrid w:val="0"/>
        </w:rPr>
        <w:t>C</w:t>
      </w:r>
      <w:r w:rsidR="00C67F01">
        <w:rPr>
          <w:rFonts w:ascii="Times New Roman" w:eastAsia="Times New Roman" w:hAnsi="Times New Roman"/>
          <w:snapToGrid w:val="0"/>
        </w:rPr>
        <w:noBreakHyphen/>
      </w:r>
      <w:r w:rsidRPr="00074768">
        <w:rPr>
          <w:rFonts w:ascii="Times New Roman" w:eastAsia="Times New Roman" w:hAnsi="Times New Roman"/>
          <w:snapToGrid w:val="0"/>
        </w:rPr>
        <w:t>8</w:t>
      </w:r>
      <w:r w:rsidR="00C67F01">
        <w:rPr>
          <w:rFonts w:ascii="Times New Roman" w:eastAsia="Times New Roman" w:hAnsi="Times New Roman"/>
          <w:snapToGrid w:val="0"/>
        </w:rPr>
        <w:t> </w:t>
      </w:r>
      <w:r w:rsidRPr="00074768">
        <w:rPr>
          <w:rFonts w:ascii="Times New Roman" w:eastAsia="Times New Roman" w:hAnsi="Times New Roman"/>
          <w:snapToGrid w:val="0"/>
        </w:rPr>
        <w:sym w:font="Symbol" w:char="F0B0"/>
      </w:r>
      <w:r w:rsidRPr="00074768">
        <w:rPr>
          <w:rFonts w:ascii="Times New Roman" w:eastAsia="Times New Roman" w:hAnsi="Times New Roman"/>
          <w:snapToGrid w:val="0"/>
        </w:rPr>
        <w:t>C), apsaugotas nuo šviesos.</w:t>
      </w:r>
    </w:p>
    <w:p w14:paraId="04C93B84" w14:textId="77777777" w:rsidR="005E5297" w:rsidRPr="0085406C" w:rsidRDefault="005E5297" w:rsidP="001E184A">
      <w:pPr>
        <w:spacing w:after="0" w:line="240" w:lineRule="auto"/>
        <w:rPr>
          <w:rFonts w:ascii="Times New Roman" w:eastAsia="Times New Roman" w:hAnsi="Times New Roman"/>
          <w:snapToGrid w:val="0"/>
        </w:rPr>
      </w:pPr>
    </w:p>
    <w:p w14:paraId="285EE269" w14:textId="27F17D99" w:rsidR="001E184A" w:rsidRPr="004200DB" w:rsidRDefault="001E184A" w:rsidP="001E184A">
      <w:pPr>
        <w:spacing w:after="0" w:line="240" w:lineRule="auto"/>
        <w:rPr>
          <w:rFonts w:ascii="Times New Roman" w:eastAsia="Times New Roman" w:hAnsi="Times New Roman"/>
          <w:snapToGrid w:val="0"/>
        </w:rPr>
      </w:pPr>
      <w:r w:rsidRPr="004200DB">
        <w:rPr>
          <w:rFonts w:ascii="Times New Roman" w:eastAsia="Times New Roman" w:hAnsi="Times New Roman"/>
          <w:snapToGrid w:val="0"/>
        </w:rPr>
        <w:t>Mikrobiologiniu požiūriu infuzinį tirpalą būtina vartoti nedelsiant. Jei jis tuoj pat nevartojamas, už laikymo trukmę ir sąlygas atsako vartotojas. Paprastai infuzinį tirpalą ilgiau negu 24</w:t>
      </w:r>
      <w:r w:rsidR="00C67F01">
        <w:rPr>
          <w:rFonts w:ascii="Times New Roman" w:eastAsia="Times New Roman" w:hAnsi="Times New Roman"/>
          <w:snapToGrid w:val="0"/>
        </w:rPr>
        <w:t> </w:t>
      </w:r>
      <w:r w:rsidRPr="004200DB">
        <w:rPr>
          <w:rFonts w:ascii="Times New Roman" w:eastAsia="Times New Roman" w:hAnsi="Times New Roman"/>
          <w:snapToGrid w:val="0"/>
        </w:rPr>
        <w:t>val. 2</w:t>
      </w:r>
      <w:r w:rsidR="00C67F01">
        <w:rPr>
          <w:rFonts w:ascii="Times New Roman" w:eastAsia="Times New Roman" w:hAnsi="Times New Roman"/>
          <w:snapToGrid w:val="0"/>
        </w:rPr>
        <w:t> </w:t>
      </w:r>
      <w:r w:rsidRPr="004200DB">
        <w:rPr>
          <w:rFonts w:ascii="Times New Roman" w:eastAsia="Times New Roman" w:hAnsi="Times New Roman"/>
          <w:snapToGrid w:val="0"/>
        </w:rPr>
        <w:t>°C</w:t>
      </w:r>
      <w:r w:rsidR="00C67F01">
        <w:rPr>
          <w:rFonts w:ascii="Times New Roman" w:eastAsia="Times New Roman" w:hAnsi="Times New Roman"/>
          <w:snapToGrid w:val="0"/>
        </w:rPr>
        <w:noBreakHyphen/>
      </w:r>
      <w:r w:rsidRPr="004200DB">
        <w:rPr>
          <w:rFonts w:ascii="Times New Roman" w:eastAsia="Times New Roman" w:hAnsi="Times New Roman"/>
          <w:snapToGrid w:val="0"/>
        </w:rPr>
        <w:t>8</w:t>
      </w:r>
      <w:r w:rsidR="00C67F01">
        <w:rPr>
          <w:rFonts w:ascii="Times New Roman" w:eastAsia="Times New Roman" w:hAnsi="Times New Roman"/>
          <w:snapToGrid w:val="0"/>
        </w:rPr>
        <w:t> </w:t>
      </w:r>
      <w:r w:rsidRPr="004200DB">
        <w:rPr>
          <w:rFonts w:ascii="Times New Roman" w:eastAsia="Times New Roman" w:hAnsi="Times New Roman"/>
          <w:snapToGrid w:val="0"/>
        </w:rPr>
        <w:t xml:space="preserve">°C temperatūroje laikyti negalima, nebent skiedimas buvo atliktas kontroliuojamomis ir patvirtintomis </w:t>
      </w:r>
      <w:proofErr w:type="spellStart"/>
      <w:r w:rsidRPr="004200DB">
        <w:rPr>
          <w:rFonts w:ascii="Times New Roman" w:eastAsia="Times New Roman" w:hAnsi="Times New Roman"/>
          <w:snapToGrid w:val="0"/>
        </w:rPr>
        <w:t>aseptinėmis</w:t>
      </w:r>
      <w:proofErr w:type="spellEnd"/>
      <w:r w:rsidRPr="004200DB">
        <w:rPr>
          <w:rFonts w:ascii="Times New Roman" w:eastAsia="Times New Roman" w:hAnsi="Times New Roman"/>
          <w:snapToGrid w:val="0"/>
        </w:rPr>
        <w:t xml:space="preserve"> sąlygomis.</w:t>
      </w:r>
    </w:p>
    <w:p w14:paraId="5B208FEA" w14:textId="77777777" w:rsidR="00E15730" w:rsidRPr="004200DB" w:rsidRDefault="00E15730" w:rsidP="00E15730">
      <w:pPr>
        <w:spacing w:after="0" w:line="240" w:lineRule="auto"/>
        <w:rPr>
          <w:rFonts w:ascii="Times New Roman" w:eastAsia="Times New Roman" w:hAnsi="Times New Roman"/>
          <w:snapToGrid w:val="0"/>
        </w:rPr>
      </w:pPr>
    </w:p>
    <w:p w14:paraId="0B3DDF93" w14:textId="77777777" w:rsidR="005E5297" w:rsidRPr="00037DA8" w:rsidRDefault="001110BC" w:rsidP="00E15730">
      <w:pPr>
        <w:spacing w:after="0" w:line="240" w:lineRule="auto"/>
        <w:rPr>
          <w:rFonts w:ascii="Times New Roman" w:eastAsia="Times New Roman" w:hAnsi="Times New Roman"/>
          <w:snapToGrid w:val="0"/>
          <w:u w:val="single"/>
        </w:rPr>
      </w:pPr>
      <w:r w:rsidRPr="00037DA8">
        <w:rPr>
          <w:rFonts w:ascii="Times New Roman" w:eastAsia="Times New Roman" w:hAnsi="Times New Roman"/>
          <w:bCs/>
          <w:snapToGrid w:val="0"/>
          <w:u w:val="single"/>
        </w:rPr>
        <w:t>Su ruošimu ir vartojimu susijusios atsargumo priemonės</w:t>
      </w:r>
    </w:p>
    <w:p w14:paraId="5FB6BC87" w14:textId="77777777" w:rsidR="001110BC" w:rsidRPr="00037DA8" w:rsidRDefault="001110BC" w:rsidP="00E15730">
      <w:pPr>
        <w:spacing w:after="0" w:line="240" w:lineRule="auto"/>
        <w:rPr>
          <w:rFonts w:ascii="Times New Roman" w:eastAsia="Times New Roman" w:hAnsi="Times New Roman"/>
          <w:snapToGrid w:val="0"/>
        </w:rPr>
      </w:pPr>
    </w:p>
    <w:p w14:paraId="006B74BE" w14:textId="77777777" w:rsidR="00E15730" w:rsidRPr="00037DA8" w:rsidRDefault="004B7C5B" w:rsidP="00E15730">
      <w:pPr>
        <w:spacing w:after="0" w:line="240" w:lineRule="auto"/>
        <w:rPr>
          <w:rFonts w:ascii="Times New Roman" w:eastAsia="Times New Roman" w:hAnsi="Times New Roman"/>
          <w:snapToGrid w:val="0"/>
        </w:rPr>
      </w:pPr>
      <w:proofErr w:type="spellStart"/>
      <w:r w:rsidRPr="00037DA8">
        <w:rPr>
          <w:rFonts w:ascii="Times New Roman" w:eastAsia="Times New Roman" w:hAnsi="Times New Roman"/>
          <w:snapToGrid w:val="0"/>
        </w:rPr>
        <w:t>C</w:t>
      </w:r>
      <w:r w:rsidR="00E15730" w:rsidRPr="00037DA8">
        <w:rPr>
          <w:rFonts w:ascii="Times New Roman" w:eastAsia="Times New Roman" w:hAnsi="Times New Roman"/>
          <w:snapToGrid w:val="0"/>
        </w:rPr>
        <w:t>abazitaxel</w:t>
      </w:r>
      <w:proofErr w:type="spellEnd"/>
      <w:r w:rsidR="00E15730" w:rsidRPr="00037DA8">
        <w:rPr>
          <w:rFonts w:ascii="Times New Roman" w:eastAsia="Times New Roman" w:hAnsi="Times New Roman"/>
          <w:snapToGrid w:val="0"/>
        </w:rPr>
        <w:t xml:space="preserve"> </w:t>
      </w:r>
      <w:proofErr w:type="spellStart"/>
      <w:r w:rsidR="00E15730" w:rsidRPr="00037DA8">
        <w:rPr>
          <w:rFonts w:ascii="Times New Roman" w:eastAsia="Times New Roman" w:hAnsi="Times New Roman"/>
          <w:snapToGrid w:val="0"/>
        </w:rPr>
        <w:t>Sandoz</w:t>
      </w:r>
      <w:proofErr w:type="spellEnd"/>
      <w:r w:rsidR="00E15730" w:rsidRPr="00037DA8">
        <w:rPr>
          <w:rFonts w:ascii="Times New Roman" w:eastAsia="Times New Roman" w:hAnsi="Times New Roman"/>
          <w:snapToGrid w:val="0"/>
        </w:rPr>
        <w:t xml:space="preserve"> ruošti ir </w:t>
      </w:r>
      <w:proofErr w:type="spellStart"/>
      <w:r w:rsidR="00E15730" w:rsidRPr="00037DA8">
        <w:rPr>
          <w:rFonts w:ascii="Times New Roman" w:eastAsia="Times New Roman" w:hAnsi="Times New Roman"/>
          <w:snapToGrid w:val="0"/>
        </w:rPr>
        <w:t>infuzuoti</w:t>
      </w:r>
      <w:proofErr w:type="spellEnd"/>
      <w:r w:rsidR="00E15730" w:rsidRPr="00037DA8">
        <w:rPr>
          <w:rFonts w:ascii="Times New Roman" w:eastAsia="Times New Roman" w:hAnsi="Times New Roman"/>
          <w:snapToGrid w:val="0"/>
        </w:rPr>
        <w:t xml:space="preserve"> gali tik personalas, išmokytas dirbti su </w:t>
      </w:r>
      <w:proofErr w:type="spellStart"/>
      <w:r w:rsidR="00E15730" w:rsidRPr="00037DA8">
        <w:rPr>
          <w:rFonts w:ascii="Times New Roman" w:eastAsia="Times New Roman" w:hAnsi="Times New Roman"/>
          <w:snapToGrid w:val="0"/>
        </w:rPr>
        <w:t>citotoksinėmis</w:t>
      </w:r>
      <w:proofErr w:type="spellEnd"/>
      <w:r w:rsidR="00E15730" w:rsidRPr="00037DA8">
        <w:rPr>
          <w:rFonts w:ascii="Times New Roman" w:eastAsia="Times New Roman" w:hAnsi="Times New Roman"/>
          <w:snapToGrid w:val="0"/>
        </w:rPr>
        <w:t xml:space="preserve"> medžiagomis. Nėščioms moterims dirbti su šiuo vaistiniu preparatu draudžiama. Dirbti su </w:t>
      </w:r>
      <w:proofErr w:type="spellStart"/>
      <w:r w:rsidRPr="00037DA8">
        <w:rPr>
          <w:rFonts w:ascii="Times New Roman" w:eastAsia="Times New Roman" w:hAnsi="Times New Roman"/>
          <w:snapToGrid w:val="0"/>
        </w:rPr>
        <w:t>C</w:t>
      </w:r>
      <w:r w:rsidR="00E15730" w:rsidRPr="00037DA8">
        <w:rPr>
          <w:rFonts w:ascii="Times New Roman" w:eastAsia="Times New Roman" w:hAnsi="Times New Roman"/>
          <w:snapToGrid w:val="0"/>
        </w:rPr>
        <w:t>abazitaxel</w:t>
      </w:r>
      <w:proofErr w:type="spellEnd"/>
      <w:r w:rsidR="00E15730" w:rsidRPr="00037DA8">
        <w:rPr>
          <w:rFonts w:ascii="Times New Roman" w:eastAsia="Times New Roman" w:hAnsi="Times New Roman"/>
          <w:snapToGrid w:val="0"/>
        </w:rPr>
        <w:t xml:space="preserve"> </w:t>
      </w:r>
      <w:proofErr w:type="spellStart"/>
      <w:r w:rsidR="00E15730" w:rsidRPr="00037DA8">
        <w:rPr>
          <w:rFonts w:ascii="Times New Roman" w:eastAsia="Times New Roman" w:hAnsi="Times New Roman"/>
          <w:snapToGrid w:val="0"/>
        </w:rPr>
        <w:t>Sandoz</w:t>
      </w:r>
      <w:proofErr w:type="spellEnd"/>
      <w:r w:rsidR="00E15730" w:rsidRPr="00037DA8">
        <w:rPr>
          <w:rFonts w:ascii="Times New Roman" w:eastAsia="Times New Roman" w:hAnsi="Times New Roman"/>
          <w:snapToGrid w:val="0"/>
        </w:rPr>
        <w:t xml:space="preserve">, kaip ir bet kokios kitos </w:t>
      </w:r>
      <w:proofErr w:type="spellStart"/>
      <w:r w:rsidR="00E15730" w:rsidRPr="00037DA8">
        <w:rPr>
          <w:rFonts w:ascii="Times New Roman" w:eastAsia="Times New Roman" w:hAnsi="Times New Roman"/>
          <w:snapToGrid w:val="0"/>
        </w:rPr>
        <w:t>antinavikinės</w:t>
      </w:r>
      <w:proofErr w:type="spellEnd"/>
      <w:r w:rsidR="00E15730" w:rsidRPr="00037DA8">
        <w:rPr>
          <w:rFonts w:ascii="Times New Roman" w:eastAsia="Times New Roman" w:hAnsi="Times New Roman"/>
          <w:snapToGrid w:val="0"/>
        </w:rPr>
        <w:t xml:space="preserve"> medžiagos, tirpalu bei jį ruošti reikia atsargiai, turint omenyje nuo užteršimo apsaugančių priemonių naudojimą, asmenines apsaugines priemones (pvz., pirštines) ir ruošimo procedūras. Jei bet kokiu darbo su </w:t>
      </w:r>
      <w:proofErr w:type="spellStart"/>
      <w:r w:rsidRPr="00037DA8">
        <w:rPr>
          <w:rFonts w:ascii="Times New Roman" w:eastAsia="Times New Roman" w:hAnsi="Times New Roman"/>
          <w:snapToGrid w:val="0"/>
        </w:rPr>
        <w:t>C</w:t>
      </w:r>
      <w:r w:rsidR="00E15730" w:rsidRPr="00037DA8">
        <w:rPr>
          <w:rFonts w:ascii="Times New Roman" w:eastAsia="Times New Roman" w:hAnsi="Times New Roman"/>
          <w:snapToGrid w:val="0"/>
        </w:rPr>
        <w:t>abazitaxel</w:t>
      </w:r>
      <w:proofErr w:type="spellEnd"/>
      <w:r w:rsidR="00E15730" w:rsidRPr="00037DA8">
        <w:rPr>
          <w:rFonts w:ascii="Times New Roman" w:eastAsia="Times New Roman" w:hAnsi="Times New Roman"/>
          <w:snapToGrid w:val="0"/>
        </w:rPr>
        <w:t xml:space="preserve"> </w:t>
      </w:r>
      <w:proofErr w:type="spellStart"/>
      <w:r w:rsidR="00E15730" w:rsidRPr="00037DA8">
        <w:rPr>
          <w:rFonts w:ascii="Times New Roman" w:eastAsia="Times New Roman" w:hAnsi="Times New Roman"/>
          <w:snapToGrid w:val="0"/>
        </w:rPr>
        <w:t>Sandoz</w:t>
      </w:r>
      <w:proofErr w:type="spellEnd"/>
      <w:r w:rsidR="00E15730" w:rsidRPr="00037DA8">
        <w:rPr>
          <w:rFonts w:ascii="Times New Roman" w:eastAsia="Times New Roman" w:hAnsi="Times New Roman"/>
          <w:snapToGrid w:val="0"/>
        </w:rPr>
        <w:t xml:space="preserve"> etapu jo patenka ant odos, ją reikia nedelsiant kruopščiai nuplauti muilu ir vandeniu. Jei šios medžiagos patenka ant gleivinės, ją reikia nedelsiant ir</w:t>
      </w:r>
      <w:r w:rsidRPr="00037DA8">
        <w:rPr>
          <w:rFonts w:ascii="Times New Roman" w:eastAsia="Times New Roman" w:hAnsi="Times New Roman"/>
          <w:snapToGrid w:val="0"/>
        </w:rPr>
        <w:t xml:space="preserve"> </w:t>
      </w:r>
      <w:r w:rsidR="00E15730" w:rsidRPr="00037DA8">
        <w:rPr>
          <w:rFonts w:ascii="Times New Roman" w:eastAsia="Times New Roman" w:hAnsi="Times New Roman"/>
          <w:snapToGrid w:val="0"/>
        </w:rPr>
        <w:t>kruopščiai nuplauti vandeniu.</w:t>
      </w:r>
    </w:p>
    <w:p w14:paraId="356A4D81" w14:textId="77777777" w:rsidR="00E15730" w:rsidRPr="00037DA8" w:rsidRDefault="00E15730" w:rsidP="00E15730">
      <w:pPr>
        <w:spacing w:after="0" w:line="240" w:lineRule="auto"/>
        <w:rPr>
          <w:rFonts w:ascii="Times New Roman" w:eastAsia="Times New Roman" w:hAnsi="Times New Roman"/>
          <w:snapToGrid w:val="0"/>
        </w:rPr>
      </w:pPr>
    </w:p>
    <w:p w14:paraId="4A2C1559" w14:textId="77777777" w:rsidR="00E15730" w:rsidRPr="00037DA8" w:rsidRDefault="00E15730" w:rsidP="00E15730">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Atidžiai perskaitykite </w:t>
      </w:r>
      <w:r w:rsidRPr="00037DA8">
        <w:rPr>
          <w:rFonts w:ascii="Times New Roman" w:eastAsia="Times New Roman" w:hAnsi="Times New Roman"/>
          <w:bCs/>
          <w:snapToGrid w:val="0"/>
        </w:rPr>
        <w:t>VIS</w:t>
      </w:r>
      <w:r w:rsidRPr="002642B8">
        <w:rPr>
          <w:rFonts w:ascii="Times New Roman" w:eastAsia="Times New Roman" w:hAnsi="Times New Roman"/>
          <w:snapToGrid w:val="0"/>
        </w:rPr>
        <w:t>Ą</w:t>
      </w:r>
      <w:r w:rsidRPr="00037DA8">
        <w:rPr>
          <w:rFonts w:ascii="Times New Roman" w:eastAsia="Times New Roman" w:hAnsi="Times New Roman"/>
          <w:b/>
          <w:bCs/>
          <w:snapToGrid w:val="0"/>
        </w:rPr>
        <w:t xml:space="preserve"> </w:t>
      </w:r>
      <w:r w:rsidRPr="00037DA8">
        <w:rPr>
          <w:rFonts w:ascii="Times New Roman" w:eastAsia="Times New Roman" w:hAnsi="Times New Roman"/>
          <w:snapToGrid w:val="0"/>
        </w:rPr>
        <w:t xml:space="preserve">šį skyrių. </w:t>
      </w:r>
      <w:proofErr w:type="spellStart"/>
      <w:r w:rsidR="004B7C5B" w:rsidRPr="00037DA8">
        <w:rPr>
          <w:rFonts w:ascii="Times New Roman" w:eastAsia="Times New Roman" w:hAnsi="Times New Roman"/>
          <w:snapToGrid w:val="0"/>
        </w:rPr>
        <w:t>C</w:t>
      </w:r>
      <w:r w:rsidRPr="00037DA8">
        <w:rPr>
          <w:rFonts w:ascii="Times New Roman" w:eastAsia="Times New Roman" w:hAnsi="Times New Roman"/>
          <w:snapToGrid w:val="0"/>
        </w:rPr>
        <w:t>abazitaxel</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Sandoz</w:t>
      </w:r>
      <w:proofErr w:type="spellEnd"/>
      <w:r w:rsidRPr="00037DA8">
        <w:rPr>
          <w:rFonts w:ascii="Times New Roman" w:eastAsia="Times New Roman" w:hAnsi="Times New Roman"/>
          <w:snapToGrid w:val="0"/>
        </w:rPr>
        <w:t xml:space="preserve"> prieš vartojimą reikia praskiesti VIENĄ KARTĄ. Laikykitės toliau pateiktų ruošimo instrukcijų.</w:t>
      </w:r>
    </w:p>
    <w:p w14:paraId="183BC137" w14:textId="77777777" w:rsidR="00E15730" w:rsidRPr="00037DA8" w:rsidRDefault="00E15730" w:rsidP="00E15730">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Ruošiant infuzinį tirpalą, </w:t>
      </w:r>
      <w:proofErr w:type="spellStart"/>
      <w:r w:rsidRPr="00037DA8">
        <w:rPr>
          <w:rFonts w:ascii="Times New Roman" w:eastAsia="Times New Roman" w:hAnsi="Times New Roman"/>
          <w:snapToGrid w:val="0"/>
        </w:rPr>
        <w:t>aseptinėmis</w:t>
      </w:r>
      <w:proofErr w:type="spellEnd"/>
      <w:r w:rsidRPr="00037DA8">
        <w:rPr>
          <w:rFonts w:ascii="Times New Roman" w:eastAsia="Times New Roman" w:hAnsi="Times New Roman"/>
          <w:snapToGrid w:val="0"/>
        </w:rPr>
        <w:t xml:space="preserve"> sąlygomis būtina atlikti toliau aprašytą skiedimą.</w:t>
      </w:r>
    </w:p>
    <w:p w14:paraId="47701234" w14:textId="77777777" w:rsidR="00E15730" w:rsidRPr="00037DA8" w:rsidRDefault="00E15730" w:rsidP="00E15730">
      <w:pPr>
        <w:spacing w:after="0" w:line="240" w:lineRule="auto"/>
        <w:rPr>
          <w:rFonts w:ascii="Times New Roman" w:eastAsia="Times New Roman" w:hAnsi="Times New Roman"/>
          <w:snapToGrid w:val="0"/>
        </w:rPr>
      </w:pPr>
    </w:p>
    <w:p w14:paraId="317729B6" w14:textId="77777777" w:rsidR="00E15730" w:rsidRPr="00037DA8" w:rsidRDefault="00E15730" w:rsidP="00E15730">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Paskirtai dozei suvartoti gali būti reikalingas daugiau negu vienas koncentrato flakonas</w:t>
      </w:r>
      <w:r w:rsidR="00E55DFA" w:rsidRPr="00037DA8">
        <w:rPr>
          <w:rFonts w:ascii="Times New Roman" w:eastAsia="Times New Roman" w:hAnsi="Times New Roman"/>
          <w:snapToGrid w:val="0"/>
        </w:rPr>
        <w:t>.</w:t>
      </w:r>
    </w:p>
    <w:p w14:paraId="4387F645" w14:textId="77777777" w:rsidR="00E15730" w:rsidRPr="00037DA8" w:rsidRDefault="00E15730" w:rsidP="00E15730">
      <w:pPr>
        <w:spacing w:after="0" w:line="240" w:lineRule="auto"/>
        <w:rPr>
          <w:rFonts w:ascii="Times New Roman" w:eastAsia="Times New Roman" w:hAnsi="Times New Roman"/>
          <w:snapToGrid w:val="0"/>
        </w:rPr>
      </w:pPr>
    </w:p>
    <w:p w14:paraId="51FF9606" w14:textId="77777777" w:rsidR="00E15730" w:rsidRPr="00037DA8" w:rsidRDefault="00E15730" w:rsidP="00E15730">
      <w:pPr>
        <w:spacing w:after="0" w:line="240" w:lineRule="auto"/>
        <w:rPr>
          <w:rFonts w:ascii="Times New Roman" w:eastAsia="Times New Roman" w:hAnsi="Times New Roman"/>
          <w:snapToGrid w:val="0"/>
          <w:u w:val="single"/>
        </w:rPr>
      </w:pPr>
      <w:r w:rsidRPr="00037DA8">
        <w:rPr>
          <w:rFonts w:ascii="Times New Roman" w:eastAsia="Times New Roman" w:hAnsi="Times New Roman"/>
          <w:snapToGrid w:val="0"/>
          <w:u w:val="single"/>
        </w:rPr>
        <w:t>Skiedimas infuzijai</w:t>
      </w:r>
    </w:p>
    <w:p w14:paraId="552B3FAB" w14:textId="77777777" w:rsidR="00E15730" w:rsidRPr="00037DA8" w:rsidRDefault="00E15730" w:rsidP="00E15730">
      <w:pPr>
        <w:spacing w:after="0" w:line="240" w:lineRule="auto"/>
        <w:rPr>
          <w:rFonts w:ascii="Times New Roman" w:eastAsia="Times New Roman" w:hAnsi="Times New Roman"/>
          <w:snapToGrid w:val="0"/>
        </w:rPr>
      </w:pPr>
    </w:p>
    <w:p w14:paraId="773654A4" w14:textId="77777777" w:rsidR="00E15730" w:rsidRPr="00037DA8" w:rsidRDefault="00E15730" w:rsidP="00E15730">
      <w:pPr>
        <w:spacing w:after="0" w:line="240" w:lineRule="auto"/>
        <w:rPr>
          <w:rFonts w:ascii="Times New Roman" w:eastAsia="Times New Roman" w:hAnsi="Times New Roman"/>
          <w:i/>
          <w:snapToGrid w:val="0"/>
        </w:rPr>
      </w:pPr>
      <w:r w:rsidRPr="00037DA8">
        <w:rPr>
          <w:rFonts w:ascii="Times New Roman" w:eastAsia="Times New Roman" w:hAnsi="Times New Roman"/>
          <w:i/>
          <w:snapToGrid w:val="0"/>
        </w:rPr>
        <w:t>I etapas</w:t>
      </w:r>
    </w:p>
    <w:p w14:paraId="7A5A0964" w14:textId="0A3CCB5E" w:rsidR="00E15730" w:rsidRPr="00037DA8" w:rsidRDefault="00E15730" w:rsidP="00E15730">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Graduotu švirkštu </w:t>
      </w:r>
      <w:proofErr w:type="spellStart"/>
      <w:r w:rsidRPr="00037DA8">
        <w:rPr>
          <w:rFonts w:ascii="Times New Roman" w:eastAsia="Times New Roman" w:hAnsi="Times New Roman"/>
          <w:snapToGrid w:val="0"/>
        </w:rPr>
        <w:t>aseptinėmis</w:t>
      </w:r>
      <w:proofErr w:type="spellEnd"/>
      <w:r w:rsidRPr="00037DA8">
        <w:rPr>
          <w:rFonts w:ascii="Times New Roman" w:eastAsia="Times New Roman" w:hAnsi="Times New Roman"/>
          <w:snapToGrid w:val="0"/>
        </w:rPr>
        <w:t xml:space="preserve"> sąlygomis ištraukite reikiamą koncentrato kiekį (10</w:t>
      </w:r>
      <w:r w:rsidR="00C67F01">
        <w:rPr>
          <w:rFonts w:ascii="Times New Roman" w:eastAsia="Times New Roman" w:hAnsi="Times New Roman"/>
          <w:snapToGrid w:val="0"/>
        </w:rPr>
        <w:t> </w:t>
      </w:r>
      <w:r w:rsidRPr="00037DA8">
        <w:rPr>
          <w:rFonts w:ascii="Times New Roman" w:eastAsia="Times New Roman" w:hAnsi="Times New Roman"/>
          <w:snapToGrid w:val="0"/>
        </w:rPr>
        <w:t xml:space="preserve">mg/ml </w:t>
      </w:r>
      <w:proofErr w:type="spellStart"/>
      <w:r w:rsidRPr="00037DA8">
        <w:rPr>
          <w:rFonts w:ascii="Times New Roman" w:eastAsia="Times New Roman" w:hAnsi="Times New Roman"/>
          <w:snapToGrid w:val="0"/>
        </w:rPr>
        <w:t>kabazitakselio</w:t>
      </w:r>
      <w:proofErr w:type="spellEnd"/>
      <w:r w:rsidRPr="00037DA8">
        <w:rPr>
          <w:rFonts w:ascii="Times New Roman" w:eastAsia="Times New Roman" w:hAnsi="Times New Roman"/>
          <w:snapToGrid w:val="0"/>
        </w:rPr>
        <w:t>). Pavyzdžiui, 45</w:t>
      </w:r>
      <w:r w:rsidR="004B7C5B" w:rsidRPr="00037DA8">
        <w:rPr>
          <w:rFonts w:ascii="Times New Roman" w:eastAsia="Times New Roman" w:hAnsi="Times New Roman"/>
          <w:snapToGrid w:val="0"/>
        </w:rPr>
        <w:t> </w:t>
      </w:r>
      <w:r w:rsidRPr="00037DA8">
        <w:rPr>
          <w:rFonts w:ascii="Times New Roman" w:eastAsia="Times New Roman" w:hAnsi="Times New Roman"/>
          <w:snapToGrid w:val="0"/>
        </w:rPr>
        <w:t xml:space="preserve">mg </w:t>
      </w:r>
      <w:proofErr w:type="spellStart"/>
      <w:r w:rsidR="004B7C5B" w:rsidRPr="00037DA8">
        <w:rPr>
          <w:rFonts w:ascii="Times New Roman" w:eastAsia="Times New Roman" w:hAnsi="Times New Roman"/>
          <w:snapToGrid w:val="0"/>
        </w:rPr>
        <w:t>C</w:t>
      </w:r>
      <w:r w:rsidRPr="00037DA8">
        <w:rPr>
          <w:rFonts w:ascii="Times New Roman" w:eastAsia="Times New Roman" w:hAnsi="Times New Roman"/>
          <w:snapToGrid w:val="0"/>
        </w:rPr>
        <w:t>abazitaxel</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Sandoz</w:t>
      </w:r>
      <w:proofErr w:type="spellEnd"/>
      <w:r w:rsidRPr="00037DA8">
        <w:rPr>
          <w:rFonts w:ascii="Times New Roman" w:eastAsia="Times New Roman" w:hAnsi="Times New Roman"/>
          <w:snapToGrid w:val="0"/>
        </w:rPr>
        <w:t xml:space="preserve"> dozei reikia 4,5</w:t>
      </w:r>
      <w:r w:rsidR="004B7C5B" w:rsidRPr="00037DA8">
        <w:rPr>
          <w:rFonts w:ascii="Times New Roman" w:eastAsia="Times New Roman" w:hAnsi="Times New Roman"/>
          <w:snapToGrid w:val="0"/>
        </w:rPr>
        <w:t> </w:t>
      </w:r>
      <w:r w:rsidRPr="00037DA8">
        <w:rPr>
          <w:rFonts w:ascii="Times New Roman" w:eastAsia="Times New Roman" w:hAnsi="Times New Roman"/>
          <w:snapToGrid w:val="0"/>
        </w:rPr>
        <w:t>ml koncentrato.</w:t>
      </w:r>
    </w:p>
    <w:p w14:paraId="6B273E3B" w14:textId="77777777" w:rsidR="00E15730" w:rsidRPr="00037DA8" w:rsidRDefault="00E15730" w:rsidP="00E15730">
      <w:pPr>
        <w:spacing w:after="0" w:line="240" w:lineRule="auto"/>
        <w:rPr>
          <w:rFonts w:ascii="Times New Roman" w:eastAsia="Times New Roman" w:hAnsi="Times New Roman"/>
          <w:i/>
          <w:snapToGrid w:val="0"/>
        </w:rPr>
      </w:pPr>
    </w:p>
    <w:p w14:paraId="5B8B55D8" w14:textId="77777777" w:rsidR="00E15730" w:rsidRPr="00037DA8" w:rsidRDefault="00E15730" w:rsidP="00E15730">
      <w:pPr>
        <w:spacing w:after="0" w:line="240" w:lineRule="auto"/>
        <w:rPr>
          <w:rFonts w:ascii="Times New Roman" w:eastAsia="Times New Roman" w:hAnsi="Times New Roman"/>
          <w:i/>
          <w:snapToGrid w:val="0"/>
        </w:rPr>
      </w:pPr>
      <w:r w:rsidRPr="00037DA8">
        <w:rPr>
          <w:rFonts w:ascii="Times New Roman" w:eastAsia="Times New Roman" w:hAnsi="Times New Roman"/>
          <w:i/>
          <w:snapToGrid w:val="0"/>
        </w:rPr>
        <w:t>2 etapas</w:t>
      </w:r>
    </w:p>
    <w:p w14:paraId="0B69156A" w14:textId="30BF1751" w:rsidR="00E15730" w:rsidRPr="002E254B" w:rsidRDefault="00E15730" w:rsidP="00E15730">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Koncentratą sušvirkškite į sterilią infuzinę </w:t>
      </w:r>
      <w:proofErr w:type="spellStart"/>
      <w:r w:rsidRPr="00037DA8">
        <w:rPr>
          <w:rFonts w:ascii="Times New Roman" w:eastAsia="Times New Roman" w:hAnsi="Times New Roman"/>
          <w:snapToGrid w:val="0"/>
        </w:rPr>
        <w:t>talpyklę</w:t>
      </w:r>
      <w:proofErr w:type="spellEnd"/>
      <w:r w:rsidRPr="00037DA8">
        <w:rPr>
          <w:rFonts w:ascii="Times New Roman" w:eastAsia="Times New Roman" w:hAnsi="Times New Roman"/>
          <w:snapToGrid w:val="0"/>
        </w:rPr>
        <w:t xml:space="preserve"> (jos sudėtyje negali būti PVC), kurioje yra 5</w:t>
      </w:r>
      <w:r w:rsidR="00C67F01">
        <w:rPr>
          <w:rFonts w:ascii="Times New Roman" w:eastAsia="Times New Roman" w:hAnsi="Times New Roman"/>
          <w:snapToGrid w:val="0"/>
        </w:rPr>
        <w:t> </w:t>
      </w:r>
      <w:r w:rsidRPr="00037DA8">
        <w:rPr>
          <w:rFonts w:ascii="Times New Roman" w:eastAsia="Times New Roman" w:hAnsi="Times New Roman"/>
          <w:snapToGrid w:val="0"/>
        </w:rPr>
        <w:t>% gliukozės tirpalo arba 9</w:t>
      </w:r>
      <w:r w:rsidR="00424ED8">
        <w:rPr>
          <w:rFonts w:ascii="Times New Roman" w:eastAsia="Times New Roman" w:hAnsi="Times New Roman"/>
          <w:snapToGrid w:val="0"/>
        </w:rPr>
        <w:t> </w:t>
      </w:r>
      <w:r w:rsidRPr="00037DA8">
        <w:rPr>
          <w:rFonts w:ascii="Times New Roman" w:eastAsia="Times New Roman" w:hAnsi="Times New Roman"/>
          <w:snapToGrid w:val="0"/>
        </w:rPr>
        <w:t>mg/ml (0,9</w:t>
      </w:r>
      <w:r w:rsidR="00424ED8">
        <w:rPr>
          <w:rFonts w:ascii="Times New Roman" w:eastAsia="Times New Roman" w:hAnsi="Times New Roman"/>
          <w:snapToGrid w:val="0"/>
        </w:rPr>
        <w:t> </w:t>
      </w:r>
      <w:r w:rsidRPr="002E254B">
        <w:rPr>
          <w:rFonts w:ascii="Times New Roman" w:eastAsia="Times New Roman" w:hAnsi="Times New Roman"/>
          <w:snapToGrid w:val="0"/>
        </w:rPr>
        <w:t>%) natrio chlorido infuzinio tirpalo. Infuzinio tirpalo koncentracija turi būti 0,10</w:t>
      </w:r>
      <w:r w:rsidR="00424ED8">
        <w:rPr>
          <w:rFonts w:ascii="Times New Roman" w:eastAsia="Times New Roman" w:hAnsi="Times New Roman"/>
          <w:snapToGrid w:val="0"/>
        </w:rPr>
        <w:noBreakHyphen/>
      </w:r>
      <w:r w:rsidRPr="002E254B">
        <w:rPr>
          <w:rFonts w:ascii="Times New Roman" w:eastAsia="Times New Roman" w:hAnsi="Times New Roman"/>
          <w:snapToGrid w:val="0"/>
        </w:rPr>
        <w:t>0,26 mg/ml.</w:t>
      </w:r>
    </w:p>
    <w:p w14:paraId="59674418" w14:textId="77777777" w:rsidR="00E15730" w:rsidRPr="0085406C" w:rsidRDefault="00E15730" w:rsidP="00E15730">
      <w:pPr>
        <w:spacing w:after="0" w:line="240" w:lineRule="auto"/>
        <w:rPr>
          <w:rFonts w:ascii="Times New Roman" w:eastAsia="Times New Roman" w:hAnsi="Times New Roman"/>
          <w:snapToGrid w:val="0"/>
        </w:rPr>
      </w:pPr>
    </w:p>
    <w:p w14:paraId="69AC3C96" w14:textId="77777777" w:rsidR="00E15730" w:rsidRPr="004200DB" w:rsidRDefault="00E15730" w:rsidP="00E15730">
      <w:pPr>
        <w:spacing w:after="0" w:line="240" w:lineRule="auto"/>
        <w:rPr>
          <w:rFonts w:ascii="Times New Roman" w:eastAsia="Times New Roman" w:hAnsi="Times New Roman"/>
          <w:i/>
          <w:snapToGrid w:val="0"/>
        </w:rPr>
      </w:pPr>
      <w:r w:rsidRPr="004200DB">
        <w:rPr>
          <w:rFonts w:ascii="Times New Roman" w:eastAsia="Times New Roman" w:hAnsi="Times New Roman"/>
          <w:i/>
          <w:snapToGrid w:val="0"/>
        </w:rPr>
        <w:lastRenderedPageBreak/>
        <w:t>3 etapas</w:t>
      </w:r>
    </w:p>
    <w:p w14:paraId="0F9D279A" w14:textId="77777777" w:rsidR="00E15730" w:rsidRPr="004200DB" w:rsidRDefault="00E15730" w:rsidP="00E15730">
      <w:pPr>
        <w:spacing w:after="0" w:line="240" w:lineRule="auto"/>
        <w:rPr>
          <w:rFonts w:ascii="Times New Roman" w:eastAsia="Times New Roman" w:hAnsi="Times New Roman"/>
          <w:snapToGrid w:val="0"/>
        </w:rPr>
      </w:pPr>
      <w:r w:rsidRPr="004200DB">
        <w:rPr>
          <w:rFonts w:ascii="Times New Roman" w:eastAsia="Times New Roman" w:hAnsi="Times New Roman"/>
          <w:snapToGrid w:val="0"/>
        </w:rPr>
        <w:t>Pašalinkite švirkštą ir infuzijos maišelio ar buteliuko turinį sumaišykite siūbuojant rankose.</w:t>
      </w:r>
    </w:p>
    <w:p w14:paraId="1B050202" w14:textId="77777777" w:rsidR="00E15730" w:rsidRPr="00037DA8" w:rsidRDefault="00E15730" w:rsidP="00E15730">
      <w:pPr>
        <w:spacing w:after="0" w:line="240" w:lineRule="auto"/>
        <w:rPr>
          <w:rFonts w:ascii="Times New Roman" w:eastAsia="Times New Roman" w:hAnsi="Times New Roman"/>
          <w:snapToGrid w:val="0"/>
        </w:rPr>
      </w:pPr>
    </w:p>
    <w:p w14:paraId="2A2AD002" w14:textId="77777777" w:rsidR="00E15730" w:rsidRPr="00037DA8" w:rsidRDefault="00E15730" w:rsidP="00E15730">
      <w:pPr>
        <w:spacing w:after="0" w:line="240" w:lineRule="auto"/>
        <w:rPr>
          <w:rFonts w:ascii="Times New Roman" w:eastAsia="Times New Roman" w:hAnsi="Times New Roman"/>
          <w:i/>
          <w:snapToGrid w:val="0"/>
        </w:rPr>
      </w:pPr>
      <w:r w:rsidRPr="00037DA8">
        <w:rPr>
          <w:rFonts w:ascii="Times New Roman" w:eastAsia="Times New Roman" w:hAnsi="Times New Roman"/>
          <w:i/>
          <w:snapToGrid w:val="0"/>
        </w:rPr>
        <w:t>4 etapas</w:t>
      </w:r>
    </w:p>
    <w:p w14:paraId="477AA8EE" w14:textId="77777777" w:rsidR="00E15730" w:rsidRPr="00037DA8" w:rsidRDefault="00E15730" w:rsidP="00E15730">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Gautą infuzinį tirpalą, kaip ir bet kokį </w:t>
      </w:r>
      <w:proofErr w:type="spellStart"/>
      <w:r w:rsidRPr="00037DA8">
        <w:rPr>
          <w:rFonts w:ascii="Times New Roman" w:eastAsia="Times New Roman" w:hAnsi="Times New Roman"/>
          <w:snapToGrid w:val="0"/>
        </w:rPr>
        <w:t>parenteriniu</w:t>
      </w:r>
      <w:proofErr w:type="spellEnd"/>
      <w:r w:rsidRPr="00037DA8">
        <w:rPr>
          <w:rFonts w:ascii="Times New Roman" w:eastAsia="Times New Roman" w:hAnsi="Times New Roman"/>
          <w:snapToGrid w:val="0"/>
        </w:rPr>
        <w:t xml:space="preserve"> būdu vartojamą vaistinį preparatą, prieš vartojant būtina apžiūrėti. Kadangi infuzinis tirpalas yra labai įsotintas, laikui bėgant jis gali kristalizuotis. Tokiu atveju tirpalas turi būti nevartojamas ir turi būti sunaikintas.</w:t>
      </w:r>
    </w:p>
    <w:p w14:paraId="47AF81E3" w14:textId="77777777" w:rsidR="00E15730" w:rsidRPr="00037DA8" w:rsidRDefault="00E15730" w:rsidP="00E15730">
      <w:pPr>
        <w:spacing w:after="0" w:line="240" w:lineRule="auto"/>
        <w:rPr>
          <w:rFonts w:ascii="Times New Roman" w:eastAsia="Times New Roman" w:hAnsi="Times New Roman"/>
          <w:snapToGrid w:val="0"/>
        </w:rPr>
      </w:pPr>
    </w:p>
    <w:p w14:paraId="3316A99F" w14:textId="77777777" w:rsidR="00E15730" w:rsidRPr="00037DA8" w:rsidRDefault="00E15730" w:rsidP="00E15730">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Infuzinį tirpalą būtina vartoti nedelsiant. Vis dėlto </w:t>
      </w:r>
      <w:r w:rsidR="0082441B" w:rsidRPr="00037DA8">
        <w:rPr>
          <w:rFonts w:ascii="Times New Roman" w:eastAsia="Times New Roman" w:hAnsi="Times New Roman"/>
          <w:snapToGrid w:val="0"/>
        </w:rPr>
        <w:t>skyriuje „</w:t>
      </w:r>
      <w:r w:rsidR="0082441B" w:rsidRPr="00037DA8">
        <w:rPr>
          <w:rFonts w:ascii="Times New Roman" w:eastAsia="Times New Roman" w:hAnsi="Times New Roman"/>
          <w:b/>
          <w:bCs/>
          <w:snapToGrid w:val="0"/>
        </w:rPr>
        <w:t xml:space="preserve">Tinkamumo laikas ir specialios laikymo sąlygos“ </w:t>
      </w:r>
      <w:r w:rsidR="0082441B" w:rsidRPr="00037DA8">
        <w:rPr>
          <w:rFonts w:ascii="Times New Roman" w:eastAsia="Times New Roman" w:hAnsi="Times New Roman"/>
          <w:bCs/>
          <w:snapToGrid w:val="0"/>
        </w:rPr>
        <w:t xml:space="preserve">nurodytomis </w:t>
      </w:r>
      <w:r w:rsidRPr="00037DA8">
        <w:rPr>
          <w:rFonts w:ascii="Times New Roman" w:eastAsia="Times New Roman" w:hAnsi="Times New Roman"/>
          <w:snapToGrid w:val="0"/>
        </w:rPr>
        <w:t>specifinėmis sąlygomis paruoštą tirpalą galima laikyti ilgiau.</w:t>
      </w:r>
    </w:p>
    <w:p w14:paraId="07760F88" w14:textId="77777777" w:rsidR="00E15730" w:rsidRPr="00037DA8" w:rsidRDefault="00E15730" w:rsidP="00E15730">
      <w:pPr>
        <w:spacing w:after="0" w:line="240" w:lineRule="auto"/>
        <w:rPr>
          <w:rFonts w:ascii="Times New Roman" w:eastAsia="Times New Roman" w:hAnsi="Times New Roman"/>
          <w:snapToGrid w:val="0"/>
        </w:rPr>
      </w:pPr>
    </w:p>
    <w:p w14:paraId="3FB9104B" w14:textId="33647E8A" w:rsidR="00E15730" w:rsidRPr="00037DA8" w:rsidRDefault="004B7C5B" w:rsidP="00E15730">
      <w:pPr>
        <w:spacing w:after="0" w:line="240" w:lineRule="auto"/>
        <w:rPr>
          <w:rFonts w:ascii="Times New Roman" w:eastAsia="Times New Roman" w:hAnsi="Times New Roman"/>
          <w:snapToGrid w:val="0"/>
        </w:rPr>
      </w:pPr>
      <w:proofErr w:type="spellStart"/>
      <w:r w:rsidRPr="00037DA8">
        <w:rPr>
          <w:rFonts w:ascii="Times New Roman" w:eastAsia="Times New Roman" w:hAnsi="Times New Roman"/>
          <w:snapToGrid w:val="0"/>
        </w:rPr>
        <w:t>C</w:t>
      </w:r>
      <w:r w:rsidR="00E15730" w:rsidRPr="00037DA8">
        <w:rPr>
          <w:rFonts w:ascii="Times New Roman" w:eastAsia="Times New Roman" w:hAnsi="Times New Roman"/>
          <w:snapToGrid w:val="0"/>
        </w:rPr>
        <w:t>abazitaxel</w:t>
      </w:r>
      <w:proofErr w:type="spellEnd"/>
      <w:r w:rsidR="00E15730" w:rsidRPr="00037DA8">
        <w:rPr>
          <w:rFonts w:ascii="Times New Roman" w:eastAsia="Times New Roman" w:hAnsi="Times New Roman"/>
          <w:snapToGrid w:val="0"/>
        </w:rPr>
        <w:t xml:space="preserve"> </w:t>
      </w:r>
      <w:proofErr w:type="spellStart"/>
      <w:r w:rsidR="00E15730" w:rsidRPr="00037DA8">
        <w:rPr>
          <w:rFonts w:ascii="Times New Roman" w:eastAsia="Times New Roman" w:hAnsi="Times New Roman"/>
          <w:snapToGrid w:val="0"/>
        </w:rPr>
        <w:t>Sandoz</w:t>
      </w:r>
      <w:proofErr w:type="spellEnd"/>
      <w:r w:rsidR="00E15730" w:rsidRPr="00037DA8">
        <w:rPr>
          <w:rFonts w:ascii="Times New Roman" w:eastAsia="Times New Roman" w:hAnsi="Times New Roman"/>
          <w:snapToGrid w:val="0"/>
        </w:rPr>
        <w:t xml:space="preserve"> negalima maišyti su kitais vaistiniais preparatais, išskyrus </w:t>
      </w:r>
      <w:r w:rsidR="002E1D49">
        <w:rPr>
          <w:rFonts w:ascii="Times New Roman" w:eastAsia="Times New Roman" w:hAnsi="Times New Roman"/>
          <w:snapToGrid w:val="0"/>
        </w:rPr>
        <w:t xml:space="preserve">anksčiau </w:t>
      </w:r>
      <w:r w:rsidR="00E15730" w:rsidRPr="00037DA8">
        <w:rPr>
          <w:rFonts w:ascii="Times New Roman" w:eastAsia="Times New Roman" w:hAnsi="Times New Roman"/>
          <w:snapToGrid w:val="0"/>
        </w:rPr>
        <w:t>išvardytus.</w:t>
      </w:r>
    </w:p>
    <w:p w14:paraId="39B2F64C" w14:textId="77777777" w:rsidR="00E15730" w:rsidRPr="00037DA8" w:rsidRDefault="00E15730" w:rsidP="00E15730">
      <w:pPr>
        <w:spacing w:after="0" w:line="240" w:lineRule="auto"/>
        <w:rPr>
          <w:rFonts w:ascii="Times New Roman" w:eastAsia="Times New Roman" w:hAnsi="Times New Roman"/>
          <w:snapToGrid w:val="0"/>
        </w:rPr>
      </w:pPr>
    </w:p>
    <w:p w14:paraId="219F8E6A" w14:textId="77777777" w:rsidR="00E15730" w:rsidRPr="00037DA8" w:rsidRDefault="00E15730" w:rsidP="00E15730">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Nesuvartotą vaistinį preparatą ar atliekas reikia tvarkyti laikantis vietinių reikalavimų.</w:t>
      </w:r>
    </w:p>
    <w:p w14:paraId="012732F5" w14:textId="77777777" w:rsidR="00E15730" w:rsidRPr="00074768" w:rsidRDefault="00E15730" w:rsidP="00E15730">
      <w:pPr>
        <w:widowControl w:val="0"/>
        <w:autoSpaceDE w:val="0"/>
        <w:autoSpaceDN w:val="0"/>
        <w:adjustRightInd w:val="0"/>
        <w:spacing w:after="0" w:line="240" w:lineRule="auto"/>
        <w:rPr>
          <w:rFonts w:ascii="Times New Roman" w:eastAsia="Times New Roman" w:hAnsi="Times New Roman"/>
          <w:snapToGrid w:val="0"/>
        </w:rPr>
      </w:pPr>
    </w:p>
    <w:p w14:paraId="57DA8831" w14:textId="77777777" w:rsidR="00E15730" w:rsidRPr="0085406C" w:rsidRDefault="0082441B" w:rsidP="0097445C">
      <w:pPr>
        <w:spacing w:after="0" w:line="240" w:lineRule="auto"/>
        <w:rPr>
          <w:rFonts w:ascii="Times New Roman" w:eastAsia="Times New Roman" w:hAnsi="Times New Roman"/>
          <w:snapToGrid w:val="0"/>
          <w:u w:val="single"/>
        </w:rPr>
      </w:pPr>
      <w:r w:rsidRPr="0085406C">
        <w:rPr>
          <w:rFonts w:ascii="Times New Roman" w:eastAsia="Times New Roman" w:hAnsi="Times New Roman"/>
          <w:snapToGrid w:val="0"/>
          <w:u w:val="single"/>
        </w:rPr>
        <w:t>Vartojimo metodas</w:t>
      </w:r>
    </w:p>
    <w:p w14:paraId="75A79990" w14:textId="2DEE4948" w:rsidR="00E15730" w:rsidRPr="004200DB" w:rsidRDefault="0082441B" w:rsidP="0097445C">
      <w:pPr>
        <w:spacing w:after="0" w:line="240" w:lineRule="auto"/>
        <w:rPr>
          <w:rFonts w:ascii="Times New Roman" w:eastAsia="Times New Roman" w:hAnsi="Times New Roman"/>
          <w:snapToGrid w:val="0"/>
        </w:rPr>
      </w:pPr>
      <w:proofErr w:type="spellStart"/>
      <w:r w:rsidRPr="004200DB">
        <w:rPr>
          <w:rFonts w:ascii="Times New Roman" w:eastAsia="Times New Roman" w:hAnsi="Times New Roman"/>
          <w:snapToGrid w:val="0"/>
        </w:rPr>
        <w:t>Cabazitaxel</w:t>
      </w:r>
      <w:proofErr w:type="spellEnd"/>
      <w:r w:rsidRPr="004200DB">
        <w:rPr>
          <w:rFonts w:ascii="Times New Roman" w:eastAsia="Times New Roman" w:hAnsi="Times New Roman"/>
          <w:snapToGrid w:val="0"/>
        </w:rPr>
        <w:t xml:space="preserve"> </w:t>
      </w:r>
      <w:proofErr w:type="spellStart"/>
      <w:r w:rsidRPr="004200DB">
        <w:rPr>
          <w:rFonts w:ascii="Times New Roman" w:eastAsia="Times New Roman" w:hAnsi="Times New Roman"/>
          <w:snapToGrid w:val="0"/>
        </w:rPr>
        <w:t>Sandoz</w:t>
      </w:r>
      <w:proofErr w:type="spellEnd"/>
      <w:r w:rsidRPr="004200DB">
        <w:rPr>
          <w:rFonts w:ascii="Times New Roman" w:eastAsia="Times New Roman" w:hAnsi="Times New Roman"/>
          <w:snapToGrid w:val="0"/>
        </w:rPr>
        <w:t xml:space="preserve"> suleidžiamas infuzijos būdu į veną per 1</w:t>
      </w:r>
      <w:r w:rsidR="00424ED8">
        <w:rPr>
          <w:rFonts w:ascii="Times New Roman" w:eastAsia="Times New Roman" w:hAnsi="Times New Roman"/>
          <w:snapToGrid w:val="0"/>
        </w:rPr>
        <w:t> </w:t>
      </w:r>
      <w:r w:rsidRPr="004200DB">
        <w:rPr>
          <w:rFonts w:ascii="Times New Roman" w:eastAsia="Times New Roman" w:hAnsi="Times New Roman"/>
          <w:snapToGrid w:val="0"/>
        </w:rPr>
        <w:t>valandą.</w:t>
      </w:r>
    </w:p>
    <w:p w14:paraId="39BB25D8" w14:textId="77777777" w:rsidR="00E15730" w:rsidRPr="004200DB" w:rsidRDefault="00E15730" w:rsidP="0097445C">
      <w:pPr>
        <w:spacing w:after="0" w:line="240" w:lineRule="auto"/>
        <w:rPr>
          <w:rFonts w:ascii="Times New Roman" w:eastAsia="Times New Roman" w:hAnsi="Times New Roman"/>
          <w:snapToGrid w:val="0"/>
        </w:rPr>
      </w:pPr>
    </w:p>
    <w:p w14:paraId="5BA7A51C" w14:textId="766C2614" w:rsidR="0082441B" w:rsidRPr="00037DA8" w:rsidRDefault="00A5681D" w:rsidP="0082441B">
      <w:pPr>
        <w:spacing w:after="0" w:line="240" w:lineRule="auto"/>
        <w:rPr>
          <w:rFonts w:ascii="Times New Roman" w:eastAsia="Times New Roman" w:hAnsi="Times New Roman"/>
          <w:snapToGrid w:val="0"/>
        </w:rPr>
      </w:pPr>
      <w:r>
        <w:rPr>
          <w:rFonts w:ascii="Times New Roman" w:eastAsia="Times New Roman" w:hAnsi="Times New Roman"/>
          <w:snapToGrid w:val="0"/>
        </w:rPr>
        <w:t>Privaloma</w:t>
      </w:r>
      <w:r w:rsidR="0082441B" w:rsidRPr="00037DA8">
        <w:rPr>
          <w:rFonts w:ascii="Times New Roman" w:eastAsia="Times New Roman" w:hAnsi="Times New Roman"/>
          <w:snapToGrid w:val="0"/>
        </w:rPr>
        <w:t xml:space="preserve"> naudoti infuzinės sistemos vidinį 0,22</w:t>
      </w:r>
      <w:r w:rsidR="00424ED8">
        <w:rPr>
          <w:rFonts w:ascii="Times New Roman" w:eastAsia="Times New Roman" w:hAnsi="Times New Roman"/>
          <w:snapToGrid w:val="0"/>
        </w:rPr>
        <w:t> </w:t>
      </w:r>
      <w:r w:rsidR="0082441B" w:rsidRPr="00037DA8">
        <w:rPr>
          <w:rFonts w:ascii="Times New Roman" w:eastAsia="Times New Roman" w:hAnsi="Times New Roman"/>
          <w:snapToGrid w:val="0"/>
        </w:rPr>
        <w:t>mikrometro (dar vadinamą 0,2</w:t>
      </w:r>
      <w:r w:rsidR="00424ED8">
        <w:rPr>
          <w:rFonts w:ascii="Times New Roman" w:eastAsia="Times New Roman" w:hAnsi="Times New Roman"/>
          <w:snapToGrid w:val="0"/>
        </w:rPr>
        <w:t> </w:t>
      </w:r>
      <w:r w:rsidR="0082441B" w:rsidRPr="00037DA8">
        <w:rPr>
          <w:rFonts w:ascii="Times New Roman" w:eastAsia="Times New Roman" w:hAnsi="Times New Roman"/>
          <w:snapToGrid w:val="0"/>
        </w:rPr>
        <w:t>mikrometro) nominalaus porų dydžio filtrą.</w:t>
      </w:r>
    </w:p>
    <w:p w14:paraId="4976149D" w14:textId="77777777" w:rsidR="00E15730" w:rsidRPr="00037DA8" w:rsidRDefault="00E15730" w:rsidP="0097445C">
      <w:pPr>
        <w:spacing w:after="0" w:line="240" w:lineRule="auto"/>
        <w:rPr>
          <w:rFonts w:ascii="Times New Roman" w:eastAsia="Times New Roman" w:hAnsi="Times New Roman"/>
          <w:snapToGrid w:val="0"/>
        </w:rPr>
      </w:pPr>
    </w:p>
    <w:p w14:paraId="5201A506" w14:textId="77777777" w:rsidR="0082441B" w:rsidRPr="00037DA8" w:rsidRDefault="0082441B" w:rsidP="0082441B">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Ruošiant ir vartojant </w:t>
      </w:r>
      <w:proofErr w:type="spellStart"/>
      <w:r w:rsidR="004B7C5B" w:rsidRPr="00037DA8">
        <w:rPr>
          <w:rFonts w:ascii="Times New Roman" w:eastAsia="Times New Roman" w:hAnsi="Times New Roman"/>
          <w:snapToGrid w:val="0"/>
        </w:rPr>
        <w:t>C</w:t>
      </w:r>
      <w:r w:rsidRPr="00037DA8">
        <w:rPr>
          <w:rFonts w:ascii="Times New Roman" w:eastAsia="Times New Roman" w:hAnsi="Times New Roman"/>
          <w:snapToGrid w:val="0"/>
        </w:rPr>
        <w:t>abazitaxel</w:t>
      </w:r>
      <w:proofErr w:type="spellEnd"/>
      <w:r w:rsidRPr="00037DA8">
        <w:rPr>
          <w:rFonts w:ascii="Times New Roman" w:eastAsia="Times New Roman" w:hAnsi="Times New Roman"/>
          <w:snapToGrid w:val="0"/>
        </w:rPr>
        <w:t xml:space="preserve"> </w:t>
      </w:r>
      <w:proofErr w:type="spellStart"/>
      <w:r w:rsidRPr="00037DA8">
        <w:rPr>
          <w:rFonts w:ascii="Times New Roman" w:eastAsia="Times New Roman" w:hAnsi="Times New Roman"/>
          <w:snapToGrid w:val="0"/>
        </w:rPr>
        <w:t>Sandoz</w:t>
      </w:r>
      <w:proofErr w:type="spellEnd"/>
      <w:r w:rsidRPr="00037DA8">
        <w:rPr>
          <w:rFonts w:ascii="Times New Roman" w:eastAsia="Times New Roman" w:hAnsi="Times New Roman"/>
          <w:snapToGrid w:val="0"/>
        </w:rPr>
        <w:t xml:space="preserve">, negalima naudoti PVC infuzinių </w:t>
      </w:r>
      <w:proofErr w:type="spellStart"/>
      <w:r w:rsidRPr="00037DA8">
        <w:rPr>
          <w:rFonts w:ascii="Times New Roman" w:eastAsia="Times New Roman" w:hAnsi="Times New Roman"/>
          <w:snapToGrid w:val="0"/>
        </w:rPr>
        <w:t>talpyklių</w:t>
      </w:r>
      <w:proofErr w:type="spellEnd"/>
      <w:r w:rsidRPr="00037DA8">
        <w:rPr>
          <w:rFonts w:ascii="Times New Roman" w:eastAsia="Times New Roman" w:hAnsi="Times New Roman"/>
          <w:snapToGrid w:val="0"/>
        </w:rPr>
        <w:t xml:space="preserve"> arba poliuretano infuzinių komplektų.</w:t>
      </w:r>
    </w:p>
    <w:p w14:paraId="2424B6CA" w14:textId="77777777" w:rsidR="005E5297" w:rsidRPr="00037DA8" w:rsidRDefault="005E5297" w:rsidP="005E5297">
      <w:pPr>
        <w:spacing w:after="0" w:line="240" w:lineRule="auto"/>
        <w:rPr>
          <w:rFonts w:ascii="Times New Roman" w:eastAsia="Times New Roman" w:hAnsi="Times New Roman"/>
          <w:snapToGrid w:val="0"/>
        </w:rPr>
      </w:pPr>
    </w:p>
    <w:p w14:paraId="2F853488" w14:textId="77777777" w:rsidR="005E5297" w:rsidRPr="00037DA8" w:rsidRDefault="004B7C5B" w:rsidP="005E5297">
      <w:pPr>
        <w:spacing w:after="0" w:line="240" w:lineRule="auto"/>
        <w:rPr>
          <w:rFonts w:ascii="Times New Roman" w:eastAsia="Times New Roman" w:hAnsi="Times New Roman"/>
          <w:snapToGrid w:val="0"/>
        </w:rPr>
      </w:pPr>
      <w:proofErr w:type="spellStart"/>
      <w:r w:rsidRPr="00037DA8">
        <w:rPr>
          <w:rFonts w:ascii="Times New Roman" w:eastAsia="Times New Roman" w:hAnsi="Times New Roman"/>
          <w:snapToGrid w:val="0"/>
        </w:rPr>
        <w:t>C</w:t>
      </w:r>
      <w:r w:rsidR="005E5297" w:rsidRPr="00037DA8">
        <w:rPr>
          <w:rFonts w:ascii="Times New Roman" w:eastAsia="Times New Roman" w:hAnsi="Times New Roman"/>
          <w:snapToGrid w:val="0"/>
        </w:rPr>
        <w:t>abazitaxel</w:t>
      </w:r>
      <w:proofErr w:type="spellEnd"/>
      <w:r w:rsidR="005E5297" w:rsidRPr="00037DA8">
        <w:rPr>
          <w:rFonts w:ascii="Times New Roman" w:eastAsia="Times New Roman" w:hAnsi="Times New Roman"/>
          <w:snapToGrid w:val="0"/>
        </w:rPr>
        <w:t xml:space="preserve"> </w:t>
      </w:r>
      <w:proofErr w:type="spellStart"/>
      <w:r w:rsidR="005E5297" w:rsidRPr="00037DA8">
        <w:rPr>
          <w:rFonts w:ascii="Times New Roman" w:eastAsia="Times New Roman" w:hAnsi="Times New Roman"/>
          <w:snapToGrid w:val="0"/>
        </w:rPr>
        <w:t>Sandoz</w:t>
      </w:r>
      <w:proofErr w:type="spellEnd"/>
      <w:r w:rsidR="005E5297" w:rsidRPr="00037DA8">
        <w:rPr>
          <w:rFonts w:ascii="Times New Roman" w:eastAsia="Times New Roman" w:hAnsi="Times New Roman"/>
          <w:snapToGrid w:val="0"/>
        </w:rPr>
        <w:t xml:space="preserve"> negalima maišyti su jokiais kitais vaistiniais preparatais, išskyrus paminėtuosius.</w:t>
      </w:r>
    </w:p>
    <w:p w14:paraId="243D1462" w14:textId="77777777" w:rsidR="00E15730" w:rsidRPr="00037DA8" w:rsidRDefault="00E15730" w:rsidP="0097445C">
      <w:pPr>
        <w:spacing w:after="0" w:line="240" w:lineRule="auto"/>
        <w:rPr>
          <w:rFonts w:ascii="Times New Roman" w:eastAsia="Times New Roman" w:hAnsi="Times New Roman"/>
          <w:snapToGrid w:val="0"/>
        </w:rPr>
      </w:pPr>
    </w:p>
    <w:sectPr w:rsidR="00E15730" w:rsidRPr="00037DA8" w:rsidSect="00A1477B">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6A0DE" w14:textId="77777777" w:rsidR="002B549A" w:rsidRDefault="002B549A">
      <w:pPr>
        <w:spacing w:after="0" w:line="240" w:lineRule="auto"/>
      </w:pPr>
      <w:r>
        <w:separator/>
      </w:r>
    </w:p>
  </w:endnote>
  <w:endnote w:type="continuationSeparator" w:id="0">
    <w:p w14:paraId="1C4BD2A8" w14:textId="77777777" w:rsidR="002B549A" w:rsidRDefault="002B549A">
      <w:pPr>
        <w:spacing w:after="0" w:line="240" w:lineRule="auto"/>
      </w:pPr>
      <w:r>
        <w:continuationSeparator/>
      </w:r>
    </w:p>
  </w:endnote>
  <w:endnote w:type="continuationNotice" w:id="1">
    <w:p w14:paraId="7A916268" w14:textId="77777777" w:rsidR="002B549A" w:rsidRDefault="002B5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CF041" w14:textId="3B5BF782" w:rsidR="00C326D9" w:rsidRDefault="00C326D9">
    <w:pPr>
      <w:pStyle w:val="Porat"/>
      <w:jc w:val="center"/>
    </w:pPr>
    <w:r>
      <w:fldChar w:fldCharType="begin"/>
    </w:r>
    <w:r>
      <w:instrText>PAGE   \* MERGEFORMAT</w:instrText>
    </w:r>
    <w:r>
      <w:fldChar w:fldCharType="separate"/>
    </w:r>
    <w:r w:rsidR="00256435" w:rsidRPr="00256435">
      <w:rPr>
        <w:noProof/>
        <w:lang w:val="lt-LT"/>
      </w:rPr>
      <w:t>24</w:t>
    </w:r>
    <w:r>
      <w:fldChar w:fldCharType="end"/>
    </w:r>
  </w:p>
  <w:p w14:paraId="02C9B121" w14:textId="77777777" w:rsidR="00C326D9" w:rsidRDefault="00C326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13699" w14:textId="77777777" w:rsidR="002B549A" w:rsidRDefault="002B549A">
      <w:pPr>
        <w:spacing w:after="0" w:line="240" w:lineRule="auto"/>
      </w:pPr>
      <w:r>
        <w:separator/>
      </w:r>
    </w:p>
  </w:footnote>
  <w:footnote w:type="continuationSeparator" w:id="0">
    <w:p w14:paraId="15F9BE62" w14:textId="77777777" w:rsidR="002B549A" w:rsidRDefault="002B549A">
      <w:pPr>
        <w:spacing w:after="0" w:line="240" w:lineRule="auto"/>
      </w:pPr>
      <w:r>
        <w:continuationSeparator/>
      </w:r>
    </w:p>
  </w:footnote>
  <w:footnote w:type="continuationNotice" w:id="1">
    <w:p w14:paraId="67BAE553" w14:textId="77777777" w:rsidR="002B549A" w:rsidRDefault="002B54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A68D3" w14:textId="77777777" w:rsidR="003F069E" w:rsidRDefault="003F06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21631"/>
    <w:multiLevelType w:val="hybridMultilevel"/>
    <w:tmpl w:val="B882F4B2"/>
    <w:lvl w:ilvl="0" w:tplc="64E407BE">
      <w:start w:val="1"/>
      <w:numFmt w:val="bullet"/>
      <w:lvlText w:val=""/>
      <w:lvlJc w:val="left"/>
      <w:pPr>
        <w:ind w:left="720" w:hanging="360"/>
      </w:pPr>
      <w:rPr>
        <w:rFonts w:ascii="Symbol" w:hAnsi="Symbol" w:hint="default"/>
        <w:sz w:val="22"/>
        <w:szCs w:val="24"/>
      </w:rPr>
    </w:lvl>
    <w:lvl w:ilvl="1" w:tplc="64E407BE">
      <w:start w:val="1"/>
      <w:numFmt w:val="bullet"/>
      <w:lvlText w:val=""/>
      <w:lvlJc w:val="left"/>
      <w:pPr>
        <w:ind w:left="1440" w:hanging="360"/>
      </w:pPr>
      <w:rPr>
        <w:rFonts w:ascii="Symbol" w:hAnsi="Symbol" w:hint="default"/>
        <w:sz w:val="22"/>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238737D6"/>
    <w:multiLevelType w:val="hybridMultilevel"/>
    <w:tmpl w:val="AEBE3BE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3F191D"/>
    <w:multiLevelType w:val="hybridMultilevel"/>
    <w:tmpl w:val="8A661156"/>
    <w:lvl w:ilvl="0" w:tplc="8C3433B6">
      <w:numFmt w:val="bullet"/>
      <w:lvlText w:val=""/>
      <w:lvlJc w:val="left"/>
      <w:pPr>
        <w:ind w:left="720" w:hanging="360"/>
      </w:pPr>
      <w:rPr>
        <w:rFonts w:ascii="Symbol" w:hAnsi="Symbol" w:cs="Times New Roman" w:hint="default"/>
        <w:sz w:val="22"/>
      </w:rPr>
    </w:lvl>
    <w:lvl w:ilvl="1" w:tplc="6C1849DE">
      <w:numFmt w:val="bullet"/>
      <w:lvlText w:val="•"/>
      <w:lvlJc w:val="left"/>
      <w:pPr>
        <w:ind w:left="1440" w:hanging="360"/>
      </w:pPr>
      <w:rPr>
        <w:rFonts w:ascii="Calibri" w:eastAsia="Calibr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4E4B3E"/>
    <w:multiLevelType w:val="hybridMultilevel"/>
    <w:tmpl w:val="7B30664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E85DC3"/>
    <w:multiLevelType w:val="hybridMultilevel"/>
    <w:tmpl w:val="7D24352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77077A"/>
    <w:multiLevelType w:val="hybridMultilevel"/>
    <w:tmpl w:val="0B74E05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6096B7E"/>
    <w:multiLevelType w:val="hybridMultilevel"/>
    <w:tmpl w:val="0B0663C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DF37E36"/>
    <w:multiLevelType w:val="hybridMultilevel"/>
    <w:tmpl w:val="59FEDF1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FF3E4C"/>
    <w:multiLevelType w:val="hybridMultilevel"/>
    <w:tmpl w:val="A2A41326"/>
    <w:lvl w:ilvl="0" w:tplc="64E407BE">
      <w:start w:val="1"/>
      <w:numFmt w:val="bullet"/>
      <w:lvlText w:val=""/>
      <w:lvlJc w:val="left"/>
      <w:pPr>
        <w:ind w:left="720" w:hanging="360"/>
      </w:pPr>
      <w:rPr>
        <w:rFonts w:ascii="Symbol" w:hAnsi="Symbol" w:hint="default"/>
        <w:sz w:val="22"/>
        <w:szCs w:val="24"/>
      </w:rPr>
    </w:lvl>
    <w:lvl w:ilvl="1" w:tplc="64E407BE">
      <w:start w:val="1"/>
      <w:numFmt w:val="bullet"/>
      <w:lvlText w:val=""/>
      <w:lvlJc w:val="left"/>
      <w:pPr>
        <w:ind w:left="1440" w:hanging="360"/>
      </w:pPr>
      <w:rPr>
        <w:rFonts w:ascii="Symbol" w:hAnsi="Symbol" w:hint="default"/>
        <w:sz w:val="22"/>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D00221"/>
    <w:multiLevelType w:val="hybridMultilevel"/>
    <w:tmpl w:val="FEDCFB3A"/>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F5192D"/>
    <w:multiLevelType w:val="hybridMultilevel"/>
    <w:tmpl w:val="131ED0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BC0503"/>
    <w:multiLevelType w:val="hybridMultilevel"/>
    <w:tmpl w:val="E1503E00"/>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335E8C"/>
    <w:multiLevelType w:val="hybridMultilevel"/>
    <w:tmpl w:val="B13A6C0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5836496">
    <w:abstractNumId w:val="1"/>
  </w:num>
  <w:num w:numId="2" w16cid:durableId="412973253">
    <w:abstractNumId w:val="5"/>
  </w:num>
  <w:num w:numId="3" w16cid:durableId="710618196">
    <w:abstractNumId w:val="13"/>
  </w:num>
  <w:num w:numId="4" w16cid:durableId="637995103">
    <w:abstractNumId w:val="2"/>
  </w:num>
  <w:num w:numId="5" w16cid:durableId="515853755">
    <w:abstractNumId w:val="4"/>
  </w:num>
  <w:num w:numId="6" w16cid:durableId="22445088">
    <w:abstractNumId w:val="7"/>
  </w:num>
  <w:num w:numId="7" w16cid:durableId="1089732670">
    <w:abstractNumId w:val="11"/>
  </w:num>
  <w:num w:numId="8" w16cid:durableId="1125465025">
    <w:abstractNumId w:val="3"/>
  </w:num>
  <w:num w:numId="9" w16cid:durableId="1569802078">
    <w:abstractNumId w:val="10"/>
  </w:num>
  <w:num w:numId="10" w16cid:durableId="2139642687">
    <w:abstractNumId w:val="12"/>
  </w:num>
  <w:num w:numId="11" w16cid:durableId="375669358">
    <w:abstractNumId w:val="0"/>
  </w:num>
  <w:num w:numId="12" w16cid:durableId="1025402952">
    <w:abstractNumId w:val="9"/>
  </w:num>
  <w:num w:numId="13" w16cid:durableId="1939362178">
    <w:abstractNumId w:val="6"/>
  </w:num>
  <w:num w:numId="14" w16cid:durableId="168022809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68"/>
    <w:rsid w:val="00000405"/>
    <w:rsid w:val="00001837"/>
    <w:rsid w:val="000025EE"/>
    <w:rsid w:val="00002F90"/>
    <w:rsid w:val="00006853"/>
    <w:rsid w:val="000069E9"/>
    <w:rsid w:val="00010370"/>
    <w:rsid w:val="00020996"/>
    <w:rsid w:val="000324A0"/>
    <w:rsid w:val="00034FA9"/>
    <w:rsid w:val="0003632F"/>
    <w:rsid w:val="00037DA8"/>
    <w:rsid w:val="00042ADB"/>
    <w:rsid w:val="000448C3"/>
    <w:rsid w:val="00052ECA"/>
    <w:rsid w:val="000548A1"/>
    <w:rsid w:val="00063455"/>
    <w:rsid w:val="00063847"/>
    <w:rsid w:val="00074768"/>
    <w:rsid w:val="000754E6"/>
    <w:rsid w:val="000770B1"/>
    <w:rsid w:val="00083E95"/>
    <w:rsid w:val="00085C96"/>
    <w:rsid w:val="00090860"/>
    <w:rsid w:val="000A12FE"/>
    <w:rsid w:val="000A2DA2"/>
    <w:rsid w:val="000A2DCD"/>
    <w:rsid w:val="000A56EC"/>
    <w:rsid w:val="000A574E"/>
    <w:rsid w:val="000A7749"/>
    <w:rsid w:val="000B76A9"/>
    <w:rsid w:val="000C155E"/>
    <w:rsid w:val="000C17BE"/>
    <w:rsid w:val="000D7792"/>
    <w:rsid w:val="000E3AD7"/>
    <w:rsid w:val="001110BC"/>
    <w:rsid w:val="0011144D"/>
    <w:rsid w:val="001114CF"/>
    <w:rsid w:val="00112DD9"/>
    <w:rsid w:val="001172E8"/>
    <w:rsid w:val="00121114"/>
    <w:rsid w:val="00123FFB"/>
    <w:rsid w:val="00125CBC"/>
    <w:rsid w:val="001268E8"/>
    <w:rsid w:val="001316E7"/>
    <w:rsid w:val="00135702"/>
    <w:rsid w:val="00137AFE"/>
    <w:rsid w:val="0014077B"/>
    <w:rsid w:val="00142F94"/>
    <w:rsid w:val="00147091"/>
    <w:rsid w:val="00147E44"/>
    <w:rsid w:val="00153EF5"/>
    <w:rsid w:val="00154F7D"/>
    <w:rsid w:val="00157FB9"/>
    <w:rsid w:val="00165672"/>
    <w:rsid w:val="00166270"/>
    <w:rsid w:val="00167EAB"/>
    <w:rsid w:val="001706D2"/>
    <w:rsid w:val="00176B28"/>
    <w:rsid w:val="00176E3B"/>
    <w:rsid w:val="00177376"/>
    <w:rsid w:val="00181190"/>
    <w:rsid w:val="00194370"/>
    <w:rsid w:val="00197DA3"/>
    <w:rsid w:val="001B1287"/>
    <w:rsid w:val="001B211B"/>
    <w:rsid w:val="001C55A0"/>
    <w:rsid w:val="001D24D7"/>
    <w:rsid w:val="001D6B8E"/>
    <w:rsid w:val="001E184A"/>
    <w:rsid w:val="001E1DB3"/>
    <w:rsid w:val="001E6DB4"/>
    <w:rsid w:val="001F0F9B"/>
    <w:rsid w:val="00200538"/>
    <w:rsid w:val="00205FA5"/>
    <w:rsid w:val="002060A7"/>
    <w:rsid w:val="00206CA2"/>
    <w:rsid w:val="00210F20"/>
    <w:rsid w:val="00211B31"/>
    <w:rsid w:val="00214512"/>
    <w:rsid w:val="002166F1"/>
    <w:rsid w:val="002175E5"/>
    <w:rsid w:val="00220BC7"/>
    <w:rsid w:val="002242D1"/>
    <w:rsid w:val="00224BF0"/>
    <w:rsid w:val="002276FD"/>
    <w:rsid w:val="00241908"/>
    <w:rsid w:val="0024548A"/>
    <w:rsid w:val="00246F1C"/>
    <w:rsid w:val="00253462"/>
    <w:rsid w:val="00256435"/>
    <w:rsid w:val="002620F5"/>
    <w:rsid w:val="002627AB"/>
    <w:rsid w:val="002634B8"/>
    <w:rsid w:val="00263D07"/>
    <w:rsid w:val="0026425E"/>
    <w:rsid w:val="002642B8"/>
    <w:rsid w:val="00267DDB"/>
    <w:rsid w:val="002728E7"/>
    <w:rsid w:val="00281D38"/>
    <w:rsid w:val="00286490"/>
    <w:rsid w:val="002872AF"/>
    <w:rsid w:val="00293E6E"/>
    <w:rsid w:val="00294333"/>
    <w:rsid w:val="0029646D"/>
    <w:rsid w:val="002A34CE"/>
    <w:rsid w:val="002A44ED"/>
    <w:rsid w:val="002A526F"/>
    <w:rsid w:val="002B3B38"/>
    <w:rsid w:val="002B4F78"/>
    <w:rsid w:val="002B549A"/>
    <w:rsid w:val="002B5D58"/>
    <w:rsid w:val="002C2B24"/>
    <w:rsid w:val="002C38E1"/>
    <w:rsid w:val="002C3E0D"/>
    <w:rsid w:val="002D7349"/>
    <w:rsid w:val="002E1D49"/>
    <w:rsid w:val="002E254B"/>
    <w:rsid w:val="002E7E64"/>
    <w:rsid w:val="002F6622"/>
    <w:rsid w:val="0030370E"/>
    <w:rsid w:val="00303EFF"/>
    <w:rsid w:val="00307A91"/>
    <w:rsid w:val="00307B50"/>
    <w:rsid w:val="00311FB2"/>
    <w:rsid w:val="00313CD7"/>
    <w:rsid w:val="003165FB"/>
    <w:rsid w:val="0032166C"/>
    <w:rsid w:val="0032267B"/>
    <w:rsid w:val="00322DC0"/>
    <w:rsid w:val="00324597"/>
    <w:rsid w:val="0033115E"/>
    <w:rsid w:val="003317FF"/>
    <w:rsid w:val="0033242F"/>
    <w:rsid w:val="0033316C"/>
    <w:rsid w:val="003407E3"/>
    <w:rsid w:val="00340BC2"/>
    <w:rsid w:val="00345DA3"/>
    <w:rsid w:val="00350E12"/>
    <w:rsid w:val="00352B3D"/>
    <w:rsid w:val="00354DD9"/>
    <w:rsid w:val="00356495"/>
    <w:rsid w:val="00361D6D"/>
    <w:rsid w:val="00375BE7"/>
    <w:rsid w:val="00376617"/>
    <w:rsid w:val="00376894"/>
    <w:rsid w:val="003823E8"/>
    <w:rsid w:val="003829A7"/>
    <w:rsid w:val="00384D93"/>
    <w:rsid w:val="00392E8D"/>
    <w:rsid w:val="00396F56"/>
    <w:rsid w:val="003A16FD"/>
    <w:rsid w:val="003A23A2"/>
    <w:rsid w:val="003A6FA4"/>
    <w:rsid w:val="003A7A7D"/>
    <w:rsid w:val="003C132B"/>
    <w:rsid w:val="003C14B0"/>
    <w:rsid w:val="003C20BC"/>
    <w:rsid w:val="003C2EBA"/>
    <w:rsid w:val="003D1E7E"/>
    <w:rsid w:val="003D268E"/>
    <w:rsid w:val="003D34CE"/>
    <w:rsid w:val="003D545D"/>
    <w:rsid w:val="003D5536"/>
    <w:rsid w:val="003E617F"/>
    <w:rsid w:val="003E7562"/>
    <w:rsid w:val="003F069E"/>
    <w:rsid w:val="003F0B6B"/>
    <w:rsid w:val="003F2FBC"/>
    <w:rsid w:val="003F49D3"/>
    <w:rsid w:val="00401AAD"/>
    <w:rsid w:val="00412E6C"/>
    <w:rsid w:val="004138FB"/>
    <w:rsid w:val="004200DB"/>
    <w:rsid w:val="0042038C"/>
    <w:rsid w:val="00420934"/>
    <w:rsid w:val="00424076"/>
    <w:rsid w:val="00424C2D"/>
    <w:rsid w:val="00424ED8"/>
    <w:rsid w:val="00427AC5"/>
    <w:rsid w:val="00437A8E"/>
    <w:rsid w:val="004401E0"/>
    <w:rsid w:val="004429DC"/>
    <w:rsid w:val="00443470"/>
    <w:rsid w:val="00452893"/>
    <w:rsid w:val="004539D4"/>
    <w:rsid w:val="0046131A"/>
    <w:rsid w:val="0046749B"/>
    <w:rsid w:val="0047734B"/>
    <w:rsid w:val="004808C6"/>
    <w:rsid w:val="00485CDA"/>
    <w:rsid w:val="00494DDC"/>
    <w:rsid w:val="004A28EF"/>
    <w:rsid w:val="004A66B8"/>
    <w:rsid w:val="004A7DBA"/>
    <w:rsid w:val="004A7F89"/>
    <w:rsid w:val="004B07A0"/>
    <w:rsid w:val="004B08F2"/>
    <w:rsid w:val="004B3430"/>
    <w:rsid w:val="004B7C5B"/>
    <w:rsid w:val="004C7DEB"/>
    <w:rsid w:val="004D08EF"/>
    <w:rsid w:val="004D0952"/>
    <w:rsid w:val="004D13C0"/>
    <w:rsid w:val="004D1CE9"/>
    <w:rsid w:val="004D77E9"/>
    <w:rsid w:val="004E132C"/>
    <w:rsid w:val="004E6C32"/>
    <w:rsid w:val="004F4DF9"/>
    <w:rsid w:val="004F528A"/>
    <w:rsid w:val="004F5DAA"/>
    <w:rsid w:val="004F6CEE"/>
    <w:rsid w:val="004F7C98"/>
    <w:rsid w:val="005031D7"/>
    <w:rsid w:val="005066F2"/>
    <w:rsid w:val="00524443"/>
    <w:rsid w:val="00524ACA"/>
    <w:rsid w:val="00525843"/>
    <w:rsid w:val="0053063D"/>
    <w:rsid w:val="00530686"/>
    <w:rsid w:val="00532584"/>
    <w:rsid w:val="00533833"/>
    <w:rsid w:val="0053532E"/>
    <w:rsid w:val="00537A60"/>
    <w:rsid w:val="00537D26"/>
    <w:rsid w:val="00543561"/>
    <w:rsid w:val="00545F3A"/>
    <w:rsid w:val="0055072B"/>
    <w:rsid w:val="00553DFA"/>
    <w:rsid w:val="00554053"/>
    <w:rsid w:val="005542EC"/>
    <w:rsid w:val="005632CB"/>
    <w:rsid w:val="005647E7"/>
    <w:rsid w:val="00566539"/>
    <w:rsid w:val="005821C3"/>
    <w:rsid w:val="00582BD8"/>
    <w:rsid w:val="005840E5"/>
    <w:rsid w:val="005862BF"/>
    <w:rsid w:val="0058711D"/>
    <w:rsid w:val="005929EE"/>
    <w:rsid w:val="00594093"/>
    <w:rsid w:val="005A0545"/>
    <w:rsid w:val="005A1412"/>
    <w:rsid w:val="005A23C5"/>
    <w:rsid w:val="005A2C8C"/>
    <w:rsid w:val="005A6D57"/>
    <w:rsid w:val="005B0F82"/>
    <w:rsid w:val="005C3605"/>
    <w:rsid w:val="005C606E"/>
    <w:rsid w:val="005C6952"/>
    <w:rsid w:val="005C7893"/>
    <w:rsid w:val="005D198C"/>
    <w:rsid w:val="005D62B3"/>
    <w:rsid w:val="005D787C"/>
    <w:rsid w:val="005E251D"/>
    <w:rsid w:val="005E3FF2"/>
    <w:rsid w:val="005E5297"/>
    <w:rsid w:val="005F0A31"/>
    <w:rsid w:val="005F1485"/>
    <w:rsid w:val="005F3A15"/>
    <w:rsid w:val="005F4A9B"/>
    <w:rsid w:val="005F4B40"/>
    <w:rsid w:val="005F63D7"/>
    <w:rsid w:val="006015DC"/>
    <w:rsid w:val="00610EBF"/>
    <w:rsid w:val="00615F36"/>
    <w:rsid w:val="00622B7A"/>
    <w:rsid w:val="00622FE9"/>
    <w:rsid w:val="00624D5E"/>
    <w:rsid w:val="006317F1"/>
    <w:rsid w:val="006415EC"/>
    <w:rsid w:val="00643FCE"/>
    <w:rsid w:val="00644839"/>
    <w:rsid w:val="006458F5"/>
    <w:rsid w:val="00646E20"/>
    <w:rsid w:val="006470C1"/>
    <w:rsid w:val="00653906"/>
    <w:rsid w:val="006574A6"/>
    <w:rsid w:val="0066115B"/>
    <w:rsid w:val="00662FAD"/>
    <w:rsid w:val="00664AFE"/>
    <w:rsid w:val="00665C6E"/>
    <w:rsid w:val="006729C4"/>
    <w:rsid w:val="00674F8E"/>
    <w:rsid w:val="006A43D4"/>
    <w:rsid w:val="006A6244"/>
    <w:rsid w:val="006A674F"/>
    <w:rsid w:val="006A6802"/>
    <w:rsid w:val="006B0813"/>
    <w:rsid w:val="006B1F72"/>
    <w:rsid w:val="006B2910"/>
    <w:rsid w:val="006C1B39"/>
    <w:rsid w:val="006C39B0"/>
    <w:rsid w:val="006C4A0D"/>
    <w:rsid w:val="006C5919"/>
    <w:rsid w:val="006D2206"/>
    <w:rsid w:val="006D365B"/>
    <w:rsid w:val="006D53B3"/>
    <w:rsid w:val="006F19B2"/>
    <w:rsid w:val="006F6813"/>
    <w:rsid w:val="006F6F67"/>
    <w:rsid w:val="00701B8A"/>
    <w:rsid w:val="00711982"/>
    <w:rsid w:val="00712B44"/>
    <w:rsid w:val="00715169"/>
    <w:rsid w:val="00721662"/>
    <w:rsid w:val="0072342C"/>
    <w:rsid w:val="00727E79"/>
    <w:rsid w:val="0073205A"/>
    <w:rsid w:val="0074393B"/>
    <w:rsid w:val="00746B7B"/>
    <w:rsid w:val="00747CFE"/>
    <w:rsid w:val="00747E7C"/>
    <w:rsid w:val="00750F8E"/>
    <w:rsid w:val="007523B2"/>
    <w:rsid w:val="007545F5"/>
    <w:rsid w:val="00755E27"/>
    <w:rsid w:val="007648F1"/>
    <w:rsid w:val="007657F6"/>
    <w:rsid w:val="00766AD6"/>
    <w:rsid w:val="00770E73"/>
    <w:rsid w:val="00776303"/>
    <w:rsid w:val="00780AE5"/>
    <w:rsid w:val="00785C6E"/>
    <w:rsid w:val="00785D8A"/>
    <w:rsid w:val="0079121B"/>
    <w:rsid w:val="00794BE1"/>
    <w:rsid w:val="00797D86"/>
    <w:rsid w:val="007B53A6"/>
    <w:rsid w:val="007B5882"/>
    <w:rsid w:val="007B654B"/>
    <w:rsid w:val="007C1C06"/>
    <w:rsid w:val="007C1CB7"/>
    <w:rsid w:val="007C72B7"/>
    <w:rsid w:val="007D711E"/>
    <w:rsid w:val="007E1856"/>
    <w:rsid w:val="007E32C4"/>
    <w:rsid w:val="007E379C"/>
    <w:rsid w:val="007E38F6"/>
    <w:rsid w:val="007E6BFC"/>
    <w:rsid w:val="007F4546"/>
    <w:rsid w:val="007F7439"/>
    <w:rsid w:val="00802848"/>
    <w:rsid w:val="0080533D"/>
    <w:rsid w:val="0080616A"/>
    <w:rsid w:val="00811B0B"/>
    <w:rsid w:val="00814F22"/>
    <w:rsid w:val="00817A3D"/>
    <w:rsid w:val="00823C0A"/>
    <w:rsid w:val="0082441B"/>
    <w:rsid w:val="00830259"/>
    <w:rsid w:val="00833F66"/>
    <w:rsid w:val="00834B51"/>
    <w:rsid w:val="00835094"/>
    <w:rsid w:val="008357A6"/>
    <w:rsid w:val="00844B83"/>
    <w:rsid w:val="0085249A"/>
    <w:rsid w:val="0085406C"/>
    <w:rsid w:val="00854BE6"/>
    <w:rsid w:val="008655E6"/>
    <w:rsid w:val="00867ACF"/>
    <w:rsid w:val="00867C41"/>
    <w:rsid w:val="00870744"/>
    <w:rsid w:val="0087133E"/>
    <w:rsid w:val="00875AAA"/>
    <w:rsid w:val="008809D8"/>
    <w:rsid w:val="00880DD5"/>
    <w:rsid w:val="00886E92"/>
    <w:rsid w:val="00890115"/>
    <w:rsid w:val="008A3613"/>
    <w:rsid w:val="008A57C3"/>
    <w:rsid w:val="008A5DEA"/>
    <w:rsid w:val="008A75C3"/>
    <w:rsid w:val="008B10A5"/>
    <w:rsid w:val="008B726F"/>
    <w:rsid w:val="008C01FC"/>
    <w:rsid w:val="008C2ED3"/>
    <w:rsid w:val="008D1727"/>
    <w:rsid w:val="008D29BE"/>
    <w:rsid w:val="008E0C92"/>
    <w:rsid w:val="008E3B05"/>
    <w:rsid w:val="008E5F2B"/>
    <w:rsid w:val="008E661C"/>
    <w:rsid w:val="008F053E"/>
    <w:rsid w:val="008F0ADA"/>
    <w:rsid w:val="008F1AC5"/>
    <w:rsid w:val="008F71CF"/>
    <w:rsid w:val="00902FC9"/>
    <w:rsid w:val="0091109B"/>
    <w:rsid w:val="00916A16"/>
    <w:rsid w:val="00921743"/>
    <w:rsid w:val="00924469"/>
    <w:rsid w:val="00925008"/>
    <w:rsid w:val="00931B72"/>
    <w:rsid w:val="00934AB2"/>
    <w:rsid w:val="00951635"/>
    <w:rsid w:val="00953382"/>
    <w:rsid w:val="009575DB"/>
    <w:rsid w:val="009608DF"/>
    <w:rsid w:val="00961EAD"/>
    <w:rsid w:val="00963729"/>
    <w:rsid w:val="00963C2B"/>
    <w:rsid w:val="00964C1E"/>
    <w:rsid w:val="009670FD"/>
    <w:rsid w:val="0097445C"/>
    <w:rsid w:val="00981818"/>
    <w:rsid w:val="009831A7"/>
    <w:rsid w:val="00992524"/>
    <w:rsid w:val="00997EC8"/>
    <w:rsid w:val="009A1511"/>
    <w:rsid w:val="009A3C67"/>
    <w:rsid w:val="009A6F12"/>
    <w:rsid w:val="009B1415"/>
    <w:rsid w:val="009C4797"/>
    <w:rsid w:val="009C5DAF"/>
    <w:rsid w:val="009D7B20"/>
    <w:rsid w:val="009E132E"/>
    <w:rsid w:val="009F6DE6"/>
    <w:rsid w:val="00A00920"/>
    <w:rsid w:val="00A02078"/>
    <w:rsid w:val="00A10235"/>
    <w:rsid w:val="00A1477B"/>
    <w:rsid w:val="00A17222"/>
    <w:rsid w:val="00A21438"/>
    <w:rsid w:val="00A22F14"/>
    <w:rsid w:val="00A355D5"/>
    <w:rsid w:val="00A35C86"/>
    <w:rsid w:val="00A473CE"/>
    <w:rsid w:val="00A5681D"/>
    <w:rsid w:val="00A63339"/>
    <w:rsid w:val="00A65A21"/>
    <w:rsid w:val="00A72C09"/>
    <w:rsid w:val="00A77132"/>
    <w:rsid w:val="00A77C29"/>
    <w:rsid w:val="00A81E1C"/>
    <w:rsid w:val="00A82DEE"/>
    <w:rsid w:val="00A86465"/>
    <w:rsid w:val="00A86C9C"/>
    <w:rsid w:val="00A90511"/>
    <w:rsid w:val="00A90676"/>
    <w:rsid w:val="00A91D03"/>
    <w:rsid w:val="00A91F9E"/>
    <w:rsid w:val="00A9206F"/>
    <w:rsid w:val="00A92168"/>
    <w:rsid w:val="00A96C64"/>
    <w:rsid w:val="00AA6AC6"/>
    <w:rsid w:val="00AB791F"/>
    <w:rsid w:val="00AB7E1E"/>
    <w:rsid w:val="00AC14D8"/>
    <w:rsid w:val="00AC1AE1"/>
    <w:rsid w:val="00AC4D6E"/>
    <w:rsid w:val="00AD003C"/>
    <w:rsid w:val="00AD6958"/>
    <w:rsid w:val="00AE3286"/>
    <w:rsid w:val="00AE42B2"/>
    <w:rsid w:val="00AF6930"/>
    <w:rsid w:val="00B05B15"/>
    <w:rsid w:val="00B11807"/>
    <w:rsid w:val="00B13760"/>
    <w:rsid w:val="00B1510E"/>
    <w:rsid w:val="00B16106"/>
    <w:rsid w:val="00B21E59"/>
    <w:rsid w:val="00B22E07"/>
    <w:rsid w:val="00B253B4"/>
    <w:rsid w:val="00B25837"/>
    <w:rsid w:val="00B25EC3"/>
    <w:rsid w:val="00B269DC"/>
    <w:rsid w:val="00B322D8"/>
    <w:rsid w:val="00B34310"/>
    <w:rsid w:val="00B34941"/>
    <w:rsid w:val="00B44783"/>
    <w:rsid w:val="00B546AC"/>
    <w:rsid w:val="00B54A30"/>
    <w:rsid w:val="00B67886"/>
    <w:rsid w:val="00B8260C"/>
    <w:rsid w:val="00B838EC"/>
    <w:rsid w:val="00B91A50"/>
    <w:rsid w:val="00B9465F"/>
    <w:rsid w:val="00BA2175"/>
    <w:rsid w:val="00BB1256"/>
    <w:rsid w:val="00BB24A3"/>
    <w:rsid w:val="00BC01C5"/>
    <w:rsid w:val="00BC1739"/>
    <w:rsid w:val="00BC3E54"/>
    <w:rsid w:val="00BC4DEF"/>
    <w:rsid w:val="00BD2524"/>
    <w:rsid w:val="00BD30C8"/>
    <w:rsid w:val="00BE1EE5"/>
    <w:rsid w:val="00BE2468"/>
    <w:rsid w:val="00BE4575"/>
    <w:rsid w:val="00BE5989"/>
    <w:rsid w:val="00BF2885"/>
    <w:rsid w:val="00BF36D4"/>
    <w:rsid w:val="00BF390D"/>
    <w:rsid w:val="00BF7129"/>
    <w:rsid w:val="00C10BA4"/>
    <w:rsid w:val="00C13C9E"/>
    <w:rsid w:val="00C14A3B"/>
    <w:rsid w:val="00C14E48"/>
    <w:rsid w:val="00C14E69"/>
    <w:rsid w:val="00C20CC2"/>
    <w:rsid w:val="00C21565"/>
    <w:rsid w:val="00C229F7"/>
    <w:rsid w:val="00C23E30"/>
    <w:rsid w:val="00C24D48"/>
    <w:rsid w:val="00C25E8C"/>
    <w:rsid w:val="00C326D9"/>
    <w:rsid w:val="00C32707"/>
    <w:rsid w:val="00C33FF9"/>
    <w:rsid w:val="00C359FB"/>
    <w:rsid w:val="00C5301E"/>
    <w:rsid w:val="00C55138"/>
    <w:rsid w:val="00C60328"/>
    <w:rsid w:val="00C65EF4"/>
    <w:rsid w:val="00C67175"/>
    <w:rsid w:val="00C67E9C"/>
    <w:rsid w:val="00C67F01"/>
    <w:rsid w:val="00C71897"/>
    <w:rsid w:val="00C735B6"/>
    <w:rsid w:val="00C7495A"/>
    <w:rsid w:val="00C74EE6"/>
    <w:rsid w:val="00C759EC"/>
    <w:rsid w:val="00C762FF"/>
    <w:rsid w:val="00C82E9A"/>
    <w:rsid w:val="00C84B7B"/>
    <w:rsid w:val="00C857B2"/>
    <w:rsid w:val="00C90854"/>
    <w:rsid w:val="00C90BDC"/>
    <w:rsid w:val="00C921C8"/>
    <w:rsid w:val="00C95B72"/>
    <w:rsid w:val="00CA2DDC"/>
    <w:rsid w:val="00CA3A94"/>
    <w:rsid w:val="00CB0409"/>
    <w:rsid w:val="00CB5114"/>
    <w:rsid w:val="00CB6D06"/>
    <w:rsid w:val="00CC0452"/>
    <w:rsid w:val="00CC41F3"/>
    <w:rsid w:val="00CC492B"/>
    <w:rsid w:val="00CE3D24"/>
    <w:rsid w:val="00CE405A"/>
    <w:rsid w:val="00CE4CCA"/>
    <w:rsid w:val="00CE695E"/>
    <w:rsid w:val="00CE71C9"/>
    <w:rsid w:val="00CF2912"/>
    <w:rsid w:val="00CF373C"/>
    <w:rsid w:val="00CF69CD"/>
    <w:rsid w:val="00CF7E9D"/>
    <w:rsid w:val="00D00137"/>
    <w:rsid w:val="00D05F21"/>
    <w:rsid w:val="00D06F05"/>
    <w:rsid w:val="00D14734"/>
    <w:rsid w:val="00D1764F"/>
    <w:rsid w:val="00D25D9E"/>
    <w:rsid w:val="00D27B20"/>
    <w:rsid w:val="00D34344"/>
    <w:rsid w:val="00D369E0"/>
    <w:rsid w:val="00D40FB6"/>
    <w:rsid w:val="00D443DA"/>
    <w:rsid w:val="00D51075"/>
    <w:rsid w:val="00D56D2B"/>
    <w:rsid w:val="00D62FE3"/>
    <w:rsid w:val="00D65B45"/>
    <w:rsid w:val="00D663E6"/>
    <w:rsid w:val="00D71454"/>
    <w:rsid w:val="00D7232C"/>
    <w:rsid w:val="00D87136"/>
    <w:rsid w:val="00D87BA8"/>
    <w:rsid w:val="00D93AE5"/>
    <w:rsid w:val="00D9458E"/>
    <w:rsid w:val="00DA17EA"/>
    <w:rsid w:val="00DA2B9B"/>
    <w:rsid w:val="00DA593C"/>
    <w:rsid w:val="00DB46AC"/>
    <w:rsid w:val="00DC3ACC"/>
    <w:rsid w:val="00DC7287"/>
    <w:rsid w:val="00DD4554"/>
    <w:rsid w:val="00DD4A88"/>
    <w:rsid w:val="00DE28C7"/>
    <w:rsid w:val="00DE3567"/>
    <w:rsid w:val="00DE4504"/>
    <w:rsid w:val="00DE7D4B"/>
    <w:rsid w:val="00DF4C01"/>
    <w:rsid w:val="00DF4D3B"/>
    <w:rsid w:val="00DF763D"/>
    <w:rsid w:val="00E001C3"/>
    <w:rsid w:val="00E03A21"/>
    <w:rsid w:val="00E139AD"/>
    <w:rsid w:val="00E15730"/>
    <w:rsid w:val="00E2005F"/>
    <w:rsid w:val="00E209CA"/>
    <w:rsid w:val="00E22634"/>
    <w:rsid w:val="00E2620A"/>
    <w:rsid w:val="00E27C14"/>
    <w:rsid w:val="00E33EC5"/>
    <w:rsid w:val="00E42158"/>
    <w:rsid w:val="00E44966"/>
    <w:rsid w:val="00E4774C"/>
    <w:rsid w:val="00E500A2"/>
    <w:rsid w:val="00E50705"/>
    <w:rsid w:val="00E55DFA"/>
    <w:rsid w:val="00E61074"/>
    <w:rsid w:val="00E64811"/>
    <w:rsid w:val="00E73503"/>
    <w:rsid w:val="00E741E5"/>
    <w:rsid w:val="00E768BF"/>
    <w:rsid w:val="00E80005"/>
    <w:rsid w:val="00E86431"/>
    <w:rsid w:val="00E86791"/>
    <w:rsid w:val="00E9015E"/>
    <w:rsid w:val="00E953F8"/>
    <w:rsid w:val="00EA7266"/>
    <w:rsid w:val="00EB0189"/>
    <w:rsid w:val="00EB08D9"/>
    <w:rsid w:val="00EB2634"/>
    <w:rsid w:val="00EB3AD2"/>
    <w:rsid w:val="00EC0335"/>
    <w:rsid w:val="00EC0482"/>
    <w:rsid w:val="00EC4496"/>
    <w:rsid w:val="00ED0926"/>
    <w:rsid w:val="00ED2C1E"/>
    <w:rsid w:val="00ED45F0"/>
    <w:rsid w:val="00ED4E9C"/>
    <w:rsid w:val="00ED5AA0"/>
    <w:rsid w:val="00ED67F1"/>
    <w:rsid w:val="00EE4418"/>
    <w:rsid w:val="00EF01EA"/>
    <w:rsid w:val="00EF0B68"/>
    <w:rsid w:val="00EF2A69"/>
    <w:rsid w:val="00F004F8"/>
    <w:rsid w:val="00F011C1"/>
    <w:rsid w:val="00F0685D"/>
    <w:rsid w:val="00F069B9"/>
    <w:rsid w:val="00F1180F"/>
    <w:rsid w:val="00F11B33"/>
    <w:rsid w:val="00F1490C"/>
    <w:rsid w:val="00F159B6"/>
    <w:rsid w:val="00F21F82"/>
    <w:rsid w:val="00F24EA6"/>
    <w:rsid w:val="00F258E4"/>
    <w:rsid w:val="00F26FCE"/>
    <w:rsid w:val="00F3447C"/>
    <w:rsid w:val="00F36910"/>
    <w:rsid w:val="00F37D1B"/>
    <w:rsid w:val="00F41061"/>
    <w:rsid w:val="00F41765"/>
    <w:rsid w:val="00F42B26"/>
    <w:rsid w:val="00F452C3"/>
    <w:rsid w:val="00F46993"/>
    <w:rsid w:val="00F50B85"/>
    <w:rsid w:val="00F52886"/>
    <w:rsid w:val="00F54964"/>
    <w:rsid w:val="00F60D49"/>
    <w:rsid w:val="00F6195C"/>
    <w:rsid w:val="00F65AD5"/>
    <w:rsid w:val="00F66E64"/>
    <w:rsid w:val="00F74D29"/>
    <w:rsid w:val="00F9124E"/>
    <w:rsid w:val="00F92812"/>
    <w:rsid w:val="00F92DFA"/>
    <w:rsid w:val="00F92F9A"/>
    <w:rsid w:val="00F95B76"/>
    <w:rsid w:val="00F9600C"/>
    <w:rsid w:val="00FD0565"/>
    <w:rsid w:val="00FD4AB2"/>
    <w:rsid w:val="00FD6796"/>
    <w:rsid w:val="00FE3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794BC"/>
  <w15:docId w15:val="{0FE680AE-C3D0-4924-B2BE-91BA458E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646D"/>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267DDB"/>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qFormat/>
    <w:rsid w:val="00267DDB"/>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267DDB"/>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267DDB"/>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267DDB"/>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267DDB"/>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267DDB"/>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267DDB"/>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267DDB"/>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67DDB"/>
    <w:rPr>
      <w:rFonts w:ascii="Times New Roman" w:eastAsia="SimSun" w:hAnsi="Times New Roman" w:cs="Times New Roman"/>
      <w:b/>
      <w:caps/>
      <w:sz w:val="26"/>
      <w:szCs w:val="20"/>
      <w:lang w:val="en-US" w:eastAsia="x-none"/>
    </w:rPr>
  </w:style>
  <w:style w:type="character" w:customStyle="1" w:styleId="Antrat2Diagrama">
    <w:name w:val="Antraštė 2 Diagrama"/>
    <w:link w:val="Antrat2"/>
    <w:uiPriority w:val="99"/>
    <w:rsid w:val="00267DDB"/>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267DDB"/>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267DDB"/>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267DDB"/>
    <w:rPr>
      <w:rFonts w:ascii="Times New Roman" w:eastAsia="SimSun" w:hAnsi="Times New Roman" w:cs="Times New Roman"/>
      <w:noProof/>
      <w:sz w:val="20"/>
      <w:szCs w:val="20"/>
      <w:lang w:val="en-GB" w:eastAsia="x-none"/>
    </w:rPr>
  </w:style>
  <w:style w:type="character" w:customStyle="1" w:styleId="Antrat6Diagrama">
    <w:name w:val="Antraštė 6 Diagrama"/>
    <w:link w:val="Antrat6"/>
    <w:uiPriority w:val="99"/>
    <w:rsid w:val="00267DDB"/>
    <w:rPr>
      <w:rFonts w:ascii="Times New Roman" w:eastAsia="SimSun" w:hAnsi="Times New Roman" w:cs="Times New Roman"/>
      <w:i/>
      <w:sz w:val="20"/>
      <w:szCs w:val="20"/>
      <w:lang w:val="en-GB" w:eastAsia="x-none"/>
    </w:rPr>
  </w:style>
  <w:style w:type="character" w:customStyle="1" w:styleId="Antrat7Diagrama">
    <w:name w:val="Antraštė 7 Diagrama"/>
    <w:link w:val="Antrat7"/>
    <w:uiPriority w:val="99"/>
    <w:rsid w:val="00267DDB"/>
    <w:rPr>
      <w:rFonts w:ascii="Times New Roman" w:eastAsia="SimSun" w:hAnsi="Times New Roman" w:cs="Times New Roman"/>
      <w:i/>
      <w:sz w:val="20"/>
      <w:szCs w:val="20"/>
      <w:lang w:val="en-GB" w:eastAsia="x-none"/>
    </w:rPr>
  </w:style>
  <w:style w:type="character" w:customStyle="1" w:styleId="Antrat8Diagrama">
    <w:name w:val="Antraštė 8 Diagrama"/>
    <w:link w:val="Antrat8"/>
    <w:uiPriority w:val="99"/>
    <w:rsid w:val="00267DDB"/>
    <w:rPr>
      <w:rFonts w:ascii="Times New Roman" w:eastAsia="SimSun" w:hAnsi="Times New Roman" w:cs="Times New Roman"/>
      <w:b/>
      <w:i/>
      <w:sz w:val="20"/>
      <w:szCs w:val="20"/>
      <w:lang w:val="en-GB" w:eastAsia="x-none"/>
    </w:rPr>
  </w:style>
  <w:style w:type="character" w:customStyle="1" w:styleId="Antrat9Diagrama">
    <w:name w:val="Antraštė 9 Diagrama"/>
    <w:link w:val="Antrat9"/>
    <w:uiPriority w:val="99"/>
    <w:rsid w:val="00267DDB"/>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rsid w:val="00267DDB"/>
  </w:style>
  <w:style w:type="paragraph" w:styleId="Porat">
    <w:name w:val="footer"/>
    <w:basedOn w:val="prastasis"/>
    <w:link w:val="PoratDiagrama"/>
    <w:uiPriority w:val="99"/>
    <w:rsid w:val="00267DDB"/>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267DDB"/>
    <w:rPr>
      <w:rFonts w:ascii="Times New Roman" w:eastAsia="Times New Roman" w:hAnsi="Times New Roman" w:cs="Times New Roman"/>
      <w:snapToGrid w:val="0"/>
      <w:sz w:val="20"/>
      <w:szCs w:val="20"/>
      <w:lang w:val="en-GB" w:eastAsia="x-none"/>
    </w:rPr>
  </w:style>
  <w:style w:type="character" w:customStyle="1" w:styleId="HeaderChar">
    <w:name w:val="Header Char"/>
    <w:rsid w:val="00267DDB"/>
    <w:rPr>
      <w:snapToGrid w:val="0"/>
      <w:sz w:val="22"/>
      <w:lang w:val="en-GB" w:eastAsia="en-US"/>
    </w:rPr>
  </w:style>
  <w:style w:type="character" w:styleId="Puslapionumeris">
    <w:name w:val="page number"/>
    <w:uiPriority w:val="99"/>
    <w:rsid w:val="00267DDB"/>
    <w:rPr>
      <w:rFonts w:cs="Times New Roman"/>
    </w:rPr>
  </w:style>
  <w:style w:type="character" w:styleId="Hipersaitas">
    <w:name w:val="Hyperlink"/>
    <w:uiPriority w:val="99"/>
    <w:rsid w:val="00267DDB"/>
    <w:rPr>
      <w:color w:val="0000FF"/>
      <w:u w:val="single"/>
    </w:rPr>
  </w:style>
  <w:style w:type="paragraph" w:customStyle="1" w:styleId="BodytextAgency">
    <w:name w:val="Body text (Agency)"/>
    <w:basedOn w:val="prastasis"/>
    <w:link w:val="BodytextAgencyChar"/>
    <w:uiPriority w:val="99"/>
    <w:rsid w:val="00267DDB"/>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29646D"/>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267DDB"/>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267DDB"/>
    <w:rPr>
      <w:rFonts w:ascii="Courier New" w:hAnsi="Courier New"/>
      <w:color w:val="00FF00"/>
      <w:sz w:val="40"/>
    </w:rPr>
  </w:style>
  <w:style w:type="character" w:customStyle="1" w:styleId="tw4winTerm">
    <w:name w:val="tw4winTerm"/>
    <w:uiPriority w:val="99"/>
    <w:rsid w:val="00267DDB"/>
    <w:rPr>
      <w:color w:val="0000FF"/>
    </w:rPr>
  </w:style>
  <w:style w:type="character" w:customStyle="1" w:styleId="tw4winPopup">
    <w:name w:val="tw4winPopup"/>
    <w:uiPriority w:val="99"/>
    <w:rsid w:val="00267DDB"/>
    <w:rPr>
      <w:rFonts w:ascii="Courier New" w:hAnsi="Courier New"/>
      <w:noProof/>
      <w:color w:val="008000"/>
    </w:rPr>
  </w:style>
  <w:style w:type="character" w:customStyle="1" w:styleId="tw4winJump">
    <w:name w:val="tw4winJump"/>
    <w:uiPriority w:val="99"/>
    <w:rsid w:val="00267DDB"/>
    <w:rPr>
      <w:rFonts w:ascii="Courier New" w:hAnsi="Courier New"/>
      <w:noProof/>
      <w:color w:val="008080"/>
    </w:rPr>
  </w:style>
  <w:style w:type="character" w:customStyle="1" w:styleId="tw4winExternal">
    <w:name w:val="tw4winExternal"/>
    <w:uiPriority w:val="99"/>
    <w:rsid w:val="00267DDB"/>
    <w:rPr>
      <w:rFonts w:ascii="Courier New" w:hAnsi="Courier New"/>
      <w:noProof/>
      <w:color w:val="808080"/>
    </w:rPr>
  </w:style>
  <w:style w:type="character" w:customStyle="1" w:styleId="tw4winInternal">
    <w:name w:val="tw4winInternal"/>
    <w:uiPriority w:val="99"/>
    <w:rsid w:val="00267DDB"/>
    <w:rPr>
      <w:rFonts w:ascii="Courier New" w:hAnsi="Courier New"/>
      <w:noProof/>
      <w:color w:val="FF0000"/>
    </w:rPr>
  </w:style>
  <w:style w:type="character" w:customStyle="1" w:styleId="DONOTTRANSLATE">
    <w:name w:val="DO_NOT_TRANSLATE"/>
    <w:uiPriority w:val="99"/>
    <w:rsid w:val="00267DDB"/>
    <w:rPr>
      <w:rFonts w:ascii="Courier New" w:hAnsi="Courier New"/>
      <w:noProof/>
      <w:color w:val="800000"/>
    </w:rPr>
  </w:style>
  <w:style w:type="paragraph" w:styleId="Debesliotekstas">
    <w:name w:val="Balloon Text"/>
    <w:basedOn w:val="prastasis"/>
    <w:link w:val="DebesliotekstasDiagrama"/>
    <w:uiPriority w:val="99"/>
    <w:rsid w:val="00267DDB"/>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267DDB"/>
    <w:rPr>
      <w:rFonts w:ascii="Tahoma" w:eastAsia="Times New Roman" w:hAnsi="Tahoma" w:cs="Times New Roman"/>
      <w:snapToGrid w:val="0"/>
      <w:sz w:val="16"/>
      <w:szCs w:val="16"/>
      <w:lang w:val="en-GB" w:eastAsia="x-none"/>
    </w:rPr>
  </w:style>
  <w:style w:type="character" w:styleId="Komentaronuoroda">
    <w:name w:val="annotation reference"/>
    <w:uiPriority w:val="99"/>
    <w:rsid w:val="00267DDB"/>
    <w:rPr>
      <w:sz w:val="16"/>
      <w:szCs w:val="16"/>
    </w:rPr>
  </w:style>
  <w:style w:type="paragraph" w:styleId="Komentarotekstas">
    <w:name w:val="annotation text"/>
    <w:basedOn w:val="prastasis"/>
    <w:link w:val="KomentarotekstasDiagrama"/>
    <w:uiPriority w:val="99"/>
    <w:rsid w:val="00267DDB"/>
    <w:pPr>
      <w:tabs>
        <w:tab w:val="left" w:pos="567"/>
      </w:tabs>
      <w:spacing w:after="0" w:line="260" w:lineRule="exact"/>
    </w:pPr>
    <w:rPr>
      <w:rFonts w:ascii="Times New Roman" w:eastAsia="Times New Roman" w:hAnsi="Times New Roman"/>
      <w:snapToGrid w:val="0"/>
      <w:sz w:val="20"/>
      <w:szCs w:val="20"/>
      <w:lang w:val="en-GB" w:eastAsia="x-none"/>
    </w:rPr>
  </w:style>
  <w:style w:type="character" w:customStyle="1" w:styleId="KomentarotekstasDiagrama">
    <w:name w:val="Komentaro tekstas Diagrama"/>
    <w:link w:val="Komentarotekstas"/>
    <w:uiPriority w:val="99"/>
    <w:rsid w:val="00267DDB"/>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267DDB"/>
    <w:rPr>
      <w:b/>
      <w:bCs/>
    </w:rPr>
  </w:style>
  <w:style w:type="character" w:customStyle="1" w:styleId="KomentarotemaDiagrama">
    <w:name w:val="Komentaro tema Diagrama"/>
    <w:link w:val="Komentarotema"/>
    <w:uiPriority w:val="99"/>
    <w:rsid w:val="00267DDB"/>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29646D"/>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267DDB"/>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267DDB"/>
    <w:rPr>
      <w:rFonts w:ascii="Courier New" w:hAnsi="Courier New"/>
      <w:vanish/>
      <w:color w:val="800080"/>
      <w:sz w:val="24"/>
      <w:vertAlign w:val="subscript"/>
    </w:rPr>
  </w:style>
  <w:style w:type="paragraph" w:styleId="Antrats">
    <w:name w:val="header"/>
    <w:basedOn w:val="prastasis"/>
    <w:link w:val="AntratsDiagrama"/>
    <w:uiPriority w:val="99"/>
    <w:rsid w:val="00267DDB"/>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267DDB"/>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267DDB"/>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267DDB"/>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267DDB"/>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267DDB"/>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267DDB"/>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267DDB"/>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267DD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267DDB"/>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267DDB"/>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267DDB"/>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267DD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267DDB"/>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267DDB"/>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267DDB"/>
    <w:pPr>
      <w:tabs>
        <w:tab w:val="clear" w:pos="720"/>
        <w:tab w:val="num" w:pos="360"/>
      </w:tabs>
      <w:ind w:left="709" w:hanging="425"/>
    </w:pPr>
    <w:rPr>
      <w:sz w:val="22"/>
    </w:rPr>
  </w:style>
  <w:style w:type="paragraph" w:customStyle="1" w:styleId="AHeader3">
    <w:name w:val="AHeader 3"/>
    <w:basedOn w:val="AHeader2"/>
    <w:uiPriority w:val="99"/>
    <w:rsid w:val="00267DDB"/>
    <w:pPr>
      <w:ind w:left="1276" w:hanging="567"/>
    </w:pPr>
  </w:style>
  <w:style w:type="paragraph" w:customStyle="1" w:styleId="AHeader2abc">
    <w:name w:val="AHeader 2 abc"/>
    <w:basedOn w:val="AHeader3"/>
    <w:uiPriority w:val="99"/>
    <w:rsid w:val="00267DDB"/>
    <w:pPr>
      <w:jc w:val="both"/>
    </w:pPr>
    <w:rPr>
      <w:b w:val="0"/>
      <w:bCs w:val="0"/>
    </w:rPr>
  </w:style>
  <w:style w:type="paragraph" w:customStyle="1" w:styleId="AHeader3abc">
    <w:name w:val="AHeader 3 abc"/>
    <w:basedOn w:val="AHeader2abc"/>
    <w:uiPriority w:val="99"/>
    <w:rsid w:val="00267DDB"/>
    <w:pPr>
      <w:ind w:left="1701" w:hanging="425"/>
    </w:pPr>
  </w:style>
  <w:style w:type="paragraph" w:styleId="Pagrindiniotekstotrauka3">
    <w:name w:val="Body Text Indent 3"/>
    <w:basedOn w:val="prastasis"/>
    <w:link w:val="Pagrindiniotekstotrauka3Diagrama"/>
    <w:uiPriority w:val="99"/>
    <w:rsid w:val="00267DDB"/>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267DDB"/>
    <w:rPr>
      <w:rFonts w:ascii="Times New Roman" w:eastAsia="SimSun" w:hAnsi="Times New Roman" w:cs="Times New Roman"/>
      <w:sz w:val="20"/>
      <w:szCs w:val="21"/>
      <w:lang w:val="en-GB" w:eastAsia="x-none"/>
    </w:rPr>
  </w:style>
  <w:style w:type="character" w:styleId="Perirtashipersaitas">
    <w:name w:val="FollowedHyperlink"/>
    <w:uiPriority w:val="99"/>
    <w:rsid w:val="00267DDB"/>
    <w:rPr>
      <w:rFonts w:cs="Times New Roman"/>
      <w:color w:val="800080"/>
      <w:u w:val="single"/>
    </w:rPr>
  </w:style>
  <w:style w:type="character" w:styleId="Grietas">
    <w:name w:val="Strong"/>
    <w:uiPriority w:val="99"/>
    <w:qFormat/>
    <w:rsid w:val="00267DDB"/>
    <w:rPr>
      <w:rFonts w:cs="Times New Roman"/>
      <w:b/>
      <w:bCs/>
    </w:rPr>
  </w:style>
  <w:style w:type="character" w:customStyle="1" w:styleId="BodytextAgencyChar">
    <w:name w:val="Body text (Agency) Char"/>
    <w:link w:val="BodytextAgency"/>
    <w:uiPriority w:val="99"/>
    <w:locked/>
    <w:rsid w:val="00267DDB"/>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267DDB"/>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67DDB"/>
    <w:pPr>
      <w:keepNext/>
    </w:pPr>
    <w:rPr>
      <w:rFonts w:eastAsia="SimSun" w:cs="Verdana"/>
      <w:b/>
      <w:snapToGrid/>
      <w:szCs w:val="18"/>
      <w:lang w:eastAsia="en-GB"/>
    </w:rPr>
  </w:style>
  <w:style w:type="character" w:customStyle="1" w:styleId="NormalAgencyChar">
    <w:name w:val="Normal (Agency) Char"/>
    <w:link w:val="NormalAgency"/>
    <w:uiPriority w:val="99"/>
    <w:locked/>
    <w:rsid w:val="00267DDB"/>
    <w:rPr>
      <w:rFonts w:ascii="Verdana" w:eastAsia="Times New Roman" w:hAnsi="Verdana"/>
      <w:snapToGrid w:val="0"/>
      <w:sz w:val="18"/>
      <w:szCs w:val="22"/>
      <w:lang w:val="en-GB" w:eastAsia="lt-LT"/>
    </w:rPr>
  </w:style>
  <w:style w:type="paragraph" w:styleId="Paprastasistekstas">
    <w:name w:val="Plain Text"/>
    <w:basedOn w:val="prastasis"/>
    <w:link w:val="PaprastasistekstasDiagrama"/>
    <w:uiPriority w:val="99"/>
    <w:rsid w:val="00267DDB"/>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267DDB"/>
    <w:rPr>
      <w:rFonts w:ascii="Courier New" w:eastAsia="SimSun" w:hAnsi="Courier New" w:cs="Times New Roman"/>
      <w:sz w:val="20"/>
      <w:szCs w:val="20"/>
      <w:lang w:val="en-US" w:eastAsia="x-none"/>
    </w:rPr>
  </w:style>
  <w:style w:type="paragraph" w:customStyle="1" w:styleId="Default">
    <w:name w:val="Default"/>
    <w:rsid w:val="0029646D"/>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267DDB"/>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267DDB"/>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267DDB"/>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267DDB"/>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267DDB"/>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267DDB"/>
    <w:rPr>
      <w:rFonts w:ascii="Times New Roman" w:eastAsia="SimSun" w:hAnsi="Times New Roman" w:cs="Times New Roman"/>
      <w:noProof/>
      <w:sz w:val="20"/>
      <w:szCs w:val="20"/>
      <w:lang w:val="x-none" w:eastAsia="x-none"/>
    </w:rPr>
  </w:style>
  <w:style w:type="character" w:customStyle="1" w:styleId="CharChar12">
    <w:name w:val="Char Char12"/>
    <w:locked/>
    <w:rsid w:val="00267DDB"/>
    <w:rPr>
      <w:snapToGrid w:val="0"/>
      <w:lang w:val="en-GB" w:eastAsia="en-US" w:bidi="ar-SA"/>
    </w:rPr>
  </w:style>
  <w:style w:type="paragraph" w:styleId="Betarp">
    <w:name w:val="No Spacing"/>
    <w:uiPriority w:val="1"/>
    <w:qFormat/>
    <w:rsid w:val="0029646D"/>
    <w:rPr>
      <w:sz w:val="22"/>
      <w:szCs w:val="22"/>
      <w:lang w:val="en-US" w:eastAsia="en-US"/>
    </w:rPr>
  </w:style>
  <w:style w:type="paragraph" w:styleId="Sraopastraipa">
    <w:name w:val="List Paragraph"/>
    <w:basedOn w:val="prastasis"/>
    <w:uiPriority w:val="34"/>
    <w:qFormat/>
    <w:rsid w:val="00267DDB"/>
    <w:pPr>
      <w:tabs>
        <w:tab w:val="left" w:pos="567"/>
      </w:tabs>
      <w:spacing w:after="0" w:line="260" w:lineRule="exact"/>
      <w:ind w:left="1296"/>
    </w:pPr>
    <w:rPr>
      <w:rFonts w:ascii="Times New Roman" w:eastAsia="Times New Roman" w:hAnsi="Times New Roman"/>
      <w:snapToGrid w:val="0"/>
      <w:szCs w:val="20"/>
      <w:lang w:val="en-GB"/>
    </w:rPr>
  </w:style>
  <w:style w:type="table" w:styleId="Lentelstinklelis">
    <w:name w:val="Table Grid"/>
    <w:basedOn w:val="prastojilentel"/>
    <w:uiPriority w:val="39"/>
    <w:rsid w:val="00865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E6DB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50583">
      <w:bodyDiv w:val="1"/>
      <w:marLeft w:val="0"/>
      <w:marRight w:val="0"/>
      <w:marTop w:val="0"/>
      <w:marBottom w:val="0"/>
      <w:divBdr>
        <w:top w:val="none" w:sz="0" w:space="0" w:color="auto"/>
        <w:left w:val="none" w:sz="0" w:space="0" w:color="auto"/>
        <w:bottom w:val="none" w:sz="0" w:space="0" w:color="auto"/>
        <w:right w:val="none" w:sz="0" w:space="0" w:color="auto"/>
      </w:divBdr>
    </w:div>
    <w:div w:id="478886512">
      <w:bodyDiv w:val="1"/>
      <w:marLeft w:val="0"/>
      <w:marRight w:val="0"/>
      <w:marTop w:val="0"/>
      <w:marBottom w:val="0"/>
      <w:divBdr>
        <w:top w:val="none" w:sz="0" w:space="0" w:color="auto"/>
        <w:left w:val="none" w:sz="0" w:space="0" w:color="auto"/>
        <w:bottom w:val="none" w:sz="0" w:space="0" w:color="auto"/>
        <w:right w:val="none" w:sz="0" w:space="0" w:color="auto"/>
      </w:divBdr>
    </w:div>
    <w:div w:id="630133616">
      <w:bodyDiv w:val="1"/>
      <w:marLeft w:val="0"/>
      <w:marRight w:val="0"/>
      <w:marTop w:val="0"/>
      <w:marBottom w:val="0"/>
      <w:divBdr>
        <w:top w:val="none" w:sz="0" w:space="0" w:color="auto"/>
        <w:left w:val="none" w:sz="0" w:space="0" w:color="auto"/>
        <w:bottom w:val="none" w:sz="0" w:space="0" w:color="auto"/>
        <w:right w:val="none" w:sz="0" w:space="0" w:color="auto"/>
      </w:divBdr>
      <w:divsChild>
        <w:div w:id="120197896">
          <w:marLeft w:val="0"/>
          <w:marRight w:val="0"/>
          <w:marTop w:val="0"/>
          <w:marBottom w:val="0"/>
          <w:divBdr>
            <w:top w:val="none" w:sz="0" w:space="0" w:color="auto"/>
            <w:left w:val="none" w:sz="0" w:space="0" w:color="auto"/>
            <w:bottom w:val="none" w:sz="0" w:space="0" w:color="auto"/>
            <w:right w:val="none" w:sz="0" w:space="0" w:color="auto"/>
          </w:divBdr>
          <w:divsChild>
            <w:div w:id="740176863">
              <w:marLeft w:val="0"/>
              <w:marRight w:val="0"/>
              <w:marTop w:val="0"/>
              <w:marBottom w:val="0"/>
              <w:divBdr>
                <w:top w:val="none" w:sz="0" w:space="0" w:color="auto"/>
                <w:left w:val="none" w:sz="0" w:space="0" w:color="auto"/>
                <w:bottom w:val="none" w:sz="0" w:space="0" w:color="auto"/>
                <w:right w:val="none" w:sz="0" w:space="0" w:color="auto"/>
              </w:divBdr>
              <w:divsChild>
                <w:div w:id="1332948159">
                  <w:marLeft w:val="0"/>
                  <w:marRight w:val="0"/>
                  <w:marTop w:val="0"/>
                  <w:marBottom w:val="0"/>
                  <w:divBdr>
                    <w:top w:val="none" w:sz="0" w:space="0" w:color="auto"/>
                    <w:left w:val="none" w:sz="0" w:space="0" w:color="auto"/>
                    <w:bottom w:val="none" w:sz="0" w:space="0" w:color="auto"/>
                    <w:right w:val="none" w:sz="0" w:space="0" w:color="auto"/>
                  </w:divBdr>
                  <w:divsChild>
                    <w:div w:id="366102655">
                      <w:marLeft w:val="0"/>
                      <w:marRight w:val="0"/>
                      <w:marTop w:val="0"/>
                      <w:marBottom w:val="0"/>
                      <w:divBdr>
                        <w:top w:val="none" w:sz="0" w:space="0" w:color="auto"/>
                        <w:left w:val="none" w:sz="0" w:space="0" w:color="auto"/>
                        <w:bottom w:val="none" w:sz="0" w:space="0" w:color="auto"/>
                        <w:right w:val="none" w:sz="0" w:space="0" w:color="auto"/>
                      </w:divBdr>
                      <w:divsChild>
                        <w:div w:id="968516078">
                          <w:marLeft w:val="0"/>
                          <w:marRight w:val="0"/>
                          <w:marTop w:val="0"/>
                          <w:marBottom w:val="0"/>
                          <w:divBdr>
                            <w:top w:val="none" w:sz="0" w:space="0" w:color="auto"/>
                            <w:left w:val="none" w:sz="0" w:space="0" w:color="auto"/>
                            <w:bottom w:val="none" w:sz="0" w:space="0" w:color="auto"/>
                            <w:right w:val="none" w:sz="0" w:space="0" w:color="auto"/>
                          </w:divBdr>
                          <w:divsChild>
                            <w:div w:id="2051417813">
                              <w:marLeft w:val="0"/>
                              <w:marRight w:val="0"/>
                              <w:marTop w:val="0"/>
                              <w:marBottom w:val="0"/>
                              <w:divBdr>
                                <w:top w:val="none" w:sz="0" w:space="0" w:color="auto"/>
                                <w:left w:val="none" w:sz="0" w:space="0" w:color="auto"/>
                                <w:bottom w:val="none" w:sz="0" w:space="0" w:color="auto"/>
                                <w:right w:val="none" w:sz="0" w:space="0" w:color="auto"/>
                              </w:divBdr>
                              <w:divsChild>
                                <w:div w:id="470245920">
                                  <w:marLeft w:val="0"/>
                                  <w:marRight w:val="0"/>
                                  <w:marTop w:val="0"/>
                                  <w:marBottom w:val="0"/>
                                  <w:divBdr>
                                    <w:top w:val="none" w:sz="0" w:space="0" w:color="auto"/>
                                    <w:left w:val="none" w:sz="0" w:space="0" w:color="auto"/>
                                    <w:bottom w:val="none" w:sz="0" w:space="0" w:color="auto"/>
                                    <w:right w:val="none" w:sz="0" w:space="0" w:color="auto"/>
                                  </w:divBdr>
                                  <w:divsChild>
                                    <w:div w:id="1819106645">
                                      <w:marLeft w:val="0"/>
                                      <w:marRight w:val="0"/>
                                      <w:marTop w:val="0"/>
                                      <w:marBottom w:val="0"/>
                                      <w:divBdr>
                                        <w:top w:val="none" w:sz="0" w:space="0" w:color="auto"/>
                                        <w:left w:val="none" w:sz="0" w:space="0" w:color="auto"/>
                                        <w:bottom w:val="none" w:sz="0" w:space="0" w:color="auto"/>
                                        <w:right w:val="none" w:sz="0" w:space="0" w:color="auto"/>
                                      </w:divBdr>
                                      <w:divsChild>
                                        <w:div w:id="1907181479">
                                          <w:marLeft w:val="0"/>
                                          <w:marRight w:val="0"/>
                                          <w:marTop w:val="0"/>
                                          <w:marBottom w:val="0"/>
                                          <w:divBdr>
                                            <w:top w:val="none" w:sz="0" w:space="0" w:color="auto"/>
                                            <w:left w:val="none" w:sz="0" w:space="0" w:color="auto"/>
                                            <w:bottom w:val="none" w:sz="0" w:space="0" w:color="auto"/>
                                            <w:right w:val="none" w:sz="0" w:space="0" w:color="auto"/>
                                          </w:divBdr>
                                          <w:divsChild>
                                            <w:div w:id="975333373">
                                              <w:marLeft w:val="0"/>
                                              <w:marRight w:val="0"/>
                                              <w:marTop w:val="0"/>
                                              <w:marBottom w:val="495"/>
                                              <w:divBdr>
                                                <w:top w:val="none" w:sz="0" w:space="0" w:color="auto"/>
                                                <w:left w:val="none" w:sz="0" w:space="0" w:color="auto"/>
                                                <w:bottom w:val="none" w:sz="0" w:space="0" w:color="auto"/>
                                                <w:right w:val="none" w:sz="0" w:space="0" w:color="auto"/>
                                              </w:divBdr>
                                              <w:divsChild>
                                                <w:div w:id="12275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576252">
      <w:bodyDiv w:val="1"/>
      <w:marLeft w:val="0"/>
      <w:marRight w:val="0"/>
      <w:marTop w:val="0"/>
      <w:marBottom w:val="0"/>
      <w:divBdr>
        <w:top w:val="none" w:sz="0" w:space="0" w:color="auto"/>
        <w:left w:val="none" w:sz="0" w:space="0" w:color="auto"/>
        <w:bottom w:val="none" w:sz="0" w:space="0" w:color="auto"/>
        <w:right w:val="none" w:sz="0" w:space="0" w:color="auto"/>
      </w:divBdr>
      <w:divsChild>
        <w:div w:id="937760464">
          <w:marLeft w:val="0"/>
          <w:marRight w:val="0"/>
          <w:marTop w:val="0"/>
          <w:marBottom w:val="0"/>
          <w:divBdr>
            <w:top w:val="none" w:sz="0" w:space="0" w:color="auto"/>
            <w:left w:val="none" w:sz="0" w:space="0" w:color="auto"/>
            <w:bottom w:val="none" w:sz="0" w:space="0" w:color="auto"/>
            <w:right w:val="none" w:sz="0" w:space="0" w:color="auto"/>
          </w:divBdr>
          <w:divsChild>
            <w:div w:id="1416633661">
              <w:marLeft w:val="0"/>
              <w:marRight w:val="0"/>
              <w:marTop w:val="0"/>
              <w:marBottom w:val="0"/>
              <w:divBdr>
                <w:top w:val="none" w:sz="0" w:space="0" w:color="auto"/>
                <w:left w:val="none" w:sz="0" w:space="0" w:color="auto"/>
                <w:bottom w:val="none" w:sz="0" w:space="0" w:color="auto"/>
                <w:right w:val="none" w:sz="0" w:space="0" w:color="auto"/>
              </w:divBdr>
              <w:divsChild>
                <w:div w:id="437259120">
                  <w:marLeft w:val="0"/>
                  <w:marRight w:val="0"/>
                  <w:marTop w:val="0"/>
                  <w:marBottom w:val="0"/>
                  <w:divBdr>
                    <w:top w:val="none" w:sz="0" w:space="0" w:color="auto"/>
                    <w:left w:val="none" w:sz="0" w:space="0" w:color="auto"/>
                    <w:bottom w:val="none" w:sz="0" w:space="0" w:color="auto"/>
                    <w:right w:val="none" w:sz="0" w:space="0" w:color="auto"/>
                  </w:divBdr>
                  <w:divsChild>
                    <w:div w:id="840698958">
                      <w:marLeft w:val="0"/>
                      <w:marRight w:val="0"/>
                      <w:marTop w:val="0"/>
                      <w:marBottom w:val="0"/>
                      <w:divBdr>
                        <w:top w:val="none" w:sz="0" w:space="0" w:color="auto"/>
                        <w:left w:val="none" w:sz="0" w:space="0" w:color="auto"/>
                        <w:bottom w:val="none" w:sz="0" w:space="0" w:color="auto"/>
                        <w:right w:val="none" w:sz="0" w:space="0" w:color="auto"/>
                      </w:divBdr>
                      <w:divsChild>
                        <w:div w:id="920797957">
                          <w:marLeft w:val="0"/>
                          <w:marRight w:val="0"/>
                          <w:marTop w:val="0"/>
                          <w:marBottom w:val="0"/>
                          <w:divBdr>
                            <w:top w:val="none" w:sz="0" w:space="0" w:color="auto"/>
                            <w:left w:val="none" w:sz="0" w:space="0" w:color="auto"/>
                            <w:bottom w:val="none" w:sz="0" w:space="0" w:color="auto"/>
                            <w:right w:val="none" w:sz="0" w:space="0" w:color="auto"/>
                          </w:divBdr>
                          <w:divsChild>
                            <w:div w:id="906838859">
                              <w:marLeft w:val="0"/>
                              <w:marRight w:val="0"/>
                              <w:marTop w:val="0"/>
                              <w:marBottom w:val="0"/>
                              <w:divBdr>
                                <w:top w:val="none" w:sz="0" w:space="0" w:color="auto"/>
                                <w:left w:val="none" w:sz="0" w:space="0" w:color="auto"/>
                                <w:bottom w:val="none" w:sz="0" w:space="0" w:color="auto"/>
                                <w:right w:val="none" w:sz="0" w:space="0" w:color="auto"/>
                              </w:divBdr>
                              <w:divsChild>
                                <w:div w:id="1515192862">
                                  <w:marLeft w:val="0"/>
                                  <w:marRight w:val="0"/>
                                  <w:marTop w:val="0"/>
                                  <w:marBottom w:val="0"/>
                                  <w:divBdr>
                                    <w:top w:val="none" w:sz="0" w:space="0" w:color="auto"/>
                                    <w:left w:val="none" w:sz="0" w:space="0" w:color="auto"/>
                                    <w:bottom w:val="none" w:sz="0" w:space="0" w:color="auto"/>
                                    <w:right w:val="none" w:sz="0" w:space="0" w:color="auto"/>
                                  </w:divBdr>
                                  <w:divsChild>
                                    <w:div w:id="999887282">
                                      <w:marLeft w:val="0"/>
                                      <w:marRight w:val="0"/>
                                      <w:marTop w:val="0"/>
                                      <w:marBottom w:val="0"/>
                                      <w:divBdr>
                                        <w:top w:val="none" w:sz="0" w:space="0" w:color="auto"/>
                                        <w:left w:val="none" w:sz="0" w:space="0" w:color="auto"/>
                                        <w:bottom w:val="none" w:sz="0" w:space="0" w:color="auto"/>
                                        <w:right w:val="none" w:sz="0" w:space="0" w:color="auto"/>
                                      </w:divBdr>
                                      <w:divsChild>
                                        <w:div w:id="663583651">
                                          <w:marLeft w:val="0"/>
                                          <w:marRight w:val="0"/>
                                          <w:marTop w:val="0"/>
                                          <w:marBottom w:val="0"/>
                                          <w:divBdr>
                                            <w:top w:val="none" w:sz="0" w:space="0" w:color="auto"/>
                                            <w:left w:val="none" w:sz="0" w:space="0" w:color="auto"/>
                                            <w:bottom w:val="none" w:sz="0" w:space="0" w:color="auto"/>
                                            <w:right w:val="none" w:sz="0" w:space="0" w:color="auto"/>
                                          </w:divBdr>
                                          <w:divsChild>
                                            <w:div w:id="1666778800">
                                              <w:marLeft w:val="0"/>
                                              <w:marRight w:val="0"/>
                                              <w:marTop w:val="0"/>
                                              <w:marBottom w:val="495"/>
                                              <w:divBdr>
                                                <w:top w:val="none" w:sz="0" w:space="0" w:color="auto"/>
                                                <w:left w:val="none" w:sz="0" w:space="0" w:color="auto"/>
                                                <w:bottom w:val="none" w:sz="0" w:space="0" w:color="auto"/>
                                                <w:right w:val="none" w:sz="0" w:space="0" w:color="auto"/>
                                              </w:divBdr>
                                              <w:divsChild>
                                                <w:div w:id="11968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88477">
      <w:bodyDiv w:val="1"/>
      <w:marLeft w:val="0"/>
      <w:marRight w:val="0"/>
      <w:marTop w:val="0"/>
      <w:marBottom w:val="0"/>
      <w:divBdr>
        <w:top w:val="none" w:sz="0" w:space="0" w:color="auto"/>
        <w:left w:val="none" w:sz="0" w:space="0" w:color="auto"/>
        <w:bottom w:val="none" w:sz="0" w:space="0" w:color="auto"/>
        <w:right w:val="none" w:sz="0" w:space="0" w:color="auto"/>
      </w:divBdr>
      <w:divsChild>
        <w:div w:id="1795443512">
          <w:marLeft w:val="0"/>
          <w:marRight w:val="0"/>
          <w:marTop w:val="0"/>
          <w:marBottom w:val="0"/>
          <w:divBdr>
            <w:top w:val="none" w:sz="0" w:space="0" w:color="auto"/>
            <w:left w:val="none" w:sz="0" w:space="0" w:color="auto"/>
            <w:bottom w:val="none" w:sz="0" w:space="0" w:color="auto"/>
            <w:right w:val="none" w:sz="0" w:space="0" w:color="auto"/>
          </w:divBdr>
          <w:divsChild>
            <w:div w:id="1542207228">
              <w:marLeft w:val="0"/>
              <w:marRight w:val="0"/>
              <w:marTop w:val="0"/>
              <w:marBottom w:val="0"/>
              <w:divBdr>
                <w:top w:val="none" w:sz="0" w:space="0" w:color="auto"/>
                <w:left w:val="none" w:sz="0" w:space="0" w:color="auto"/>
                <w:bottom w:val="none" w:sz="0" w:space="0" w:color="auto"/>
                <w:right w:val="none" w:sz="0" w:space="0" w:color="auto"/>
              </w:divBdr>
              <w:divsChild>
                <w:div w:id="2127002338">
                  <w:marLeft w:val="0"/>
                  <w:marRight w:val="0"/>
                  <w:marTop w:val="0"/>
                  <w:marBottom w:val="0"/>
                  <w:divBdr>
                    <w:top w:val="none" w:sz="0" w:space="0" w:color="auto"/>
                    <w:left w:val="none" w:sz="0" w:space="0" w:color="auto"/>
                    <w:bottom w:val="none" w:sz="0" w:space="0" w:color="auto"/>
                    <w:right w:val="none" w:sz="0" w:space="0" w:color="auto"/>
                  </w:divBdr>
                  <w:divsChild>
                    <w:div w:id="1452745573">
                      <w:marLeft w:val="0"/>
                      <w:marRight w:val="0"/>
                      <w:marTop w:val="0"/>
                      <w:marBottom w:val="0"/>
                      <w:divBdr>
                        <w:top w:val="none" w:sz="0" w:space="0" w:color="auto"/>
                        <w:left w:val="none" w:sz="0" w:space="0" w:color="auto"/>
                        <w:bottom w:val="none" w:sz="0" w:space="0" w:color="auto"/>
                        <w:right w:val="none" w:sz="0" w:space="0" w:color="auto"/>
                      </w:divBdr>
                      <w:divsChild>
                        <w:div w:id="545725544">
                          <w:marLeft w:val="0"/>
                          <w:marRight w:val="0"/>
                          <w:marTop w:val="0"/>
                          <w:marBottom w:val="0"/>
                          <w:divBdr>
                            <w:top w:val="none" w:sz="0" w:space="0" w:color="auto"/>
                            <w:left w:val="none" w:sz="0" w:space="0" w:color="auto"/>
                            <w:bottom w:val="none" w:sz="0" w:space="0" w:color="auto"/>
                            <w:right w:val="none" w:sz="0" w:space="0" w:color="auto"/>
                          </w:divBdr>
                          <w:divsChild>
                            <w:div w:id="943070815">
                              <w:marLeft w:val="0"/>
                              <w:marRight w:val="0"/>
                              <w:marTop w:val="0"/>
                              <w:marBottom w:val="0"/>
                              <w:divBdr>
                                <w:top w:val="none" w:sz="0" w:space="0" w:color="auto"/>
                                <w:left w:val="none" w:sz="0" w:space="0" w:color="auto"/>
                                <w:bottom w:val="none" w:sz="0" w:space="0" w:color="auto"/>
                                <w:right w:val="none" w:sz="0" w:space="0" w:color="auto"/>
                              </w:divBdr>
                              <w:divsChild>
                                <w:div w:id="399181249">
                                  <w:marLeft w:val="0"/>
                                  <w:marRight w:val="0"/>
                                  <w:marTop w:val="0"/>
                                  <w:marBottom w:val="0"/>
                                  <w:divBdr>
                                    <w:top w:val="none" w:sz="0" w:space="0" w:color="auto"/>
                                    <w:left w:val="none" w:sz="0" w:space="0" w:color="auto"/>
                                    <w:bottom w:val="none" w:sz="0" w:space="0" w:color="auto"/>
                                    <w:right w:val="none" w:sz="0" w:space="0" w:color="auto"/>
                                  </w:divBdr>
                                  <w:divsChild>
                                    <w:div w:id="1133475465">
                                      <w:marLeft w:val="0"/>
                                      <w:marRight w:val="0"/>
                                      <w:marTop w:val="0"/>
                                      <w:marBottom w:val="0"/>
                                      <w:divBdr>
                                        <w:top w:val="none" w:sz="0" w:space="0" w:color="auto"/>
                                        <w:left w:val="none" w:sz="0" w:space="0" w:color="auto"/>
                                        <w:bottom w:val="none" w:sz="0" w:space="0" w:color="auto"/>
                                        <w:right w:val="none" w:sz="0" w:space="0" w:color="auto"/>
                                      </w:divBdr>
                                      <w:divsChild>
                                        <w:div w:id="281694692">
                                          <w:marLeft w:val="0"/>
                                          <w:marRight w:val="0"/>
                                          <w:marTop w:val="0"/>
                                          <w:marBottom w:val="0"/>
                                          <w:divBdr>
                                            <w:top w:val="none" w:sz="0" w:space="0" w:color="auto"/>
                                            <w:left w:val="none" w:sz="0" w:space="0" w:color="auto"/>
                                            <w:bottom w:val="none" w:sz="0" w:space="0" w:color="auto"/>
                                            <w:right w:val="none" w:sz="0" w:space="0" w:color="auto"/>
                                          </w:divBdr>
                                          <w:divsChild>
                                            <w:div w:id="608898816">
                                              <w:marLeft w:val="0"/>
                                              <w:marRight w:val="0"/>
                                              <w:marTop w:val="0"/>
                                              <w:marBottom w:val="495"/>
                                              <w:divBdr>
                                                <w:top w:val="none" w:sz="0" w:space="0" w:color="auto"/>
                                                <w:left w:val="none" w:sz="0" w:space="0" w:color="auto"/>
                                                <w:bottom w:val="none" w:sz="0" w:space="0" w:color="auto"/>
                                                <w:right w:val="none" w:sz="0" w:space="0" w:color="auto"/>
                                              </w:divBdr>
                                              <w:divsChild>
                                                <w:div w:id="13602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8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5" ma:contentTypeDescription="Create a new document." ma:contentTypeScope="" ma:versionID="426eacc62ca825137d856afd4ffdbade">
  <xsd:schema xmlns:xsd="http://www.w3.org/2001/XMLSchema" xmlns:xs="http://www.w3.org/2001/XMLSchema" xmlns:p="http://schemas.microsoft.com/office/2006/metadata/properties" xmlns:ns2="8caceea9-b5d0-4f55-9d79-4284f92dc6b7" targetNamespace="http://schemas.microsoft.com/office/2006/metadata/properties" ma:root="true" ma:fieldsID="dd2296fb32da8b0fce109237c956166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69D1C-79EB-4B58-B4D4-6CEF53C95D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CD9905-A66A-4472-9D7D-CACB08D68150}">
  <ds:schemaRefs>
    <ds:schemaRef ds:uri="http://schemas.microsoft.com/sharepoint/v3/contenttype/forms"/>
  </ds:schemaRefs>
</ds:datastoreItem>
</file>

<file path=customXml/itemProps3.xml><?xml version="1.0" encoding="utf-8"?>
<ds:datastoreItem xmlns:ds="http://schemas.openxmlformats.org/officeDocument/2006/customXml" ds:itemID="{34BAF508-49D1-4345-BC2A-181ED75AAB51}">
  <ds:schemaRefs>
    <ds:schemaRef ds:uri="http://schemas.openxmlformats.org/officeDocument/2006/bibliography"/>
  </ds:schemaRefs>
</ds:datastoreItem>
</file>

<file path=customXml/itemProps4.xml><?xml version="1.0" encoding="utf-8"?>
<ds:datastoreItem xmlns:ds="http://schemas.openxmlformats.org/officeDocument/2006/customXml" ds:itemID="{69869B7B-A30D-490A-BDB4-A9BF11642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41</Pages>
  <Words>54296</Words>
  <Characters>30949</Characters>
  <Application>Microsoft Office Word</Application>
  <DocSecurity>0</DocSecurity>
  <Lines>257</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85075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dc:creator>
  <cp:lastModifiedBy>Birutė Valkauskaitė</cp:lastModifiedBy>
  <cp:revision>2</cp:revision>
  <dcterms:created xsi:type="dcterms:W3CDTF">2024-11-22T05:52:00Z</dcterms:created>
  <dcterms:modified xsi:type="dcterms:W3CDTF">2024-11-22T05:52:00Z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2022-01-17T13:08:33Z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37809f30-904e-45d4-9eb8-ff84035aed6e</vt:lpwstr>
  </property>
  <property fmtid="{D5CDD505-2E9C-101B-9397-08002B2CF9AE}" pid="8" name="MSIP_Label_3c9bec58-8084-492e-8360-0e1cfe36408c_ContentBits">
    <vt:lpwstr>0</vt:lpwstr>
  </property>
  <property fmtid="{D5CDD505-2E9C-101B-9397-08002B2CF9AE}" pid="9" name="ContentTypeId">
    <vt:lpwstr>0x01010094E4AB92036B444898921BC5313F335A</vt:lpwstr>
  </property>
</Properties>
</file>