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EC0E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jc w:val="center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Pakuotės lapelis: informacija vartotojui</w:t>
      </w:r>
    </w:p>
    <w:p w14:paraId="4EDC5096" w14:textId="77777777" w:rsidR="001B09A9" w:rsidRPr="001B09A9" w:rsidRDefault="001B09A9" w:rsidP="001B09A9">
      <w:pPr>
        <w:shd w:val="clear" w:color="auto" w:fill="FFFFFF"/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kern w:val="0"/>
          <w:szCs w:val="20"/>
          <w14:ligatures w14:val="none"/>
        </w:rPr>
      </w:pPr>
    </w:p>
    <w:p w14:paraId="750C7A82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15 mg plėvele dengtos tabletės </w:t>
      </w:r>
    </w:p>
    <w:p w14:paraId="7AC4BC4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20 mg plėvele dengtos tabletės </w:t>
      </w:r>
    </w:p>
    <w:p w14:paraId="68778465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b/>
          <w:kern w:val="0"/>
          <w:szCs w:val="20"/>
          <w14:ligatures w14:val="none"/>
        </w:rPr>
      </w:pPr>
    </w:p>
    <w:p w14:paraId="4C1F151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jc w:val="center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rivaroksabanas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</w:p>
    <w:p w14:paraId="5F7923F7" w14:textId="77777777" w:rsidR="001B09A9" w:rsidRPr="001B09A9" w:rsidRDefault="001B09A9" w:rsidP="001B09A9">
      <w:pPr>
        <w:tabs>
          <w:tab w:val="left" w:pos="720"/>
        </w:tabs>
        <w:suppressAutoHyphens/>
        <w:snapToGrid w:val="0"/>
        <w:spacing w:after="0" w:line="240" w:lineRule="auto"/>
        <w:ind w:left="142" w:hanging="142"/>
        <w:rPr>
          <w:rFonts w:eastAsia="Times New Roman"/>
          <w:kern w:val="0"/>
          <w:szCs w:val="20"/>
          <w14:ligatures w14:val="none"/>
        </w:rPr>
      </w:pPr>
    </w:p>
    <w:p w14:paraId="4565AA4C" w14:textId="77777777" w:rsidR="001B09A9" w:rsidRPr="001B09A9" w:rsidRDefault="001B09A9" w:rsidP="001B09A9">
      <w:pPr>
        <w:tabs>
          <w:tab w:val="left" w:pos="720"/>
        </w:tabs>
        <w:suppressAutoHyphens/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Atidžiai perskaitykite visą šį lapelį, prieš pradėdami vartoti vaistą, nes jame pateikiama Jums svarbi informacija.</w:t>
      </w:r>
    </w:p>
    <w:p w14:paraId="68431134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  <w:tab w:val="left" w:pos="720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Neišmeskite šio lapelio, nes vėl gali prireikti jį perskaityti. </w:t>
      </w:r>
    </w:p>
    <w:p w14:paraId="6FF7F1CC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  <w:tab w:val="left" w:pos="720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Jeigu kiltų daugiau klausimų, kreipkitės į gydytoją arba vaistininką.</w:t>
      </w:r>
    </w:p>
    <w:p w14:paraId="16040D4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-</w:t>
      </w:r>
      <w:r w:rsidRPr="001B09A9">
        <w:rPr>
          <w:rFonts w:eastAsia="Times New Roman"/>
          <w:kern w:val="0"/>
          <w:szCs w:val="20"/>
          <w14:ligatures w14:val="none"/>
        </w:rPr>
        <w:tab/>
        <w:t>Šis vaistas skirtas tik Jums, todėl kitiems žmonėms jo duoti negalima. Vaistas gali jiems pakenkti (net tiems, kurių ligos požymiai yra tokie patys kaip Jūsų).</w:t>
      </w:r>
      <w:r w:rsidRPr="001B09A9">
        <w:rPr>
          <w:rFonts w:eastAsia="Times New Roman"/>
          <w:color w:val="008000"/>
          <w:kern w:val="0"/>
          <w:szCs w:val="20"/>
          <w14:ligatures w14:val="none"/>
        </w:rPr>
        <w:t xml:space="preserve"> </w:t>
      </w:r>
    </w:p>
    <w:p w14:paraId="347D510E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Jeigu pasireiškė šalutinis poveikis (net jeigu jis šiame lapelyje nenurodytas),</w:t>
      </w:r>
      <w:r w:rsidRPr="001B09A9">
        <w:rPr>
          <w:rFonts w:eastAsia="Times New Roman"/>
          <w:color w:val="FF0000"/>
          <w:kern w:val="0"/>
          <w:szCs w:val="20"/>
          <w14:ligatures w14:val="none"/>
        </w:rPr>
        <w:t xml:space="preserve"> </w:t>
      </w:r>
      <w:r w:rsidRPr="001B09A9">
        <w:rPr>
          <w:rFonts w:eastAsia="Times New Roman"/>
          <w:kern w:val="0"/>
          <w:szCs w:val="20"/>
          <w14:ligatures w14:val="none"/>
        </w:rPr>
        <w:t>kreipkitės į gydytoją arba vaistininką. Žr. 4 skyrių.</w:t>
      </w:r>
    </w:p>
    <w:p w14:paraId="469B42C7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4D5DAB1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D78EF7E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Apie ką rašoma šiame lapelyje?</w:t>
      </w:r>
    </w:p>
    <w:p w14:paraId="4388645A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right="-29" w:hanging="254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Kas yra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ir kam jis vartojamas </w:t>
      </w:r>
    </w:p>
    <w:p w14:paraId="627EB7A5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Kas žinotina prieš vartojant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</w:p>
    <w:p w14:paraId="325824CF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Kaip vartoti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 </w:t>
      </w:r>
    </w:p>
    <w:p w14:paraId="7A88FA4E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Galimas šalutinis poveikis </w:t>
      </w:r>
    </w:p>
    <w:p w14:paraId="73F76BC2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Kaip laikyti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 </w:t>
      </w:r>
    </w:p>
    <w:p w14:paraId="75EDE131" w14:textId="77777777" w:rsidR="001B09A9" w:rsidRPr="001B09A9" w:rsidRDefault="001B09A9" w:rsidP="001B09A9">
      <w:pPr>
        <w:numPr>
          <w:ilvl w:val="0"/>
          <w:numId w:val="17"/>
        </w:numPr>
        <w:tabs>
          <w:tab w:val="left" w:pos="426"/>
          <w:tab w:val="left" w:pos="567"/>
        </w:tabs>
        <w:snapToGrid w:val="0"/>
        <w:spacing w:after="0" w:line="240" w:lineRule="auto"/>
        <w:ind w:left="426" w:right="-2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Pakuotės turinys ir kita informacija</w:t>
      </w:r>
    </w:p>
    <w:p w14:paraId="41E50E69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B66A47F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7BC14126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Kas yra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ir kam jis vartojamas</w:t>
      </w:r>
    </w:p>
    <w:p w14:paraId="3FED44A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C70235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sudėtyje yra veikliosios medžiagos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rivaroksabano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. Jis vartojamas suaugusiems žmonėms: </w:t>
      </w:r>
    </w:p>
    <w:p w14:paraId="4507DA67" w14:textId="77777777" w:rsidR="001B09A9" w:rsidRPr="001B09A9" w:rsidRDefault="001B09A9" w:rsidP="001B09A9">
      <w:pPr>
        <w:numPr>
          <w:ilvl w:val="0"/>
          <w:numId w:val="16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krešulių susidarymo smegenyse (insulto) ir kitų kūno vietų kraujagyslėse profilaktikai, jeigu Jums yra nereguliaraus širdies ritmo forma, vadinama su vožtuvų liga nesusijusiu prieširdžių virpėjimu; </w:t>
      </w:r>
    </w:p>
    <w:p w14:paraId="5952848C" w14:textId="77777777" w:rsidR="001B09A9" w:rsidRPr="001B09A9" w:rsidRDefault="001B09A9" w:rsidP="001B09A9">
      <w:pPr>
        <w:numPr>
          <w:ilvl w:val="0"/>
          <w:numId w:val="16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kraujo krešulių kojų venose (giliųjų venų trombozės) ir plaučių kraujagyslėse (plaučių embolijos) gydymui ir pakartotinio kraujo krešulių susidarymo kojų ir (arba) plaučių kraujagyslėse profilaktikai.</w:t>
      </w:r>
    </w:p>
    <w:p w14:paraId="4DB3D49D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06F0582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vartojamas vaikams ir jaunesniems kaip 18 metų paaugliams, kurių kūno svoris 30 kg arba daugiau:</w:t>
      </w:r>
    </w:p>
    <w:p w14:paraId="4D720D08" w14:textId="77777777" w:rsidR="001B09A9" w:rsidRPr="001B09A9" w:rsidRDefault="001B09A9" w:rsidP="001B09A9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bookmarkStart w:id="0" w:name="_Hlk97199536"/>
      <w:r w:rsidRPr="001B09A9">
        <w:rPr>
          <w:rFonts w:eastAsia="Times New Roman"/>
          <w:kern w:val="0"/>
          <w:szCs w:val="20"/>
          <w14:ligatures w14:val="none"/>
        </w:rPr>
        <w:t>kraujo krešulių, susidariusių venose arba plaučių kraujagyslėse, gydymui ir pakartotinio jų susidarymo profilaktikai po ne trumpiau kaip 5 dienas taikyto pradinio gydymo injekciniais vaistais nuo kraujo krešulių</w:t>
      </w:r>
      <w:bookmarkEnd w:id="0"/>
      <w:r w:rsidRPr="001B09A9">
        <w:rPr>
          <w:rFonts w:eastAsia="Times New Roman"/>
          <w:kern w:val="0"/>
          <w:szCs w:val="20"/>
          <w14:ligatures w14:val="none"/>
        </w:rPr>
        <w:t>.</w:t>
      </w:r>
    </w:p>
    <w:p w14:paraId="2B6ACF56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left="567" w:right="-2"/>
        <w:rPr>
          <w:rFonts w:eastAsia="Times New Roman"/>
          <w:kern w:val="0"/>
          <w:szCs w:val="20"/>
          <w14:ligatures w14:val="none"/>
        </w:rPr>
      </w:pPr>
    </w:p>
    <w:p w14:paraId="3BA0F181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priklauso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antitrombozinių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vaistų grupei. Jis veikia blokuodamas kraujo krešėjimo faktorių (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Xa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faktorių), taip sumažindamas polinkį formuotis kraujo krešuliams.</w:t>
      </w:r>
    </w:p>
    <w:p w14:paraId="285DC4D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30556A49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7DB47DD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Kas žinotina prieš vartojant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Teva</w:t>
      </w:r>
      <w:proofErr w:type="spellEnd"/>
    </w:p>
    <w:p w14:paraId="1260BEDB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i/>
          <w:kern w:val="0"/>
          <w14:ligatures w14:val="none"/>
        </w:rPr>
      </w:pPr>
    </w:p>
    <w:p w14:paraId="24869BAC" w14:textId="77777777" w:rsidR="001B09A9" w:rsidRPr="001B09A9" w:rsidRDefault="001B09A9" w:rsidP="001B09A9">
      <w:pPr>
        <w:keepNext/>
        <w:tabs>
          <w:tab w:val="left" w:pos="720"/>
          <w:tab w:val="left" w:pos="4704"/>
        </w:tabs>
        <w:snapToGrid w:val="0"/>
        <w:spacing w:after="0" w:line="240" w:lineRule="auto"/>
        <w:outlineLvl w:val="0"/>
        <w:rPr>
          <w:rFonts w:eastAsia="Times New Roman"/>
          <w:kern w:val="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vartoti draudžiama:</w:t>
      </w:r>
    </w:p>
    <w:p w14:paraId="5B0ECD3B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yra alergija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rivaroksabanui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bet kuriai pagalbinei šio vaisto medžiagai (jos išvardytos 6 skyriuje);</w:t>
      </w:r>
    </w:p>
    <w:p w14:paraId="61E42FAA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gausiai kraujuojate; </w:t>
      </w:r>
    </w:p>
    <w:p w14:paraId="0A0587CB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yra liga arba būklė, dėl kurios padidėja gausaus kraujavimo rizika (pvz.: skrandžio opa, galvos smegenų pažeidimas arba kraujavimas į smegenis, neseniai atlikta chirurginė smegenų arba akių operacija); </w:t>
      </w:r>
    </w:p>
    <w:p w14:paraId="113733F7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 xml:space="preserve">jeigu vartojate vaistų, apsaugančių nuo kraujo krešulių susidarymo (pvz.: varfarino,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dabigatrano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apiksabano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heparino), išskyrus atvejus, kai keičiamas nuo kraujo krešulių apsaugantis gydymas arba kai per venos ar arterijos kateterį Jums leidžiama heparino, kad šis kateteris išliktų pralaidus; </w:t>
      </w:r>
    </w:p>
    <w:p w14:paraId="0DD14D92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sergate kepenų liga ir todėl gali būti padidėjusi kraujavimo rizika; </w:t>
      </w:r>
    </w:p>
    <w:p w14:paraId="31998E6A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esate nėščia arba žindote kūdikį. </w:t>
      </w:r>
    </w:p>
    <w:p w14:paraId="6AF95112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79A8143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bet kuris iš šių punktų Jums tinka, </w:t>
      </w:r>
      <w:r w:rsidRPr="001B09A9">
        <w:rPr>
          <w:rFonts w:eastAsia="Times New Roman"/>
          <w:b/>
          <w:kern w:val="0"/>
          <w:szCs w:val="20"/>
          <w14:ligatures w14:val="none"/>
        </w:rPr>
        <w:t xml:space="preserve">NEVARTOKITE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ir pasakykite savo gydytojui</w:t>
      </w:r>
      <w:r w:rsidRPr="001B09A9">
        <w:rPr>
          <w:rFonts w:eastAsia="Times New Roman"/>
          <w:kern w:val="0"/>
          <w:szCs w:val="20"/>
          <w14:ligatures w14:val="none"/>
        </w:rPr>
        <w:t>.</w:t>
      </w:r>
    </w:p>
    <w:p w14:paraId="401BE1B0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08ADEBD7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Įspėjimai ir atsargumo priemonės </w:t>
      </w:r>
    </w:p>
    <w:p w14:paraId="133D54D9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Pasitarkite su gydytoju arba vaistininku, prieš pradėdami vartoti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.</w:t>
      </w:r>
    </w:p>
    <w:p w14:paraId="32ECD616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42DDC7E2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Vartojant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specialių atsargumo priemonių reikia: </w:t>
      </w:r>
    </w:p>
    <w:p w14:paraId="514A044A" w14:textId="77777777" w:rsidR="001B09A9" w:rsidRPr="001B09A9" w:rsidRDefault="001B09A9" w:rsidP="001B09A9">
      <w:pPr>
        <w:numPr>
          <w:ilvl w:val="0"/>
          <w:numId w:val="3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yra padidėjusi kraujavimo rizika, kuri galima šiais atvejais: </w:t>
      </w:r>
    </w:p>
    <w:p w14:paraId="1F9366E6" w14:textId="77777777" w:rsidR="001B09A9" w:rsidRPr="001B09A9" w:rsidRDefault="001B09A9" w:rsidP="001B09A9">
      <w:pPr>
        <w:numPr>
          <w:ilvl w:val="0"/>
          <w:numId w:val="4"/>
        </w:numPr>
        <w:tabs>
          <w:tab w:val="left" w:pos="567"/>
          <w:tab w:val="left" w:pos="720"/>
        </w:tabs>
        <w:snapToGrid w:val="0"/>
        <w:spacing w:after="0" w:line="240" w:lineRule="auto"/>
        <w:ind w:left="1418" w:right="-2" w:hanging="720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sunki suaugusiųjų inkstų liga ir  vidutinio sunkumo arba sunki vaikų ir paauglių inkstų liga, nes inkstų funkcija gali turėti įtakos Jūsų organizmą veikiančio vaisto kiekiui; </w:t>
      </w:r>
    </w:p>
    <w:p w14:paraId="74DF3B20" w14:textId="77777777" w:rsidR="001B09A9" w:rsidRPr="001B09A9" w:rsidRDefault="001B09A9" w:rsidP="001B09A9">
      <w:pPr>
        <w:numPr>
          <w:ilvl w:val="0"/>
          <w:numId w:val="4"/>
        </w:numPr>
        <w:tabs>
          <w:tab w:val="left" w:pos="567"/>
          <w:tab w:val="left" w:pos="720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vartojate kitų vaistų, apsaugančių nuo kraujo krešulių susidarymo (pvz.: varfarino,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dabigatrano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apiksabano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heparino), kai keičiamas nuo kraujo krešulių apsaugantis gydymas arba kai per venos ar arterijos kateterį Jums leidžiama heparino, kad šis kateteris išliktų pralaidus (žr. skyrių „Kiti vaistai ir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“); </w:t>
      </w:r>
    </w:p>
    <w:p w14:paraId="32EC35F5" w14:textId="77777777" w:rsidR="001B09A9" w:rsidRPr="001B09A9" w:rsidRDefault="001B09A9" w:rsidP="001B09A9">
      <w:pPr>
        <w:numPr>
          <w:ilvl w:val="0"/>
          <w:numId w:val="5"/>
        </w:numPr>
        <w:tabs>
          <w:tab w:val="left" w:pos="567"/>
          <w:tab w:val="left" w:pos="720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kraujavimo sutrikimai; </w:t>
      </w:r>
    </w:p>
    <w:p w14:paraId="2ADED13F" w14:textId="77777777" w:rsidR="001B09A9" w:rsidRPr="001B09A9" w:rsidRDefault="001B09A9" w:rsidP="001B09A9">
      <w:pPr>
        <w:numPr>
          <w:ilvl w:val="0"/>
          <w:numId w:val="6"/>
        </w:numPr>
        <w:tabs>
          <w:tab w:val="left" w:pos="567"/>
          <w:tab w:val="left" w:pos="720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aukštas kraujospūdis, nekontroliuojamas medikamentiniu gydymu; </w:t>
      </w:r>
    </w:p>
    <w:p w14:paraId="410E1E2D" w14:textId="77777777" w:rsidR="001B09A9" w:rsidRPr="001B09A9" w:rsidRDefault="001B09A9" w:rsidP="001B09A9">
      <w:pPr>
        <w:numPr>
          <w:ilvl w:val="0"/>
          <w:numId w:val="6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skrandžio arba žarnyno ligos, galinčios sukelti kraujavimą, pvz.: žarnyno arba skrandžio uždegimas, arba stemplės uždegimas, pvz., dėl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gastroezofaginio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refliukso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ligos (ligos, kai skrandžio rūgštis atpilama į stemplę) arba </w:t>
      </w:r>
      <w:r w:rsidRPr="001B09A9">
        <w:rPr>
          <w:rFonts w:eastAsia="Times New Roman"/>
          <w:color w:val="000000"/>
          <w:kern w:val="0"/>
          <w:lang w:eastAsia="en-GB" w:bidi="lt-LT"/>
          <w14:ligatures w14:val="none"/>
        </w:rPr>
        <w:t xml:space="preserve">yra piktybinis navikas </w:t>
      </w: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skrandyje ar žarnose,</w:t>
      </w:r>
      <w:r w:rsidRPr="001B09A9">
        <w:rPr>
          <w:rFonts w:eastAsia="Times New Roman"/>
          <w:spacing w:val="-1"/>
          <w:kern w:val="0"/>
          <w:szCs w:val="20"/>
          <w:lang w:eastAsia="lt-LT" w:bidi="lt-LT"/>
          <w14:ligatures w14:val="none"/>
        </w:rPr>
        <w:t xml:space="preserve"> </w:t>
      </w: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lytiniuose ar šlapimo takuose; </w:t>
      </w:r>
    </w:p>
    <w:p w14:paraId="55A87857" w14:textId="77777777" w:rsidR="001B09A9" w:rsidRPr="001B09A9" w:rsidRDefault="001B09A9" w:rsidP="001B09A9">
      <w:pPr>
        <w:numPr>
          <w:ilvl w:val="0"/>
          <w:numId w:val="6"/>
        </w:numPr>
        <w:tabs>
          <w:tab w:val="left" w:pos="567"/>
          <w:tab w:val="left" w:pos="720"/>
          <w:tab w:val="left" w:pos="1418"/>
        </w:tabs>
        <w:snapToGrid w:val="0"/>
        <w:spacing w:after="0" w:line="240" w:lineRule="auto"/>
        <w:ind w:right="-2" w:hanging="11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akių dugno kraujagyslių sutrikimai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retinopatija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3B1D9333" w14:textId="77777777" w:rsidR="001B09A9" w:rsidRPr="001B09A9" w:rsidRDefault="001B09A9" w:rsidP="001B09A9">
      <w:pPr>
        <w:numPr>
          <w:ilvl w:val="0"/>
          <w:numId w:val="6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plaučių liga, kuria sergant bronchai yra išsiplėtę ir prisipildę pūlių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bronchektazės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arba anksčiau buvęs kraujavimas iš plaučių; </w:t>
      </w:r>
    </w:p>
    <w:p w14:paraId="78A4CD16" w14:textId="77777777" w:rsidR="001B09A9" w:rsidRPr="001B09A9" w:rsidRDefault="001B09A9" w:rsidP="001B09A9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protezuotas širdies vožtuvas; </w:t>
      </w:r>
    </w:p>
    <w:p w14:paraId="655CC2B8" w14:textId="77777777" w:rsidR="001B09A9" w:rsidRPr="001B09A9" w:rsidRDefault="001B09A9" w:rsidP="001B09A9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žinote, kad sergate liga, vadinama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antifosfolipidiniu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sindromu (imuninės sistemos sutrikimas, dėl kurio padidėja kraujo krešulių susidarymo rizika), pasakykite apie tai savo gydytojui, kuris nuspręs, ar reikės keisti jums taikomą gydymą;</w:t>
      </w:r>
    </w:p>
    <w:p w14:paraId="32A70541" w14:textId="77777777" w:rsidR="001B09A9" w:rsidRPr="001B09A9" w:rsidRDefault="001B09A9" w:rsidP="001B09A9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gydytojas nustatė, kad Jūsų kraujospūdis nestabilus, arba Jums planuojama taikyti kitokį gydymą arba chirurginę procedūrą, norint pašalinti kraujo krešulį iš plaučių. </w:t>
      </w:r>
    </w:p>
    <w:p w14:paraId="4C81647B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AF8A2AB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Jeigu bet kuris iš prieš tai išvardintų teiginių Jums tinka</w:t>
      </w:r>
      <w:r w:rsidRPr="001B09A9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, pasakykite gydytojui. Jūsų gydytojas nuspręs, ar skirti Jums šį vaistą ir ar Jus atidžiau stebėti. </w:t>
      </w:r>
    </w:p>
    <w:p w14:paraId="4F8547BF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471E4B1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Jeigu Jums reikia atlikti operaciją </w:t>
      </w:r>
    </w:p>
    <w:p w14:paraId="7034AAD7" w14:textId="77777777" w:rsidR="001B09A9" w:rsidRPr="001B09A9" w:rsidRDefault="001B09A9" w:rsidP="001B09A9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svarbu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vartoti prieš ir po operacijos, tiksliai tuo laiku, kaip pasakė gydytojas. </w:t>
      </w:r>
    </w:p>
    <w:p w14:paraId="2F8AFE5B" w14:textId="77777777" w:rsidR="001B09A9" w:rsidRPr="001B09A9" w:rsidRDefault="001B09A9" w:rsidP="001B09A9">
      <w:pPr>
        <w:numPr>
          <w:ilvl w:val="0"/>
          <w:numId w:val="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operacijos metu bus įterpiamas kateteris arba leidžiami vaistai į stuburo kanalą (pvz.: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epidurinė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spinalinė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anestezija arba skausmo slopinimas): </w:t>
      </w:r>
    </w:p>
    <w:p w14:paraId="024CB377" w14:textId="77777777" w:rsidR="001B09A9" w:rsidRPr="001B09A9" w:rsidRDefault="001B09A9" w:rsidP="001B09A9">
      <w:pPr>
        <w:numPr>
          <w:ilvl w:val="0"/>
          <w:numId w:val="8"/>
        </w:numPr>
        <w:tabs>
          <w:tab w:val="left" w:pos="567"/>
          <w:tab w:val="left" w:pos="720"/>
        </w:tabs>
        <w:snapToGrid w:val="0"/>
        <w:spacing w:after="0" w:line="240" w:lineRule="auto"/>
        <w:ind w:left="1429" w:hanging="720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labai svarbu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vartoti tiksliai tuo laiku prieš injekciją ar kateterio pašalinimą, kaip pasakė Jūsų gydytojas; </w:t>
      </w:r>
    </w:p>
    <w:p w14:paraId="538D9DDE" w14:textId="77777777" w:rsidR="001B09A9" w:rsidRPr="001B09A9" w:rsidRDefault="001B09A9" w:rsidP="001B09A9">
      <w:pPr>
        <w:numPr>
          <w:ilvl w:val="0"/>
          <w:numId w:val="8"/>
        </w:numPr>
        <w:tabs>
          <w:tab w:val="left" w:pos="567"/>
          <w:tab w:val="left" w:pos="1418"/>
        </w:tabs>
        <w:snapToGrid w:val="0"/>
        <w:spacing w:after="0" w:line="240" w:lineRule="auto"/>
        <w:ind w:left="1418" w:right="-2" w:hanging="709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nedelsdami pasakykite savo gydytojui, jei po anestezijos pajusite kojų tirpimą ar silpnumą arba žarnyno ar šlapimo pūslės veiklos sutrikimą, nes gali prireikti skubios pagalbos. </w:t>
      </w:r>
    </w:p>
    <w:p w14:paraId="7AEE2BF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E1A475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Vaikams ir paaugliams </w:t>
      </w:r>
    </w:p>
    <w:p w14:paraId="712F20D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Times New Roman"/>
          <w:b/>
          <w:kern w:val="0"/>
          <w:szCs w:val="20"/>
          <w14:ligatures w14:val="none"/>
        </w:rPr>
        <w:t xml:space="preserve">nerekomenduojama vartoti vaikams, kurių kūno svoris mažesnis negu 30 kg. </w:t>
      </w:r>
      <w:r w:rsidRPr="001B09A9">
        <w:rPr>
          <w:rFonts w:eastAsia="Times New Roman"/>
          <w:kern w:val="0"/>
          <w:szCs w:val="20"/>
          <w14:ligatures w14:val="none"/>
        </w:rPr>
        <w:t xml:space="preserve"> Informacijos apie vaisto vartojimą vaikams ir paaugliams suaugusiųjų indikacijoms nepakanka.</w:t>
      </w:r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380B518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542E90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Kiti vaistai ir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12F2949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lastRenderedPageBreak/>
        <w:t xml:space="preserve">Jeigu vartojate ar neseniai vartojote kitų vaistų, įskaitant įsigytus be recepto, arba dėl to nesate tikri, apie tai pasakykite gydytojui arba vaistininkui. </w:t>
      </w:r>
    </w:p>
    <w:p w14:paraId="7F3B905D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Jeigu vartojate: </w:t>
      </w:r>
    </w:p>
    <w:p w14:paraId="2B1E375F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kitų vaistų nuo grybelinės infekcijos (pvz.: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flukonazolo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itrakonazolo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vorikonazolo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pozakonazolo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išskyrus tepamus ant odos; </w:t>
      </w:r>
    </w:p>
    <w:p w14:paraId="413F0D74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ketokonazolo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tablečių (vartojamų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Kušingo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sindromui, kai organizme gaminama per daug kortizolio, gydyti); </w:t>
      </w:r>
    </w:p>
    <w:p w14:paraId="2AF40218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vaistų, skirtų bakterinėms infekcijoms gydyti (pvz.: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klaritromicino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eritromicino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6E011C39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priešvirusinių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vaistų nuo ŽIV / AIDS (pvz., ritonaviro); </w:t>
      </w:r>
    </w:p>
    <w:p w14:paraId="3BA497D1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kitų vaistų, skirtų krešėjimui mažinti (pvz.: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enoksaparino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klopidogrelio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 vitamino K antagonistų, tokių kaip varfarinas ar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acenokumarolis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3460EFFD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vaistų nuo uždegimo ir skausmą malšinančių vaistų (pvz.: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naprokseno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arba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acetilsalicilo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rūgšties); </w:t>
      </w:r>
    </w:p>
    <w:p w14:paraId="05E38632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dronedarono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vaisto nuo širdies ritmo sutrikimo; </w:t>
      </w:r>
    </w:p>
    <w:p w14:paraId="049FD202" w14:textId="77777777" w:rsidR="001B09A9" w:rsidRPr="001B09A9" w:rsidRDefault="001B09A9" w:rsidP="001B09A9">
      <w:pPr>
        <w:numPr>
          <w:ilvl w:val="0"/>
          <w:numId w:val="2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kai kurių vaistų nuo depresijos (selektyvių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serotonino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reabsorbcijos inhibitorių (SSRI) arba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serotonino-norepinefrino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reabsorbcijos inhibitorių (SNRI)). </w:t>
      </w:r>
    </w:p>
    <w:p w14:paraId="02483FC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8C3F08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Jeigu bet kuris iš prieš tai išvardintų teiginių Jums tinka</w:t>
      </w:r>
      <w:r w:rsidRPr="001B09A9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, pasakykite savo gydytojui, nes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poveikis gali padidėti. Jūsų gydytojas nuspręs, ar skirti Jums šį vaistą ir ar Jus atidžiau stebėti. </w:t>
      </w:r>
    </w:p>
    <w:p w14:paraId="7FEFB4E6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Jūsų gydytojas mano, kad Jums yra padidėjusi skrandžio ar žarnyno opų rizika, jis gali skirti ir profilaktinį opų gydymą. </w:t>
      </w:r>
    </w:p>
    <w:p w14:paraId="29FBD970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3DD1572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Jeigu vartojate: </w:t>
      </w:r>
    </w:p>
    <w:p w14:paraId="23097F96" w14:textId="77777777" w:rsidR="001B09A9" w:rsidRPr="001B09A9" w:rsidRDefault="001B09A9" w:rsidP="001B09A9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kai kurių vaistų nuo epilepsijos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fenitoino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karbamazepino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fenobarbitalio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3E70601B" w14:textId="77777777" w:rsidR="001B09A9" w:rsidRPr="001B09A9" w:rsidRDefault="001B09A9" w:rsidP="001B09A9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paprastųjų jonažolių (</w:t>
      </w:r>
      <w:proofErr w:type="spellStart"/>
      <w:r w:rsidRPr="001B09A9">
        <w:rPr>
          <w:rFonts w:eastAsia="Times New Roman"/>
          <w:i/>
          <w:kern w:val="0"/>
          <w:szCs w:val="20"/>
          <w:lang w:eastAsia="lt-LT" w:bidi="lt-LT"/>
          <w14:ligatures w14:val="none"/>
        </w:rPr>
        <w:t>Hypericum</w:t>
      </w:r>
      <w:proofErr w:type="spellEnd"/>
      <w:r w:rsidRPr="001B09A9">
        <w:rPr>
          <w:rFonts w:eastAsia="Times New Roman"/>
          <w:i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i/>
          <w:kern w:val="0"/>
          <w:szCs w:val="20"/>
          <w:lang w:eastAsia="lt-LT" w:bidi="lt-LT"/>
          <w14:ligatures w14:val="none"/>
        </w:rPr>
        <w:t>perforatum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), augalinio vaisto depresijai gydyti; </w:t>
      </w:r>
    </w:p>
    <w:p w14:paraId="7823B1A3" w14:textId="77777777" w:rsidR="001B09A9" w:rsidRPr="001B09A9" w:rsidRDefault="001B09A9" w:rsidP="001B09A9">
      <w:pPr>
        <w:numPr>
          <w:ilvl w:val="0"/>
          <w:numId w:val="2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antibiotiko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rifampicino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. </w:t>
      </w:r>
    </w:p>
    <w:p w14:paraId="0C62C58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Jeigu bet kuris aukščiau išvardytas teiginys Jums tinka</w:t>
      </w:r>
      <w:r w:rsidRPr="001B09A9">
        <w:rPr>
          <w:rFonts w:eastAsia="Times New Roman"/>
          <w:kern w:val="0"/>
          <w:szCs w:val="20"/>
          <w14:ligatures w14:val="none"/>
        </w:rPr>
        <w:t xml:space="preserve">, prieš pradėdami vartoti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, pasakykite savo gydytojui, nes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poveikis gali sumažėti. Jūsų gydytojas nuspręs, ar skirti Jums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ir ar Jus atidžiau stebėti.</w:t>
      </w:r>
    </w:p>
    <w:p w14:paraId="443FD97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6087019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Nėštumas ir žindymo laikotarpis </w:t>
      </w:r>
    </w:p>
    <w:p w14:paraId="36543F97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esate nėščia arba žindote kūdikį,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Times New Roman"/>
          <w:b/>
          <w:kern w:val="0"/>
          <w:szCs w:val="20"/>
          <w14:ligatures w14:val="none"/>
        </w:rPr>
        <w:t>vartoti NEGALIMA</w:t>
      </w:r>
      <w:r w:rsidRPr="001B09A9">
        <w:rPr>
          <w:rFonts w:eastAsia="Times New Roman"/>
          <w:kern w:val="0"/>
          <w:szCs w:val="20"/>
          <w14:ligatures w14:val="none"/>
        </w:rPr>
        <w:t xml:space="preserve">. Jei yra galimybė, kad galite pastoti, kol vartojate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, naudokitės patikimu kontracepcijos metodu. Jeigu vartodama šį vaistą pastojote, nedelsdama pasakykite savo gydytojui, kuris nuspręs, kaip būsite gydoma.</w:t>
      </w:r>
    </w:p>
    <w:p w14:paraId="59185FD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1722A397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Vairavimas ir mechanizmų valdymas</w:t>
      </w:r>
    </w:p>
    <w:p w14:paraId="26EA8676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Vartojant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, gali pasireikšti svaigulys (dažnas šalutinis poveikis) arba apalpimas (sinkopė) (nedažnas šalutinis poveikis) (žr. 4 skyrių „Galimas šalutinis poveikis“). Jeigu Jums pasireiškia šie simptomai, vairuoti, važiuoti dviračiu, naudoti bet kokių įrankių arba valdyti mechanizmų negalima.</w:t>
      </w:r>
    </w:p>
    <w:p w14:paraId="0E3535F6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2A63D0B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sudėtyje yra laktozės ir natrio</w:t>
      </w:r>
    </w:p>
    <w:p w14:paraId="524AFF1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gydytojas Jums yra sakęs, kad netoleruojate kokių nors angliavandenių, kreipkitės į jį prieš pradėdami vartoti šį vaistą. </w:t>
      </w:r>
    </w:p>
    <w:p w14:paraId="2228931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9A061C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Šio vaisto tabletėje yra mažiau kaip 1 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mmol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(23 mg) natrio, t. y. jis beveik neturi reikšmės.</w:t>
      </w:r>
    </w:p>
    <w:p w14:paraId="68D3E98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24B1EE6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5912C405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Kaip vartoti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</w:p>
    <w:p w14:paraId="3FF6EA47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E86864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Visada vartokite šį vaistą tiksliai kaip nurodė gydytojas. Jeigu abejojate, kreipkitės į gydytoją arba vaistininką. </w:t>
      </w:r>
    </w:p>
    <w:p w14:paraId="09DB100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vartokite valgio metu. Nurykite tabletę (-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), geriausia užsigerdami vandeniu. </w:t>
      </w:r>
    </w:p>
    <w:p w14:paraId="34022D6A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lastRenderedPageBreak/>
        <w:t xml:space="preserve">Jeigu sunku nuryti visą tabletę, pasikalbėkite su gydytoju apie kitus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vartojimo būdus. Prieš pat vartojant tabletę galima susmulkinti ir sumaišyti su vandeniu arba obuolių tyre. </w:t>
      </w:r>
      <w:bookmarkStart w:id="1" w:name="_Hlk97199740"/>
      <w:r w:rsidRPr="001B09A9">
        <w:rPr>
          <w:rFonts w:eastAsia="Times New Roman"/>
          <w:kern w:val="0"/>
          <w:szCs w:val="20"/>
          <w14:ligatures w14:val="none"/>
        </w:rPr>
        <w:t>Išgėrus šį mišinį, reikia nedelsiant pavalgyti.</w:t>
      </w:r>
      <w:bookmarkEnd w:id="1"/>
    </w:p>
    <w:p w14:paraId="52950BA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 reikia, gydytojas gali Jums paskirti vartoti susmulkintą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tabletę ir per skrandžio zondą.</w:t>
      </w:r>
    </w:p>
    <w:p w14:paraId="3AEDF9B0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5690A8DB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Kiek vartoti</w:t>
      </w:r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</w:p>
    <w:p w14:paraId="06AAC42F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Suaugusiesiems</w:t>
      </w:r>
    </w:p>
    <w:p w14:paraId="603504C2" w14:textId="77777777" w:rsidR="001B09A9" w:rsidRPr="001B09A9" w:rsidRDefault="001B09A9" w:rsidP="001B09A9">
      <w:pPr>
        <w:numPr>
          <w:ilvl w:val="0"/>
          <w:numId w:val="18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krešulių susidarymo smegenyse (insulto) ir kitų kūno vietų kraujagyslėse profilaktikai: rekomenduojama dozė yra viena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tabletė vieną kartą per parą.</w:t>
      </w:r>
    </w:p>
    <w:p w14:paraId="6D045D77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inkstų veikla sutrikusi, dozė gali būti sumažinta iki vienos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parą. </w:t>
      </w:r>
    </w:p>
    <w:p w14:paraId="5B829A03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3C5B41A0" w14:textId="77777777" w:rsidR="001B09A9" w:rsidRPr="001B09A9" w:rsidRDefault="001B09A9" w:rsidP="001B09A9">
      <w:pPr>
        <w:numPr>
          <w:ilvl w:val="0"/>
          <w:numId w:val="18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Jums reikalinga procedūra, skirta užsikimšusių širdies kraujagyslių gydymui (vadinama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perkutanine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koronarine intervencija – PKI su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stento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įvedimu), dozės sumažinimo iki vienos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 (arba iki vienos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10 mg tabletės vieną kartą per parą, jeigu Jums yra inkstų funkcijos sutrikimas), vartojant derinyje su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antitrombocitiniu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vaistiniu preparatu, pavyzdžiui,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klopidogreliu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patirtis yra ribota. </w:t>
      </w:r>
    </w:p>
    <w:p w14:paraId="13F17D7B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720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32678FCE" w14:textId="77777777" w:rsidR="001B09A9" w:rsidRPr="001B09A9" w:rsidRDefault="001B09A9" w:rsidP="001B09A9">
      <w:pPr>
        <w:numPr>
          <w:ilvl w:val="0"/>
          <w:numId w:val="19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Kraujo krešulių kojų venose bei kraujo krešulių plaučių kraujagyslėse gydymui ir pakartotinio kraujo krešulių susidarymo profilaktikai:</w:t>
      </w:r>
    </w:p>
    <w:p w14:paraId="4A04AD8C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pirmąsias 3 savaites rekomenduojama dozė yra viena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 du kartus per parą. Po 3 savaičių rekomenduojama dozė yra viena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tabletė kartą per parą. </w:t>
      </w:r>
    </w:p>
    <w:p w14:paraId="3082BA4A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Po ne mažiau kaip 6 mėnesius trukusio kraujo krešulio gydymo, gydytojas gali nuspręsti tęsti gydymą ir skirti po vieną 10 mg tabletę kartą per parą arba po vieną 20 mg tabletę kartą per parą. </w:t>
      </w:r>
    </w:p>
    <w:p w14:paraId="223167F9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 w:right="-2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Jeigu Jūsų inkstų funkcija sutrikusi ir Jūs vartojate po vieną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20 mg tabletę kartą per parą, gydytojas gali nuspręsti po trijų savaičių sumažinti dozę iki vienos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15 mg tabletės vieną kartą per parą, jei kraujavimo rizika didesnė negu naujo krešulio susidarymo rizika. </w:t>
      </w:r>
    </w:p>
    <w:p w14:paraId="5C6E930C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90C1A2A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Vaikams ir paaugliams</w:t>
      </w:r>
    </w:p>
    <w:p w14:paraId="005478D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dozė priklauso nuo kūno svorio ir ją nustatys gydytojas.</w:t>
      </w:r>
    </w:p>
    <w:p w14:paraId="43AC2000" w14:textId="77777777" w:rsidR="001B09A9" w:rsidRPr="001B09A9" w:rsidRDefault="001B09A9" w:rsidP="001B09A9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Vaikams ir paaugliams, kurių </w:t>
      </w:r>
      <w:r w:rsidRPr="001B09A9">
        <w:rPr>
          <w:rFonts w:eastAsia="Times New Roman"/>
          <w:b/>
          <w:kern w:val="0"/>
          <w:szCs w:val="20"/>
          <w14:ligatures w14:val="none"/>
        </w:rPr>
        <w:t>kūno svoris yra tarp 30 kg ir 50 kg</w:t>
      </w:r>
      <w:r w:rsidRPr="001B09A9">
        <w:rPr>
          <w:rFonts w:eastAsia="Times New Roman"/>
          <w:kern w:val="0"/>
          <w:szCs w:val="20"/>
          <w14:ligatures w14:val="none"/>
        </w:rPr>
        <w:t xml:space="preserve"> yra viena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15 mg tabletė</w:t>
      </w:r>
      <w:r w:rsidRPr="001B09A9">
        <w:rPr>
          <w:rFonts w:eastAsia="Times New Roman"/>
          <w:kern w:val="0"/>
          <w:szCs w:val="20"/>
          <w14:ligatures w14:val="none"/>
        </w:rPr>
        <w:t xml:space="preserve"> vieną kartą per parą.</w:t>
      </w:r>
    </w:p>
    <w:p w14:paraId="3D5488AD" w14:textId="77777777" w:rsidR="001B09A9" w:rsidRPr="001B09A9" w:rsidRDefault="001B09A9" w:rsidP="001B09A9">
      <w:pPr>
        <w:numPr>
          <w:ilvl w:val="0"/>
          <w:numId w:val="23"/>
        </w:numPr>
        <w:tabs>
          <w:tab w:val="left" w:pos="567"/>
        </w:tabs>
        <w:snapToGrid w:val="0"/>
        <w:spacing w:after="0" w:line="240" w:lineRule="auto"/>
        <w:ind w:left="567" w:right="-2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Vaikams ir paaugliams, kurių kūno svoris yra </w:t>
      </w:r>
      <w:r w:rsidRPr="001B09A9">
        <w:rPr>
          <w:rFonts w:eastAsia="Times New Roman"/>
          <w:b/>
          <w:kern w:val="0"/>
          <w:szCs w:val="20"/>
          <w14:ligatures w14:val="none"/>
        </w:rPr>
        <w:t>50 kg arba daugiau</w:t>
      </w:r>
      <w:r w:rsidRPr="001B09A9">
        <w:rPr>
          <w:rFonts w:eastAsia="Times New Roman"/>
          <w:kern w:val="0"/>
          <w:szCs w:val="20"/>
          <w14:ligatures w14:val="none"/>
        </w:rPr>
        <w:t xml:space="preserve"> yra viena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20 mg tabletė </w:t>
      </w:r>
      <w:r w:rsidRPr="001B09A9">
        <w:rPr>
          <w:rFonts w:eastAsia="Times New Roman"/>
          <w:kern w:val="0"/>
          <w:szCs w:val="20"/>
          <w14:ligatures w14:val="none"/>
        </w:rPr>
        <w:t>vieną kartą per parą.</w:t>
      </w:r>
    </w:p>
    <w:p w14:paraId="6F0C338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reikia užsigerti skysčiu (pvz., vandeniu arba sultimis) valgymo metu. Gerkite tabletes kasdien maždaug tuo pačiu laiku. Apsvarstykite galimybę nustatyti signalą, kuris tai primintų. Tėvams arba globėjams: stebėkite vaiką ir įsitikinkite, kad išgėrė visą dozę. </w:t>
      </w:r>
    </w:p>
    <w:p w14:paraId="4222BF3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4A0E0807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Kadangi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dozė pagrįsta kūno svoriu, svarbu reguliariai lankytis pas gydytoją, nes, pasikeitus svoriui, gali prireikti koreguoti vaisto dozę.</w:t>
      </w:r>
    </w:p>
    <w:p w14:paraId="1756E217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Niekada netikslinkite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dozės savo nuožiūra.</w:t>
      </w:r>
      <w:r w:rsidRPr="001B09A9">
        <w:rPr>
          <w:rFonts w:eastAsia="Times New Roman"/>
          <w:kern w:val="0"/>
          <w:szCs w:val="20"/>
          <w14:ligatures w14:val="none"/>
        </w:rPr>
        <w:t xml:space="preserve"> Jei reikės, tai atliks gydytojas.</w:t>
      </w:r>
    </w:p>
    <w:p w14:paraId="7B2C554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6ECFBB10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Neskaldykite tabletės, kad gautumėte dalį tabletės dozės. Jei reikia mažesnės dozės, yra kitokių vaisto formų. Vaikams ir paaugliams, kurie negali nuryti visos tabletės, vartokite kitą vaisto formą.</w:t>
      </w:r>
    </w:p>
    <w:p w14:paraId="324838D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 kitos vaisto formos neprieinamos, jūs galite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tabletę susmulkinti ir prieš pat vartojimą sumaišyti su vandeniu arba obuolių tyre. Išgėrus tokio mišinio reikia nedelsiant pavalgyti. Jei reikia, gydytojas gali Jums paskirti vartoti susmulkintą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tabletę per skrandžio zondą.</w:t>
      </w:r>
    </w:p>
    <w:p w14:paraId="17B97CD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41F699FF" w14:textId="77777777" w:rsidR="001B09A9" w:rsidRPr="001B09A9" w:rsidRDefault="001B09A9" w:rsidP="001B09A9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Calibri"/>
          <w:b/>
          <w:kern w:val="0"/>
          <w:szCs w:val="20"/>
          <w14:ligatures w14:val="none"/>
        </w:rPr>
      </w:pPr>
      <w:r w:rsidRPr="001B09A9">
        <w:rPr>
          <w:rFonts w:eastAsia="Calibri"/>
          <w:b/>
          <w:kern w:val="0"/>
          <w:szCs w:val="20"/>
          <w14:ligatures w14:val="none"/>
        </w:rPr>
        <w:t>Jei išspjovėte vaisto dozę arba vėmėte</w:t>
      </w:r>
    </w:p>
    <w:p w14:paraId="2C7EA255" w14:textId="77777777" w:rsidR="001B09A9" w:rsidRPr="001B09A9" w:rsidRDefault="001B09A9" w:rsidP="001B09A9">
      <w:pPr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Calibri"/>
          <w:kern w:val="0"/>
          <w:szCs w:val="20"/>
          <w14:ligatures w14:val="none"/>
        </w:rPr>
      </w:pPr>
      <w:bookmarkStart w:id="2" w:name="_Hlk97199891"/>
      <w:r w:rsidRPr="001B09A9">
        <w:rPr>
          <w:rFonts w:eastAsia="Calibri"/>
          <w:kern w:val="0"/>
          <w:szCs w:val="20"/>
          <w14:ligatures w14:val="none"/>
        </w:rPr>
        <w:t xml:space="preserve">Praėjus mažiau kaip 30 minučių po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Calibri"/>
          <w:kern w:val="0"/>
          <w:szCs w:val="20"/>
          <w14:ligatures w14:val="none"/>
        </w:rPr>
        <w:t>vartojimo, reikia išgerti naują dozę</w:t>
      </w:r>
      <w:bookmarkEnd w:id="2"/>
      <w:r w:rsidRPr="001B09A9">
        <w:rPr>
          <w:rFonts w:eastAsia="Calibri"/>
          <w:kern w:val="0"/>
          <w:szCs w:val="20"/>
          <w14:ligatures w14:val="none"/>
        </w:rPr>
        <w:t xml:space="preserve">; </w:t>
      </w:r>
    </w:p>
    <w:p w14:paraId="1126506D" w14:textId="77777777" w:rsidR="001B09A9" w:rsidRPr="001B09A9" w:rsidRDefault="001B09A9" w:rsidP="001B09A9">
      <w:pPr>
        <w:numPr>
          <w:ilvl w:val="0"/>
          <w:numId w:val="24"/>
        </w:num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ind w:left="567" w:hanging="567"/>
        <w:rPr>
          <w:rFonts w:eastAsia="Calibri"/>
          <w:kern w:val="0"/>
          <w:szCs w:val="20"/>
          <w14:ligatures w14:val="none"/>
        </w:rPr>
      </w:pPr>
      <w:r w:rsidRPr="001B09A9">
        <w:rPr>
          <w:rFonts w:eastAsia="Calibri"/>
          <w:kern w:val="0"/>
          <w:szCs w:val="20"/>
          <w14:ligatures w14:val="none"/>
        </w:rPr>
        <w:t xml:space="preserve">Praėjus daugiau kaip 30 minučių po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Calibri"/>
          <w:kern w:val="0"/>
          <w:szCs w:val="20"/>
          <w14:ligatures w14:val="none"/>
        </w:rPr>
        <w:t xml:space="preserve">vartojimo, naujos dozės vartoti </w:t>
      </w:r>
      <w:r w:rsidRPr="001B09A9">
        <w:rPr>
          <w:rFonts w:eastAsia="Calibri"/>
          <w:b/>
          <w:kern w:val="0"/>
          <w:szCs w:val="20"/>
          <w14:ligatures w14:val="none"/>
        </w:rPr>
        <w:t>negalima</w:t>
      </w:r>
      <w:r w:rsidRPr="001B09A9">
        <w:rPr>
          <w:rFonts w:eastAsia="Calibri"/>
          <w:kern w:val="0"/>
          <w:szCs w:val="20"/>
          <w14:ligatures w14:val="none"/>
        </w:rPr>
        <w:t xml:space="preserve">. Tokiu atveju kitą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Calibri"/>
          <w:kern w:val="0"/>
          <w:szCs w:val="20"/>
          <w14:ligatures w14:val="none"/>
        </w:rPr>
        <w:t>dozę reikia išgerti įprastu laiku.</w:t>
      </w:r>
    </w:p>
    <w:p w14:paraId="05E82C4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bookmarkStart w:id="3" w:name="_Hlk97199993"/>
      <w:r w:rsidRPr="001B09A9">
        <w:rPr>
          <w:rFonts w:eastAsia="Times New Roman"/>
          <w:kern w:val="0"/>
          <w:szCs w:val="20"/>
          <w14:ligatures w14:val="none"/>
        </w:rPr>
        <w:lastRenderedPageBreak/>
        <w:t xml:space="preserve">Jei pavartoję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kelis kartus išspjovėte vaisto dozę ar vėmėte</w:t>
      </w:r>
      <w:bookmarkEnd w:id="3"/>
      <w:r w:rsidRPr="001B09A9">
        <w:rPr>
          <w:rFonts w:eastAsia="Times New Roman"/>
          <w:kern w:val="0"/>
          <w:szCs w:val="20"/>
          <w14:ligatures w14:val="none"/>
        </w:rPr>
        <w:t>, kreipkitės į gydytoją.</w:t>
      </w:r>
    </w:p>
    <w:p w14:paraId="36F69E7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E2A27C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2245C4E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Kada vartoti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699ECAAC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Gerkite tabletę(-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) kasdien, kol gydytojas pasakys, kada nustoti. </w:t>
      </w:r>
    </w:p>
    <w:p w14:paraId="0BD207A6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Stenkitės vartoti tabletę(-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es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) tuo pačiu laiku kiekvieną dieną, nes taip geriau prisiminsite. </w:t>
      </w:r>
    </w:p>
    <w:p w14:paraId="137C12A5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Jūsų gydytojas nuspręs, kiek laiko reikės tęsti gydymą. </w:t>
      </w:r>
    </w:p>
    <w:p w14:paraId="19E4054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BAB5D9E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Kraujo krešulių smegenyse (insulto) ir kitose kraujagyslėse prevencijai: </w:t>
      </w:r>
    </w:p>
    <w:p w14:paraId="583354A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Jūsų širdies ritmas turi būti normalizuotas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kardioversijos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procedūros metu, vartokite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tada, kai Jums liepia gydytojas.</w:t>
      </w:r>
    </w:p>
    <w:p w14:paraId="44439E3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7118FD5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Pamiršus pavartoti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66BAF0C1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Suaugusieji, paaugliai ir vaikai</w:t>
      </w:r>
    </w:p>
    <w:p w14:paraId="2CB2FE59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vartojate 20 mg arba 15 mg tabletę </w:t>
      </w:r>
      <w:r w:rsidRPr="001B09A9">
        <w:rPr>
          <w:rFonts w:eastAsia="Times New Roman"/>
          <w:kern w:val="0"/>
          <w:szCs w:val="20"/>
          <w:u w:val="single"/>
          <w14:ligatures w14:val="none"/>
        </w:rPr>
        <w:t>vieną kartą</w:t>
      </w:r>
      <w:r w:rsidRPr="001B09A9">
        <w:rPr>
          <w:rFonts w:eastAsia="Times New Roman"/>
          <w:kern w:val="0"/>
          <w:szCs w:val="20"/>
          <w14:ligatures w14:val="none"/>
        </w:rPr>
        <w:t xml:space="preserve"> per parą ir pamiršote pavartoti tabletę, suvartokite ją iš karto, kai tik tai prisimenate. </w:t>
      </w:r>
      <w:r w:rsidRPr="001B09A9">
        <w:rPr>
          <w:rFonts w:eastAsia="Times New Roman"/>
          <w:b/>
          <w:bCs/>
          <w:kern w:val="0"/>
          <w:szCs w:val="20"/>
          <w14:ligatures w14:val="none"/>
        </w:rPr>
        <w:t xml:space="preserve">Negalima </w:t>
      </w:r>
      <w:r w:rsidRPr="001B09A9">
        <w:rPr>
          <w:rFonts w:eastAsia="Times New Roman"/>
          <w:kern w:val="0"/>
          <w:szCs w:val="20"/>
          <w14:ligatures w14:val="none"/>
        </w:rPr>
        <w:t xml:space="preserve">vartoti dvigubos dozės norint kompensuoti praleistą dozę. Kitą tabletę gerkite kitą dieną ir po to vartokite vieną tabletę per parą, kaip įprastai. </w:t>
      </w:r>
    </w:p>
    <w:p w14:paraId="69D454D3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Suaugusieji</w:t>
      </w:r>
    </w:p>
    <w:p w14:paraId="11C72136" w14:textId="77777777" w:rsidR="001B09A9" w:rsidRPr="001B09A9" w:rsidRDefault="001B09A9" w:rsidP="001B09A9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Jeigu vartojate 15 mg tabletę </w:t>
      </w:r>
      <w:r w:rsidRPr="001B09A9">
        <w:rPr>
          <w:rFonts w:eastAsia="Times New Roman"/>
          <w:kern w:val="0"/>
          <w:szCs w:val="20"/>
          <w:u w:val="single"/>
          <w14:ligatures w14:val="none"/>
        </w:rPr>
        <w:t>du kartus</w:t>
      </w:r>
      <w:r w:rsidRPr="001B09A9">
        <w:rPr>
          <w:rFonts w:eastAsia="Times New Roman"/>
          <w:kern w:val="0"/>
          <w:szCs w:val="20"/>
          <w14:ligatures w14:val="none"/>
        </w:rPr>
        <w:t xml:space="preserve"> per parą ir pamiršote pavartoti tabletę, suvartokite ją iš karto, kai tik tai prisiminsite.</w:t>
      </w:r>
      <w:r w:rsidRPr="001B09A9">
        <w:rPr>
          <w:rFonts w:eastAsia="Times New Roman"/>
          <w:b/>
          <w:bCs/>
          <w:kern w:val="0"/>
          <w:szCs w:val="20"/>
          <w14:ligatures w14:val="none"/>
        </w:rPr>
        <w:t xml:space="preserve"> Negalima </w:t>
      </w:r>
      <w:r w:rsidRPr="001B09A9">
        <w:rPr>
          <w:rFonts w:eastAsia="Times New Roman"/>
          <w:kern w:val="0"/>
          <w:szCs w:val="20"/>
          <w14:ligatures w14:val="none"/>
        </w:rPr>
        <w:t>vartoti daugiau nei dviejų 15 mg tablečių per parą. Jeigu pamiršote pavartoti dozę, galite suvartoti dvi 1  mg tabletes tuo pačiu metu, kad iš viso per parą būtų suvartotos 2 tabletės (30 mg). Kitą dieną tęskite 15 mg tabletės vartojimą 2 kartus per parą.</w:t>
      </w:r>
    </w:p>
    <w:p w14:paraId="1F51C01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1E42803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Ką daryti pavartojus per didelę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dozę? </w:t>
      </w:r>
    </w:p>
    <w:p w14:paraId="783E1D6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Cs/>
          <w:kern w:val="0"/>
          <w:szCs w:val="20"/>
          <w14:ligatures w14:val="none"/>
        </w:rPr>
        <w:t>Nedelsdami</w:t>
      </w:r>
      <w:r w:rsidRPr="001B09A9">
        <w:rPr>
          <w:rFonts w:eastAsia="Times New Roman"/>
          <w:kern w:val="0"/>
          <w:szCs w:val="20"/>
          <w14:ligatures w14:val="none"/>
        </w:rPr>
        <w:t xml:space="preserve"> kreipkitės į gydytoją, jeigu pavartojote per daug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tablečių. Pavartojus per daug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, padidėja kraujavimo rizika.</w:t>
      </w:r>
    </w:p>
    <w:p w14:paraId="01FB5E6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23604DE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outlineLvl w:val="0"/>
        <w:rPr>
          <w:rFonts w:eastAsia="Times New Roman"/>
          <w:b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Nustojus vartoti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4098BC1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vartojimo, nepasitarus su gydytoju, </w:t>
      </w:r>
      <w:r w:rsidRPr="001B09A9">
        <w:rPr>
          <w:rFonts w:eastAsia="Times New Roman"/>
          <w:b/>
          <w:bCs/>
          <w:kern w:val="0"/>
          <w:szCs w:val="20"/>
          <w14:ligatures w14:val="none"/>
        </w:rPr>
        <w:t>nutraukti negalima</w:t>
      </w:r>
      <w:r w:rsidRPr="001B09A9">
        <w:rPr>
          <w:rFonts w:eastAsia="Times New Roman"/>
          <w:kern w:val="0"/>
          <w:szCs w:val="20"/>
          <w14:ligatures w14:val="none"/>
        </w:rPr>
        <w:t xml:space="preserve">, nes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apsaugo nuo sunkių būklių. </w:t>
      </w:r>
    </w:p>
    <w:p w14:paraId="3E7542F5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3396811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Jeigu kiltų daugiau klausimų dėl šio vaisto vartojimo, kreipkitės į gydytoją arba vaistininką.</w:t>
      </w:r>
    </w:p>
    <w:p w14:paraId="2FE3A2F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</w:p>
    <w:p w14:paraId="4AEF42A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57DDF775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Galimas šalutinis poveikis</w:t>
      </w:r>
    </w:p>
    <w:p w14:paraId="796B3312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2093252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Šis vaistas, kaip ir visi kiti, gali sukelti šalutinį poveikį, nors jis pasireiškia ne visiems žmonėms.</w:t>
      </w:r>
    </w:p>
    <w:p w14:paraId="48048342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702C691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Kaip ir kiti panašūs vaistai, slopinantys kraujo krešulių susidarymą,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gali sukelti kraujavimą, galintį kelti pavojų gyvybei. Gausiai kraujuojant, gali staigiai nukristi kraujospūdis (išsivystyti šokas). Kai kuriais atvejais kraujavimas gali būti nepastebimas. </w:t>
      </w:r>
    </w:p>
    <w:p w14:paraId="72C9A48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:szCs w:val="20"/>
          <w14:ligatures w14:val="none"/>
        </w:rPr>
      </w:pPr>
    </w:p>
    <w:p w14:paraId="3CBA8A6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Nedelsdami pasakykite  gydytojui, jei jūsų vaikui pasireiškia bet kuris iš šių šalutinių poveikių.</w:t>
      </w:r>
    </w:p>
    <w:p w14:paraId="5B5CF29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Kraujavimo požymiai:</w:t>
      </w:r>
    </w:p>
    <w:p w14:paraId="17D2EB17" w14:textId="77777777" w:rsidR="001B09A9" w:rsidRPr="001B09A9" w:rsidRDefault="001B09A9" w:rsidP="001B09A9">
      <w:pPr>
        <w:numPr>
          <w:ilvl w:val="0"/>
          <w:numId w:val="2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smegenis arba į kaukolės vidų (galimi simptomai yra galvos skausmas, vienos kūno pusės silpnumas, vėmimas, traukuliai, sąmonės pritemimas, sprando sąstingis). Tai sunki skubios medicinos pagalbos reikalaujanti būklė. Reikia nedelsiant kreiptis skubios medicinos pagalbos!; </w:t>
      </w:r>
    </w:p>
    <w:p w14:paraId="1191843C" w14:textId="77777777" w:rsidR="001B09A9" w:rsidRPr="001B09A9" w:rsidRDefault="001B09A9" w:rsidP="001B09A9">
      <w:pPr>
        <w:numPr>
          <w:ilvl w:val="0"/>
          <w:numId w:val="9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ilgai trunkantis ar gausus kraujavimas; </w:t>
      </w:r>
    </w:p>
    <w:p w14:paraId="168AB217" w14:textId="77777777" w:rsidR="001B09A9" w:rsidRPr="001B09A9" w:rsidRDefault="001B09A9" w:rsidP="001B09A9">
      <w:pPr>
        <w:numPr>
          <w:ilvl w:val="0"/>
          <w:numId w:val="9"/>
        </w:numPr>
        <w:tabs>
          <w:tab w:val="left" w:pos="567"/>
        </w:tabs>
        <w:snapToGrid w:val="0"/>
        <w:spacing w:after="0" w:line="240" w:lineRule="auto"/>
        <w:ind w:left="567" w:right="-29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neįprastas silpnumas, nuovargis, blyškumas, svaigulys, galvos skausmas, nepaaiškinamas tinimas, dusulys, krūtinės skausmas arba krūtinės angina, kurie gali būti kraujavimo požymiai. </w:t>
      </w:r>
    </w:p>
    <w:p w14:paraId="61DEC9F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9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Jūsų gydytojas gali nuspręsti Jus atidžiau stebėti arba pakeisti gydymą.</w:t>
      </w:r>
    </w:p>
    <w:p w14:paraId="3AF7BA2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4CACB8A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Sunkios odos reakcijos požymiai</w:t>
      </w:r>
      <w:r w:rsidRPr="001B09A9">
        <w:rPr>
          <w:rFonts w:eastAsia="Times New Roman"/>
          <w:kern w:val="0"/>
          <w:szCs w:val="20"/>
          <w14:ligatures w14:val="none"/>
        </w:rPr>
        <w:t>:</w:t>
      </w:r>
    </w:p>
    <w:p w14:paraId="193442F2" w14:textId="77777777" w:rsidR="001B09A9" w:rsidRPr="001B09A9" w:rsidRDefault="001B09A9" w:rsidP="001B09A9">
      <w:pPr>
        <w:numPr>
          <w:ilvl w:val="0"/>
          <w:numId w:val="1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>plintantis intensyvus odos išbėrimas, pūslės arba gleivinių pažeidimai, pvz., burnos arba akių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Stivenso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-Džonsono (angl.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Stevens-Johnson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 sindromas arba toksinė epidermio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nekrolizė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); </w:t>
      </w:r>
    </w:p>
    <w:p w14:paraId="04F90FD1" w14:textId="77777777" w:rsidR="001B09A9" w:rsidRPr="001B09A9" w:rsidRDefault="001B09A9" w:rsidP="001B09A9">
      <w:pPr>
        <w:numPr>
          <w:ilvl w:val="0"/>
          <w:numId w:val="1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vaisto sukeltas išbėrimas, karščiavimas, vidaus organų uždegimas, kraujo rodiklių pokyčiai ir sisteminiai simptomai (</w:t>
      </w:r>
      <w:r w:rsidRPr="001B09A9">
        <w:rPr>
          <w:rFonts w:eastAsia="Times New Roman"/>
          <w:i/>
          <w:iCs/>
          <w:kern w:val="0"/>
          <w:szCs w:val="20"/>
          <w:lang w:eastAsia="lt-LT" w:bidi="lt-LT"/>
          <w14:ligatures w14:val="none"/>
        </w:rPr>
        <w:t>DRESS</w:t>
      </w: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sindromas). </w:t>
      </w:r>
    </w:p>
    <w:p w14:paraId="61E0667E" w14:textId="77777777" w:rsidR="001B09A9" w:rsidRPr="001B09A9" w:rsidRDefault="001B09A9" w:rsidP="001B09A9">
      <w:pPr>
        <w:numPr>
          <w:ilvl w:val="0"/>
          <w:numId w:val="10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Šių šalutinio poveikio reakcijų dažnis yra labai retas (gali pasireikšti rečiau kaip 1 iš 10 000 asmenų). </w:t>
      </w:r>
    </w:p>
    <w:p w14:paraId="78C8D7FF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360" w:right="-2"/>
        <w:rPr>
          <w:rFonts w:eastAsia="Times New Roman"/>
          <w:kern w:val="0"/>
          <w:szCs w:val="20"/>
          <w14:ligatures w14:val="none"/>
        </w:rPr>
      </w:pPr>
    </w:p>
    <w:p w14:paraId="4C1344E0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Sunkių alerginių reakcijų požymiai: </w:t>
      </w:r>
    </w:p>
    <w:p w14:paraId="1A462D4E" w14:textId="77777777" w:rsidR="001B09A9" w:rsidRPr="001B09A9" w:rsidRDefault="001B09A9" w:rsidP="001B09A9">
      <w:pPr>
        <w:numPr>
          <w:ilvl w:val="0"/>
          <w:numId w:val="24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veido, lūpų, burnos, liežuvio ir ryklės tinimas, apsunkintas rijimas, dilgėlinė ir apsunkintas kvėpavimas, staigus kraujospūdžio sumažėjimas. Šių sunkių alerginių reakcijų  dažnis yra labai retas (anafilaksinės reakcijos, įskaitant anafilaksinį šoką; gali pasireikšti rečiau kaip 1 iš 10 000 asmenų) ir nedažnas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angioneurozinė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ir alerginė edema; gali pasireikšti rečiau kaip 1 iš 100 asmenų). </w:t>
      </w:r>
    </w:p>
    <w:p w14:paraId="1144BA5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14AD6D8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Visas galimų šalutinių poveikių suaugusiesiems, vaikams ir paaugliams sąrašas </w:t>
      </w:r>
    </w:p>
    <w:p w14:paraId="5C4EB5C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kern w:val="0"/>
          <w:szCs w:val="20"/>
          <w14:ligatures w14:val="none"/>
        </w:rPr>
      </w:pPr>
    </w:p>
    <w:p w14:paraId="52A114F8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360" w:right="-2" w:hanging="36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Dažni šalutinio poveikio reiškiniai </w:t>
      </w:r>
      <w:r w:rsidRPr="001B09A9">
        <w:rPr>
          <w:rFonts w:eastAsia="Times New Roman"/>
          <w:kern w:val="0"/>
          <w:szCs w:val="20"/>
          <w14:ligatures w14:val="none"/>
        </w:rPr>
        <w:t xml:space="preserve">(gali pasireikšti rečiau kaip 1 iš 10 asmenų) </w:t>
      </w:r>
    </w:p>
    <w:p w14:paraId="08AE6156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raudonųjų kraujo ląstelių kiekio sumažėjimas, dėl kurio oda gali būti blyški, o Jūs galite jausti silpnumą ar dusulį; </w:t>
      </w:r>
    </w:p>
    <w:p w14:paraId="24D8E1A8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iš skrandžio ar žarnyno, kraujavimas iš šlapimo ir lytinių organų (įskaitant kraują šlapime ir gausų mėnesinių kraujavimą), kraujavimas iš nosies, kraujavimas iš dantenų; </w:t>
      </w:r>
    </w:p>
    <w:p w14:paraId="2F55B376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akį (įskaitant kraujavimą iš akies baltymo); </w:t>
      </w:r>
    </w:p>
    <w:p w14:paraId="05D29003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audinius arba kūno ertmes (kraujosruvos, mėlynės); </w:t>
      </w:r>
    </w:p>
    <w:p w14:paraId="79EB63E8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atkosėjimas; </w:t>
      </w:r>
    </w:p>
    <w:p w14:paraId="5664AA8C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odą arba po oda; </w:t>
      </w:r>
    </w:p>
    <w:p w14:paraId="6EEFB305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po operacijos; </w:t>
      </w:r>
    </w:p>
    <w:p w14:paraId="7CB3B1D0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ar skysčio sunkimasis iš chirurginės žaizdos; </w:t>
      </w:r>
    </w:p>
    <w:p w14:paraId="14B96117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galūnių tinimas; </w:t>
      </w:r>
    </w:p>
    <w:p w14:paraId="26CE71D2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galūnių skausmas; </w:t>
      </w:r>
    </w:p>
    <w:p w14:paraId="58F13D2F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sutrikusi inkstų funkcija (gydytojas tai gali nustatyti atlikęs tyrimus); </w:t>
      </w:r>
    </w:p>
    <w:p w14:paraId="39C5213F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karščiavimas; </w:t>
      </w:r>
    </w:p>
    <w:p w14:paraId="5A993A50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skrandžio skausmas,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nevirškinimo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pojūtis, pykinimas, vėmimas, vidurių užkietėjimas, viduriavimas; </w:t>
      </w:r>
    </w:p>
    <w:p w14:paraId="435EF364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sumažėjęs kraujospūdis (simptomai gali būti svaigulio jausmas ar alpimas stojantis); </w:t>
      </w:r>
    </w:p>
    <w:p w14:paraId="2CAC257C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jėgos ir energijos sumažėjimas (silpnumas, nuovargis), galvos skausmas, svaigulys;</w:t>
      </w:r>
    </w:p>
    <w:p w14:paraId="6326DDF0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išbėrimas, odos niežėjimas; </w:t>
      </w:r>
    </w:p>
    <w:p w14:paraId="651D1C7F" w14:textId="77777777" w:rsidR="001B09A9" w:rsidRPr="001B09A9" w:rsidRDefault="001B09A9" w:rsidP="001B09A9">
      <w:pPr>
        <w:numPr>
          <w:ilvl w:val="0"/>
          <w:numId w:val="11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tyrimai gali rodyti kai kurių kepenų fermentų aktyvumo padidėjimą. </w:t>
      </w:r>
    </w:p>
    <w:p w14:paraId="28DB2BF3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7B31CDC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Nedažni šalutinio poveikio reiškiniai </w:t>
      </w:r>
      <w:r w:rsidRPr="001B09A9">
        <w:rPr>
          <w:rFonts w:eastAsia="Times New Roman"/>
          <w:kern w:val="0"/>
          <w:szCs w:val="20"/>
          <w14:ligatures w14:val="none"/>
        </w:rPr>
        <w:t>(gali pasireikšti rečiau 1 iš 100 asmenų)</w:t>
      </w:r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40AF8C6E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smegenis ar į kaukolės vidų (žr. aukščiau išvardytus kraujavimo požymius); </w:t>
      </w:r>
    </w:p>
    <w:p w14:paraId="29AB22AB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kraujavimas į sąnarius, sukeliantis skausmą ir tinimą;</w:t>
      </w:r>
    </w:p>
    <w:p w14:paraId="255DB145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trombocitopenija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(trombocitų – kraujo plokštelių, kurios padeda kraujyje susidaryti krešuliui, sumažėjimas); </w:t>
      </w:r>
    </w:p>
    <w:p w14:paraId="166671EB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alerginės reakcijos, įskaitant alergines odos reakcijas; </w:t>
      </w:r>
    </w:p>
    <w:p w14:paraId="732D13A4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sutrikusi kepenų funkcija (gydytojas tai gali nustatyti atlikęs tyrimus); </w:t>
      </w:r>
    </w:p>
    <w:p w14:paraId="23578187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kraujo tyrimai gali rodyti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bilirubino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kai kurių kasos ar kepenų fermentų aktyvumo arba trombocitų plokštelių skaičiaus padidėjimą; </w:t>
      </w:r>
    </w:p>
    <w:p w14:paraId="6F10D0C3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alpimas; </w:t>
      </w:r>
    </w:p>
    <w:p w14:paraId="7325B5EF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bloga savijauta; </w:t>
      </w:r>
    </w:p>
    <w:p w14:paraId="08C17DA6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pagreitėjęs širdies plakimas;</w:t>
      </w:r>
    </w:p>
    <w:p w14:paraId="01FE0B78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burnos džiūvimas; </w:t>
      </w:r>
    </w:p>
    <w:p w14:paraId="0A0ABCFC" w14:textId="77777777" w:rsidR="001B09A9" w:rsidRPr="001B09A9" w:rsidRDefault="001B09A9" w:rsidP="001B09A9">
      <w:pPr>
        <w:numPr>
          <w:ilvl w:val="0"/>
          <w:numId w:val="25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dilgėlinė. </w:t>
      </w:r>
    </w:p>
    <w:p w14:paraId="5900C07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0CE4EA3F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Reti šalutinio poveikio reiškiniai</w:t>
      </w:r>
      <w:r w:rsidRPr="001B09A9">
        <w:rPr>
          <w:rFonts w:eastAsia="Times New Roman"/>
          <w:kern w:val="0"/>
          <w:szCs w:val="20"/>
          <w14:ligatures w14:val="none"/>
        </w:rPr>
        <w:t xml:space="preserve"> (gali pasireikšti rečiau kaip 1 iš 1 000 asmenų) </w:t>
      </w:r>
    </w:p>
    <w:p w14:paraId="44FB2696" w14:textId="77777777" w:rsidR="001B09A9" w:rsidRPr="001B09A9" w:rsidRDefault="001B09A9" w:rsidP="001B09A9">
      <w:pPr>
        <w:numPr>
          <w:ilvl w:val="0"/>
          <w:numId w:val="12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į raumenis; </w:t>
      </w:r>
    </w:p>
    <w:p w14:paraId="72042F11" w14:textId="77777777" w:rsidR="001B09A9" w:rsidRPr="001B09A9" w:rsidRDefault="001B09A9" w:rsidP="001B09A9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cholestazė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(sumažėjęs tulžies nutekėjimas), hepatitas, įskaitant kepenų ląstelių pažeidimą (kepenų uždegimas, įskaitant kepenų pažeidimą); </w:t>
      </w:r>
    </w:p>
    <w:p w14:paraId="258E9291" w14:textId="77777777" w:rsidR="001B09A9" w:rsidRPr="001B09A9" w:rsidRDefault="001B09A9" w:rsidP="001B09A9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right="-2" w:hanging="567"/>
        <w:contextualSpacing/>
        <w:rPr>
          <w:rFonts w:ascii="TimesNewRoman" w:eastAsia="Times New Roman" w:hAnsi="TimesNewRoman" w:cs="TimesNewRoman"/>
          <w:b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lastRenderedPageBreak/>
        <w:t>odos ir akių pageltimas (gelta);</w:t>
      </w:r>
    </w:p>
    <w:p w14:paraId="69999406" w14:textId="77777777" w:rsidR="001B09A9" w:rsidRPr="001B09A9" w:rsidRDefault="001B09A9" w:rsidP="001B09A9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lokalus tinimas; </w:t>
      </w:r>
    </w:p>
    <w:p w14:paraId="43D091BB" w14:textId="77777777" w:rsidR="001B09A9" w:rsidRPr="001B09A9" w:rsidRDefault="001B09A9" w:rsidP="001B09A9">
      <w:pPr>
        <w:numPr>
          <w:ilvl w:val="0"/>
          <w:numId w:val="13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kraujo susikaupimas (hematoma) kirkšnyje – širdies procedūros, kai į kojos arteriją įterpiamas kateteris, komplikacija (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pseudoaneurizma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). </w:t>
      </w:r>
    </w:p>
    <w:p w14:paraId="33738DD3" w14:textId="77777777" w:rsidR="001B09A9" w:rsidRPr="001B09A9" w:rsidRDefault="001B09A9" w:rsidP="001B09A9">
      <w:pPr>
        <w:tabs>
          <w:tab w:val="left" w:pos="567"/>
        </w:tabs>
        <w:spacing w:after="0" w:line="240" w:lineRule="auto"/>
        <w:ind w:left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</w:p>
    <w:p w14:paraId="731497CA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bCs/>
          <w:kern w:val="0"/>
          <w:szCs w:val="20"/>
          <w14:ligatures w14:val="none"/>
        </w:rPr>
      </w:pPr>
      <w:r w:rsidRPr="001B09A9">
        <w:rPr>
          <w:rFonts w:eastAsia="Times New Roman"/>
          <w:b/>
          <w:bCs/>
          <w:kern w:val="0"/>
          <w:szCs w:val="20"/>
          <w14:ligatures w14:val="none"/>
        </w:rPr>
        <w:t xml:space="preserve">Labai reti šalutinio poveikio reiškiniai </w:t>
      </w:r>
      <w:r w:rsidRPr="001B09A9">
        <w:rPr>
          <w:rFonts w:eastAsia="Times New Roman"/>
          <w:kern w:val="0"/>
          <w:szCs w:val="20"/>
          <w14:ligatures w14:val="none"/>
        </w:rPr>
        <w:t>(gali pasireikšti rečiau kaip 1 iš 10 000 asmenų)</w:t>
      </w:r>
    </w:p>
    <w:p w14:paraId="78100CCD" w14:textId="77777777" w:rsidR="001B09A9" w:rsidRPr="001B09A9" w:rsidRDefault="001B09A9" w:rsidP="001B09A9">
      <w:pPr>
        <w:numPr>
          <w:ilvl w:val="0"/>
          <w:numId w:val="1"/>
        </w:num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>eozinofilų</w:t>
      </w:r>
      <w:proofErr w:type="spellEnd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 xml:space="preserve"> (baltųjų </w:t>
      </w:r>
      <w:proofErr w:type="spellStart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>granulocitinių</w:t>
      </w:r>
      <w:proofErr w:type="spellEnd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 xml:space="preserve"> kraujo ląstelių rūšis)  kaupimasis,  kas sukelia uždegimą plaučiuose (</w:t>
      </w:r>
      <w:proofErr w:type="spellStart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>eozinofilinė</w:t>
      </w:r>
      <w:proofErr w:type="spellEnd"/>
      <w:r w:rsidRPr="001B09A9">
        <w:rPr>
          <w:rFonts w:eastAsia="Times New Roman"/>
          <w:color w:val="000000"/>
          <w:kern w:val="0"/>
          <w:lang w:eastAsia="en-GB"/>
          <w14:ligatures w14:val="none"/>
        </w:rPr>
        <w:t xml:space="preserve"> pneumonija). </w:t>
      </w:r>
    </w:p>
    <w:p w14:paraId="1AC80E6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07DC8D76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Šalutinio poveikio reiškiniai, kurių dažnis nežinomas</w:t>
      </w:r>
      <w:r w:rsidRPr="001B09A9">
        <w:rPr>
          <w:rFonts w:eastAsia="Times New Roman"/>
          <w:kern w:val="0"/>
          <w:szCs w:val="20"/>
          <w14:ligatures w14:val="none"/>
        </w:rPr>
        <w:t xml:space="preserve"> (negali būti apskaičiuotas pagal turimus duomenis) </w:t>
      </w:r>
    </w:p>
    <w:p w14:paraId="332BA2C3" w14:textId="77777777" w:rsidR="001B09A9" w:rsidRPr="001B09A9" w:rsidRDefault="001B09A9" w:rsidP="001B09A9">
      <w:pPr>
        <w:numPr>
          <w:ilvl w:val="0"/>
          <w:numId w:val="14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inkstų nepakankamumas po stipraus kraujavimo; </w:t>
      </w:r>
    </w:p>
    <w:p w14:paraId="2C0FE3D7" w14:textId="77777777" w:rsidR="001B09A9" w:rsidRPr="001B09A9" w:rsidRDefault="001B09A9" w:rsidP="001B09A9">
      <w:pPr>
        <w:numPr>
          <w:ilvl w:val="0"/>
          <w:numId w:val="14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kraujavimas iš inkstų, kartais su krauju šlapime, dėl kurio sutrinka normali inkstų veikla, </w:t>
      </w:r>
      <w:r w:rsidRPr="001B09A9">
        <w:rPr>
          <w:rFonts w:eastAsia="Times New Roman"/>
          <w:color w:val="000000"/>
          <w:kern w:val="0"/>
          <w:lang w:eastAsia="en-GB" w:bidi="lt-LT"/>
          <w14:ligatures w14:val="none"/>
        </w:rPr>
        <w:t xml:space="preserve">(su antikoaguliantais susijusi </w:t>
      </w:r>
      <w:proofErr w:type="spellStart"/>
      <w:r w:rsidRPr="001B09A9">
        <w:rPr>
          <w:rFonts w:eastAsia="Times New Roman"/>
          <w:color w:val="000000"/>
          <w:kern w:val="0"/>
          <w:lang w:eastAsia="en-GB" w:bidi="lt-LT"/>
          <w14:ligatures w14:val="none"/>
        </w:rPr>
        <w:t>nefropatija</w:t>
      </w:r>
      <w:proofErr w:type="spellEnd"/>
      <w:r w:rsidRPr="001B09A9">
        <w:rPr>
          <w:rFonts w:eastAsia="Times New Roman"/>
          <w:color w:val="000000"/>
          <w:kern w:val="0"/>
          <w:lang w:eastAsia="en-GB" w:bidi="lt-LT"/>
          <w14:ligatures w14:val="none"/>
        </w:rPr>
        <w:t>);</w:t>
      </w:r>
    </w:p>
    <w:p w14:paraId="78A47024" w14:textId="77777777" w:rsidR="001B09A9" w:rsidRPr="001B09A9" w:rsidRDefault="001B09A9" w:rsidP="001B09A9">
      <w:pPr>
        <w:numPr>
          <w:ilvl w:val="0"/>
          <w:numId w:val="15"/>
        </w:numPr>
        <w:tabs>
          <w:tab w:val="left" w:pos="567"/>
        </w:tabs>
        <w:snapToGrid w:val="0"/>
        <w:spacing w:after="0" w:line="240" w:lineRule="auto"/>
        <w:ind w:left="567" w:hanging="567"/>
        <w:contextualSpacing/>
        <w:outlineLvl w:val="0"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padidėjęs spaudimas kojų ar rankų raumenyse po kraujavimo, sukeliantis skausmą, tinimą, jutimo pokytį, gali pasireikšti tirpimas ar paralyžius (suspaudimo sindromas po kraujavimo).</w:t>
      </w:r>
    </w:p>
    <w:p w14:paraId="576F0864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</w:p>
    <w:p w14:paraId="59A1D325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Šalutinis poveikis, pasireiškiantis vaikams ir paaugliams</w:t>
      </w:r>
    </w:p>
    <w:p w14:paraId="302E2515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Apskritai, šalutinio poveikio atvejai, kurie pasitaikė vaikams ir paaugliams vartojant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buvo panašūs į tuos, kurie stebėti suaugusiesiems ir buvo lengvi arba vidutinio sunkumo.</w:t>
      </w:r>
    </w:p>
    <w:p w14:paraId="75516D05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4FD04337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Šalutinio poveikio atvejai, kurie vaikams ir paaugliams nustatyti dažniau:</w:t>
      </w:r>
    </w:p>
    <w:p w14:paraId="03AF6C20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7BD3C49D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bCs/>
          <w:kern w:val="0"/>
          <w:szCs w:val="20"/>
          <w14:ligatures w14:val="none"/>
        </w:rPr>
        <w:t>Labai dažni šalutinio poveikio reiškiniai</w:t>
      </w:r>
      <w:r w:rsidRPr="001B09A9">
        <w:rPr>
          <w:rFonts w:eastAsia="Times New Roman"/>
          <w:kern w:val="0"/>
          <w:szCs w:val="20"/>
          <w14:ligatures w14:val="none"/>
        </w:rPr>
        <w:t xml:space="preserve"> (gali pasireikšti dažniau kaip 1 iš 10 asmenų)</w:t>
      </w:r>
    </w:p>
    <w:p w14:paraId="062AB5B2" w14:textId="77777777" w:rsidR="001B09A9" w:rsidRPr="001B09A9" w:rsidRDefault="001B09A9" w:rsidP="001B09A9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galvos skausmas,</w:t>
      </w:r>
    </w:p>
    <w:p w14:paraId="2F892E7A" w14:textId="77777777" w:rsidR="001B09A9" w:rsidRPr="001B09A9" w:rsidRDefault="001B09A9" w:rsidP="001B09A9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karščiavimas,</w:t>
      </w:r>
    </w:p>
    <w:p w14:paraId="3CC8DCBB" w14:textId="77777777" w:rsidR="001B09A9" w:rsidRPr="001B09A9" w:rsidRDefault="001B09A9" w:rsidP="001B09A9">
      <w:pPr>
        <w:numPr>
          <w:ilvl w:val="0"/>
          <w:numId w:val="26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kraujavimas iš nosies, vėmimas.</w:t>
      </w:r>
    </w:p>
    <w:p w14:paraId="00C8C6AF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317AC566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Dažni šalutinio poveikio reiškiniai </w:t>
      </w:r>
      <w:r w:rsidRPr="001B09A9">
        <w:rPr>
          <w:rFonts w:eastAsia="Times New Roman"/>
          <w:kern w:val="0"/>
          <w:szCs w:val="20"/>
          <w14:ligatures w14:val="none"/>
        </w:rPr>
        <w:t xml:space="preserve">(gali pasireikšti rečiau kaip 1 iš 10 asmenų) </w:t>
      </w:r>
    </w:p>
    <w:p w14:paraId="4DF398C5" w14:textId="77777777" w:rsidR="001B09A9" w:rsidRPr="001B09A9" w:rsidRDefault="001B09A9" w:rsidP="001B09A9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dažnesnis širdies plakimas</w:t>
      </w:r>
    </w:p>
    <w:p w14:paraId="1538A42F" w14:textId="77777777" w:rsidR="001B09A9" w:rsidRPr="001B09A9" w:rsidRDefault="001B09A9" w:rsidP="001B09A9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kraujo tyrime gali būti nustatytas padidėjęs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(tulžies pigmento) kiekis</w:t>
      </w:r>
    </w:p>
    <w:p w14:paraId="38FF5C5E" w14:textId="77777777" w:rsidR="001B09A9" w:rsidRPr="001B09A9" w:rsidRDefault="001B09A9" w:rsidP="001B09A9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trombocitopenija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(mažas kraujo plokštelių, kurios padeda susidaryti kraujo krešuliui, kiekis) </w:t>
      </w:r>
    </w:p>
    <w:p w14:paraId="37874BF4" w14:textId="77777777" w:rsidR="001B09A9" w:rsidRPr="001B09A9" w:rsidRDefault="001B09A9" w:rsidP="001B09A9">
      <w:pPr>
        <w:numPr>
          <w:ilvl w:val="0"/>
          <w:numId w:val="27"/>
        </w:numPr>
        <w:tabs>
          <w:tab w:val="left" w:pos="567"/>
        </w:tabs>
        <w:snapToGrid w:val="0"/>
        <w:spacing w:after="0" w:line="240" w:lineRule="auto"/>
        <w:ind w:left="567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gausios mėnesinės.</w:t>
      </w:r>
    </w:p>
    <w:p w14:paraId="5C79A64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left="567"/>
        <w:outlineLvl w:val="0"/>
        <w:rPr>
          <w:rFonts w:eastAsia="Times New Roman"/>
          <w:kern w:val="0"/>
          <w:szCs w:val="20"/>
          <w14:ligatures w14:val="none"/>
        </w:rPr>
      </w:pPr>
    </w:p>
    <w:p w14:paraId="41EC0AEB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 xml:space="preserve">Nedažni šalutinio poveikio reiškiniai </w:t>
      </w:r>
      <w:r w:rsidRPr="001B09A9">
        <w:rPr>
          <w:rFonts w:eastAsia="Times New Roman"/>
          <w:kern w:val="0"/>
          <w:szCs w:val="20"/>
          <w14:ligatures w14:val="none"/>
        </w:rPr>
        <w:t>(gali pasireikšti rečiau kaip 1 iš 100 asmenų)</w:t>
      </w:r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</w:p>
    <w:p w14:paraId="176BA427" w14:textId="77777777" w:rsidR="001B09A9" w:rsidRPr="001B09A9" w:rsidRDefault="001B09A9" w:rsidP="001B09A9">
      <w:pPr>
        <w:numPr>
          <w:ilvl w:val="0"/>
          <w:numId w:val="28"/>
        </w:numPr>
        <w:tabs>
          <w:tab w:val="left" w:pos="567"/>
        </w:tabs>
        <w:snapToGrid w:val="0"/>
        <w:spacing w:after="0" w:line="240" w:lineRule="auto"/>
        <w:ind w:left="567" w:right="-2" w:hanging="567"/>
        <w:outlineLvl w:val="0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kraujo tyrime gali būti nustatytas padidėjęs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frakcijos (tiesioginio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bilirubino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, tulžies pigmento) kiekis.</w:t>
      </w:r>
    </w:p>
    <w:p w14:paraId="17852A49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kern w:val="0"/>
          <w:szCs w:val="20"/>
          <w14:ligatures w14:val="none"/>
        </w:rPr>
      </w:pPr>
    </w:p>
    <w:p w14:paraId="6AB3FC3F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outlineLvl w:val="0"/>
        <w:rPr>
          <w:rFonts w:eastAsia="Times New Roman"/>
          <w:b/>
          <w:kern w:val="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Pranešimas apie šalutinį poveikį</w:t>
      </w:r>
    </w:p>
    <w:p w14:paraId="15E0F2E7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ind w:right="-449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color w:val="000000"/>
          <w:kern w:val="0"/>
          <w14:ligatures w14:val="none"/>
        </w:rPr>
        <w:t xml:space="preserve">Jeigu pasireiškė šalutinis poveikis, įskaitant šiame lapelyje nenurodytą, pasakykite gydytojui arba vaistininkui. </w:t>
      </w:r>
      <w:r w:rsidRPr="001B09A9">
        <w:rPr>
          <w:rFonts w:eastAsia="Times New Roman"/>
          <w:kern w:val="0"/>
          <w:lang w:eastAsia="lt-LT"/>
          <w14:ligatures w14:val="none"/>
        </w:rPr>
        <w:t xml:space="preserve">Pranešimą apie šalutinį poveikį galite užpildyti ir pateikti Valstybinės vaistų kontrolės tarnybos prie Lietuvos Respublikos sveikatos apsaugos ministerijos tinklalapyje </w:t>
      </w:r>
      <w:r w:rsidRPr="001B09A9">
        <w:rPr>
          <w:rFonts w:eastAsia="Times New Roman"/>
          <w:color w:val="0000EE"/>
          <w:kern w:val="0"/>
          <w:szCs w:val="20"/>
          <w:u w:val="single"/>
          <w14:ligatures w14:val="none"/>
        </w:rPr>
        <w:t>https://vvkt.</w:t>
      </w:r>
      <w:r w:rsidRPr="001B09A9">
        <w:rPr>
          <w:rFonts w:eastAsia="Times New Roman"/>
          <w:color w:val="0000EE"/>
          <w:kern w:val="0"/>
          <w:u w:val="single"/>
          <w:lang w:eastAsia="lt-LT"/>
          <w14:ligatures w14:val="none"/>
        </w:rPr>
        <w:t>lrv.</w:t>
      </w:r>
      <w:r w:rsidRPr="001B09A9">
        <w:rPr>
          <w:rFonts w:eastAsia="Times New Roman"/>
          <w:color w:val="0000EE"/>
          <w:kern w:val="0"/>
          <w:szCs w:val="20"/>
          <w:u w:val="single"/>
          <w14:ligatures w14:val="none"/>
        </w:rPr>
        <w:t>lt/</w:t>
      </w:r>
      <w:r w:rsidRPr="001B09A9">
        <w:rPr>
          <w:rFonts w:eastAsia="Times New Roman"/>
          <w:color w:val="0000EE"/>
          <w:kern w:val="0"/>
          <w:u w:val="single"/>
          <w:lang w:eastAsia="lt-LT"/>
          <w14:ligatures w14:val="none"/>
        </w:rPr>
        <w:t>lt/</w:t>
      </w:r>
      <w:r w:rsidRPr="001B09A9">
        <w:rPr>
          <w:rFonts w:eastAsia="Times New Roman"/>
          <w:kern w:val="0"/>
          <w:lang w:eastAsia="lt-LT"/>
          <w14:ligatures w14:val="none"/>
        </w:rPr>
        <w:t xml:space="preserve"> nurodytais būdais arba paskambinti nemokamu telefonu +370 800 73 568.</w:t>
      </w:r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r w:rsidRPr="001B09A9">
        <w:rPr>
          <w:rFonts w:eastAsia="Times New Roman"/>
          <w:color w:val="000000"/>
          <w:kern w:val="0"/>
          <w14:ligatures w14:val="none"/>
        </w:rPr>
        <w:t>Pranešdami apie šalutinį poveikį galite mums padėti gauti daugiau informacijos apie šio vaisto saugumą.</w:t>
      </w:r>
    </w:p>
    <w:p w14:paraId="71D33E9D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ind w:right="-449"/>
        <w:rPr>
          <w:rFonts w:eastAsia="Times New Roman"/>
          <w:kern w:val="0"/>
          <w14:ligatures w14:val="none"/>
        </w:rPr>
      </w:pPr>
    </w:p>
    <w:p w14:paraId="5015FDCD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76B6898C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right="-2" w:hanging="2487"/>
        <w:contextualSpacing/>
        <w:rPr>
          <w:rFonts w:eastAsia="Times New Roman"/>
          <w:kern w:val="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Kaip laikyti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 xml:space="preserve"> </w:t>
      </w:r>
    </w:p>
    <w:p w14:paraId="53C7A529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D1805E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Šį vaistą laikykite vaikams nepastebimoje ir nepasiekiamoje vietoje.</w:t>
      </w:r>
    </w:p>
    <w:p w14:paraId="0DA7AAB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744C031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Ant dėžutės, lizdinės plokštelės arba buteliuko po „EXP“ nurodytam tinkamumo laikui pasibaigus, šio vaisto vartoti negalima. Vaistas tinkamas vartoti iki paskutinės nurodyto mėnesio dienos.</w:t>
      </w:r>
    </w:p>
    <w:p w14:paraId="2320864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31CCB068" w14:textId="77777777" w:rsidR="001B09A9" w:rsidRPr="001B09A9" w:rsidRDefault="001B09A9" w:rsidP="001B09A9">
      <w:pPr>
        <w:tabs>
          <w:tab w:val="left" w:pos="0"/>
          <w:tab w:val="left" w:pos="567"/>
        </w:tabs>
        <w:snapToGrid w:val="0"/>
        <w:spacing w:after="0" w:line="240" w:lineRule="auto"/>
        <w:ind w:right="-2"/>
        <w:rPr>
          <w:rFonts w:eastAsia="Times New Roman"/>
          <w:color w:val="000000"/>
          <w:kern w:val="0"/>
          <w:lang w:eastAsia="lt-LT" w:bidi="lt-LT"/>
          <w14:ligatures w14:val="none"/>
        </w:rPr>
      </w:pPr>
      <w:r w:rsidRPr="001B09A9">
        <w:rPr>
          <w:rFonts w:eastAsia="Times New Roman"/>
          <w:color w:val="000000"/>
          <w:kern w:val="0"/>
          <w:lang w:eastAsia="lt-LT" w:bidi="lt-LT"/>
          <w14:ligatures w14:val="none"/>
        </w:rPr>
        <w:t>Šiam vaistui specialių laikymo sąlygų nereikia.</w:t>
      </w:r>
    </w:p>
    <w:p w14:paraId="1498525C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329C5F5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u w:val="single"/>
          <w14:ligatures w14:val="none"/>
        </w:rPr>
      </w:pPr>
      <w:r w:rsidRPr="001B09A9">
        <w:rPr>
          <w:rFonts w:eastAsia="Times New Roman"/>
          <w:kern w:val="0"/>
          <w:u w:val="single"/>
          <w14:ligatures w14:val="none"/>
        </w:rPr>
        <w:t>Susmulkintos tabletės</w:t>
      </w:r>
    </w:p>
    <w:p w14:paraId="3401CD1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14:ligatures w14:val="none"/>
        </w:rPr>
        <w:lastRenderedPageBreak/>
        <w:t>Susmulkintos tabletės yra stabilios vandenyje arba obuolių tyrėje iki 4 valandų.</w:t>
      </w:r>
    </w:p>
    <w:p w14:paraId="4424DDD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i/>
          <w:iCs/>
          <w:color w:val="000000"/>
          <w:kern w:val="0"/>
          <w:lang w:eastAsia="lt-LT" w:bidi="lt-LT"/>
          <w14:ligatures w14:val="none"/>
        </w:rPr>
      </w:pPr>
      <w:r w:rsidRPr="001B09A9">
        <w:rPr>
          <w:rFonts w:eastAsia="Times New Roman"/>
          <w:color w:val="000000"/>
          <w:kern w:val="0"/>
          <w:lang w:eastAsia="lt-LT" w:bidi="lt-LT"/>
          <w14:ligatures w14:val="none"/>
        </w:rPr>
        <w:t>Vaistų negalima išmesti į kanalizaciją arba su buitinėmis atliekomis. Kaip išmesti nereikalingus vaistus, klauskite vaistininko. Šios priemonės padės apsaugoti aplinką.</w:t>
      </w:r>
    </w:p>
    <w:p w14:paraId="555E7031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2302FCC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</w:p>
    <w:p w14:paraId="44A7B36F" w14:textId="77777777" w:rsidR="001B09A9" w:rsidRPr="001B09A9" w:rsidRDefault="001B09A9" w:rsidP="001B09A9">
      <w:pPr>
        <w:keepNext/>
        <w:numPr>
          <w:ilvl w:val="3"/>
          <w:numId w:val="17"/>
        </w:numPr>
        <w:tabs>
          <w:tab w:val="left" w:pos="567"/>
        </w:tabs>
        <w:snapToGrid w:val="0"/>
        <w:spacing w:after="0" w:line="240" w:lineRule="auto"/>
        <w:ind w:right="-2" w:hanging="2487"/>
        <w:contextualSpacing/>
        <w:rPr>
          <w:rFonts w:eastAsia="Times New Roman"/>
          <w:b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b/>
          <w:kern w:val="0"/>
          <w:szCs w:val="20"/>
          <w:lang w:eastAsia="lt-LT" w:bidi="lt-LT"/>
          <w14:ligatures w14:val="none"/>
        </w:rPr>
        <w:t>Pakuotės turinys ir kita informacija</w:t>
      </w:r>
    </w:p>
    <w:p w14:paraId="709B870F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19992D35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sudėtis </w:t>
      </w:r>
    </w:p>
    <w:p w14:paraId="24680D51" w14:textId="77777777" w:rsidR="001B09A9" w:rsidRPr="001B09A9" w:rsidRDefault="001B09A9" w:rsidP="001B09A9">
      <w:pPr>
        <w:keepNext/>
        <w:numPr>
          <w:ilvl w:val="0"/>
          <w:numId w:val="22"/>
        </w:numPr>
        <w:tabs>
          <w:tab w:val="left" w:pos="284"/>
          <w:tab w:val="left" w:pos="567"/>
        </w:tabs>
        <w:snapToGrid w:val="0"/>
        <w:spacing w:after="0" w:line="240" w:lineRule="auto"/>
        <w:ind w:left="426" w:right="-2" w:hanging="426"/>
        <w:rPr>
          <w:rFonts w:eastAsia="Times New Roman"/>
          <w:i/>
          <w:iCs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Veiklioji medžiaga yra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rivaroksabanas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. Kiekvienoje tabletėje yra 15 mg arba 20 mg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rivaroksabano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>.</w:t>
      </w:r>
    </w:p>
    <w:p w14:paraId="46D3A5B5" w14:textId="77777777" w:rsidR="001B09A9" w:rsidRPr="001B09A9" w:rsidRDefault="001B09A9" w:rsidP="001B09A9">
      <w:pPr>
        <w:keepNext/>
        <w:numPr>
          <w:ilvl w:val="0"/>
          <w:numId w:val="22"/>
        </w:numPr>
        <w:tabs>
          <w:tab w:val="left" w:pos="284"/>
          <w:tab w:val="left" w:pos="567"/>
        </w:tabs>
        <w:snapToGrid w:val="0"/>
        <w:spacing w:after="0" w:line="240" w:lineRule="auto"/>
        <w:ind w:left="426" w:right="-2" w:hanging="426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Pagalbinės medžiagos yra:</w:t>
      </w:r>
    </w:p>
    <w:p w14:paraId="4088DCF5" w14:textId="77777777" w:rsidR="001B09A9" w:rsidRPr="001B09A9" w:rsidRDefault="001B09A9" w:rsidP="001B09A9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Tabletės šerdis: natrio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laurilsulfatas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laktozė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monohidratas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hipromeliozė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kroskarmeliozės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natrio druska, magnio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stearatas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. </w:t>
      </w:r>
    </w:p>
    <w:p w14:paraId="5D91726D" w14:textId="77777777" w:rsidR="001B09A9" w:rsidRPr="001B09A9" w:rsidRDefault="001B09A9" w:rsidP="001B09A9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Plėvelė: 15 mg: polivinilo alkoholis dalinai hidrolizuotas (E1203), titano dioksidas (E 171), </w:t>
      </w:r>
      <w:proofErr w:type="spellStart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>makrogolis</w:t>
      </w:r>
      <w:proofErr w:type="spellEnd"/>
      <w:r w:rsidRPr="001B09A9">
        <w:rPr>
          <w:rFonts w:eastAsia="Times New Roman"/>
          <w:kern w:val="0"/>
          <w:szCs w:val="20"/>
          <w:lang w:eastAsia="lt-LT" w:bidi="lt-LT"/>
          <w14:ligatures w14:val="none"/>
        </w:rPr>
        <w:t xml:space="preserve"> 3350, talkas (E553b), geltonasis geležies oksidas (E172), raudonasis geležies oksidas (E 172).</w:t>
      </w:r>
    </w:p>
    <w:p w14:paraId="2FDFAE1E" w14:textId="77777777" w:rsidR="001B09A9" w:rsidRPr="001B09A9" w:rsidRDefault="001B09A9" w:rsidP="001B09A9">
      <w:pPr>
        <w:tabs>
          <w:tab w:val="left" w:pos="720"/>
        </w:tabs>
        <w:spacing w:after="0" w:line="240" w:lineRule="auto"/>
        <w:ind w:left="284"/>
        <w:contextualSpacing/>
        <w:rPr>
          <w:rFonts w:eastAsia="Times New Roman"/>
          <w:kern w:val="0"/>
          <w:szCs w:val="20"/>
          <w:lang w:eastAsia="lt-LT" w:bidi="lt-LT"/>
          <w14:ligatures w14:val="none"/>
        </w:rPr>
      </w:pPr>
      <w:r w:rsidRPr="001B09A9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 xml:space="preserve">Plėvelė: 20 mg: polivinilo alkoholis dalinai hidrolizuotas (E1203), </w:t>
      </w:r>
      <w:proofErr w:type="spellStart"/>
      <w:r w:rsidRPr="001B09A9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>makrogolis</w:t>
      </w:r>
      <w:proofErr w:type="spellEnd"/>
      <w:r w:rsidRPr="001B09A9">
        <w:rPr>
          <w:rFonts w:eastAsia="Times New Roman"/>
          <w:kern w:val="0"/>
          <w:szCs w:val="20"/>
          <w:highlight w:val="lightGray"/>
          <w:lang w:eastAsia="lt-LT" w:bidi="lt-LT"/>
          <w14:ligatures w14:val="none"/>
        </w:rPr>
        <w:t xml:space="preserve"> 3350, talkas (E553b), raudonasis geležies oksidas (E 172).</w:t>
      </w:r>
    </w:p>
    <w:p w14:paraId="33278BAB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left="567" w:firstLine="142"/>
        <w:rPr>
          <w:rFonts w:eastAsia="Times New Roman"/>
          <w:kern w:val="0"/>
          <w:szCs w:val="24"/>
          <w14:ligatures w14:val="none"/>
        </w:rPr>
      </w:pPr>
    </w:p>
    <w:p w14:paraId="0F25DFA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b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b/>
          <w:kern w:val="0"/>
          <w:szCs w:val="20"/>
          <w14:ligatures w14:val="none"/>
        </w:rPr>
        <w:t xml:space="preserve"> išvaizda ir kiekis pakuotėje</w:t>
      </w:r>
    </w:p>
    <w:p w14:paraId="3B0132C0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3804D4FB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14:ligatures w14:val="none"/>
        </w:rPr>
        <w:t xml:space="preserve"> 15 mg plėvele dengtos tabletės yra oranžinės, plėvele dengtos apytiksliai 7 mm skersmens apvalios tabletės, vienoje pusėje yra įspaudas „T“, kitoje pusėje „3R“.</w:t>
      </w:r>
    </w:p>
    <w:p w14:paraId="2C6B63DF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  <w:proofErr w:type="spellStart"/>
      <w:r w:rsidRPr="001B09A9">
        <w:rPr>
          <w:rFonts w:eastAsia="Times New Roman"/>
          <w:kern w:val="0"/>
          <w:szCs w:val="20"/>
          <w:highlight w:val="lightGray"/>
          <w14:ligatures w14:val="none"/>
        </w:rPr>
        <w:t>Rivaroxaban</w:t>
      </w:r>
      <w:proofErr w:type="spellEnd"/>
      <w:r w:rsidRPr="001B09A9">
        <w:rPr>
          <w:rFonts w:eastAsia="Times New Roman"/>
          <w:kern w:val="0"/>
          <w:szCs w:val="20"/>
          <w:highlight w:val="lightGray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:szCs w:val="20"/>
          <w:highlight w:val="lightGray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:szCs w:val="20"/>
          <w:highlight w:val="lightGray"/>
          <w14:ligatures w14:val="none"/>
        </w:rPr>
        <w:t xml:space="preserve"> 20 mg plėvele dengtos tabletės yra raudonos, plėvele dengtos apytiksliai 8 mm skersmens apvalios tabletės, vienoje pusėje yra įspaudas „T“, kitoje pusėje „7R“.</w:t>
      </w:r>
    </w:p>
    <w:p w14:paraId="2EE32ED1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</w:p>
    <w:p w14:paraId="5C87C25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4"/>
          <w14:ligatures w14:val="none"/>
        </w:rPr>
      </w:pPr>
      <w:r w:rsidRPr="001B09A9">
        <w:rPr>
          <w:rFonts w:eastAsia="Times New Roman"/>
          <w:kern w:val="0"/>
          <w:szCs w:val="24"/>
          <w14:ligatures w14:val="none"/>
        </w:rPr>
        <w:t>Tabletės tiekiamos:</w:t>
      </w:r>
    </w:p>
    <w:p w14:paraId="5F388410" w14:textId="77777777" w:rsidR="001B09A9" w:rsidRPr="001B09A9" w:rsidRDefault="001B09A9" w:rsidP="001B09A9">
      <w:pPr>
        <w:numPr>
          <w:ilvl w:val="0"/>
          <w:numId w:val="22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4"/>
          <w14:ligatures w14:val="none"/>
        </w:rPr>
        <w:t xml:space="preserve">perforuotose </w:t>
      </w:r>
      <w:proofErr w:type="spellStart"/>
      <w:r w:rsidRPr="001B09A9">
        <w:rPr>
          <w:rFonts w:eastAsia="Times New Roman"/>
          <w:kern w:val="0"/>
          <w:szCs w:val="24"/>
          <w14:ligatures w14:val="none"/>
        </w:rPr>
        <w:t>dalomosiose</w:t>
      </w:r>
      <w:proofErr w:type="spellEnd"/>
      <w:r w:rsidRPr="001B09A9">
        <w:rPr>
          <w:rFonts w:eastAsia="Times New Roman"/>
          <w:kern w:val="0"/>
          <w:szCs w:val="24"/>
          <w14:ligatures w14:val="none"/>
        </w:rPr>
        <w:t xml:space="preserve"> lizdinėse plokštelėse, kuriose yra </w:t>
      </w:r>
      <w:r w:rsidRPr="001B09A9">
        <w:rPr>
          <w:rFonts w:eastAsia="Times New Roman"/>
          <w:kern w:val="0"/>
          <w:szCs w:val="20"/>
          <w14:ligatures w14:val="none"/>
        </w:rPr>
        <w:t>10x1, 14x1, 28x1, 30x1, 42x1, 90x1, 98x1, 100x1 ir 112x1 tablečių.</w:t>
      </w:r>
    </w:p>
    <w:p w14:paraId="162F3394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0"/>
          <w:highlight w:val="yellow"/>
          <w14:ligatures w14:val="none"/>
        </w:rPr>
      </w:pPr>
    </w:p>
    <w:p w14:paraId="2BDA7F78" w14:textId="77777777" w:rsidR="001B09A9" w:rsidRPr="001B09A9" w:rsidRDefault="001B09A9" w:rsidP="001B09A9">
      <w:pPr>
        <w:numPr>
          <w:ilvl w:val="0"/>
          <w:numId w:val="22"/>
        </w:numPr>
        <w:tabs>
          <w:tab w:val="left" w:pos="567"/>
        </w:tabs>
        <w:snapToGrid w:val="0"/>
        <w:spacing w:after="0" w:line="240" w:lineRule="auto"/>
        <w:ind w:left="567" w:hanging="567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DTPE buteliukuose su vaikų sunkiai atidaromu PP dangteliu po 100 arba 200 (2x100) tablečių.</w:t>
      </w:r>
    </w:p>
    <w:p w14:paraId="7858FC1A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rPr>
          <w:rFonts w:eastAsia="Times New Roman"/>
          <w:kern w:val="0"/>
          <w:szCs w:val="24"/>
          <w:highlight w:val="yellow"/>
          <w14:ligatures w14:val="none"/>
        </w:rPr>
      </w:pPr>
    </w:p>
    <w:p w14:paraId="08CC65AA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Gali būti tiekiamos ne visų dydžių pakuotės</w:t>
      </w:r>
    </w:p>
    <w:p w14:paraId="2464D3BF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</w:p>
    <w:p w14:paraId="4B1C0793" w14:textId="77777777" w:rsidR="001B09A9" w:rsidRPr="001B09A9" w:rsidRDefault="001B09A9" w:rsidP="001B09A9">
      <w:pPr>
        <w:keepNext/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Registruotojas ir gamintojas</w:t>
      </w:r>
    </w:p>
    <w:p w14:paraId="0D5B6D4B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077C9663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i/>
          <w:kern w:val="0"/>
          <w14:ligatures w14:val="none"/>
        </w:rPr>
      </w:pPr>
      <w:r w:rsidRPr="001B09A9">
        <w:rPr>
          <w:rFonts w:eastAsia="Times New Roman"/>
          <w:i/>
          <w:kern w:val="0"/>
          <w14:ligatures w14:val="none"/>
        </w:rPr>
        <w:t>Registruotojas</w:t>
      </w:r>
    </w:p>
    <w:p w14:paraId="51A21A06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1B09A9">
        <w:rPr>
          <w:rFonts w:eastAsia="Times New Roman"/>
          <w:kern w:val="0"/>
          <w14:ligatures w14:val="none"/>
        </w:rPr>
        <w:t>Teva</w:t>
      </w:r>
      <w:proofErr w:type="spellEnd"/>
      <w:r w:rsidRPr="001B09A9">
        <w:rPr>
          <w:rFonts w:eastAsia="Times New Roman"/>
          <w:kern w:val="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14:ligatures w14:val="none"/>
        </w:rPr>
        <w:t>GmbH</w:t>
      </w:r>
      <w:proofErr w:type="spellEnd"/>
    </w:p>
    <w:p w14:paraId="52CD2BA6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lang w:val="pt-PT"/>
          <w14:ligatures w14:val="none"/>
        </w:rPr>
        <w:t xml:space="preserve">Graf-Arco-Str. </w:t>
      </w:r>
      <w:r w:rsidRPr="001B09A9">
        <w:rPr>
          <w:rFonts w:eastAsia="Times New Roman"/>
          <w:kern w:val="0"/>
          <w:lang w:val="fi-FI"/>
          <w14:ligatures w14:val="none"/>
        </w:rPr>
        <w:t>3, 89079 Ulm</w:t>
      </w:r>
    </w:p>
    <w:p w14:paraId="2410667C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14:ligatures w14:val="none"/>
        </w:rPr>
        <w:t>Vokietija</w:t>
      </w:r>
    </w:p>
    <w:p w14:paraId="24385B18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jc w:val="both"/>
        <w:rPr>
          <w:rFonts w:eastAsia="Times New Roman"/>
          <w:color w:val="222222"/>
          <w:kern w:val="0"/>
          <w14:ligatures w14:val="none"/>
        </w:rPr>
      </w:pPr>
    </w:p>
    <w:p w14:paraId="210B7C77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i/>
          <w:kern w:val="0"/>
          <w14:ligatures w14:val="none"/>
        </w:rPr>
      </w:pPr>
      <w:r w:rsidRPr="001B09A9">
        <w:rPr>
          <w:rFonts w:eastAsia="Times New Roman"/>
          <w:i/>
          <w:kern w:val="0"/>
          <w14:ligatures w14:val="none"/>
        </w:rPr>
        <w:t>Gamintojas</w:t>
      </w:r>
    </w:p>
    <w:p w14:paraId="50B2A56A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1B09A9">
        <w:rPr>
          <w:rFonts w:eastAsia="Times New Roman"/>
          <w:kern w:val="0"/>
          <w14:ligatures w14:val="none"/>
        </w:rPr>
        <w:t>Balkanpharma</w:t>
      </w:r>
      <w:proofErr w:type="spellEnd"/>
      <w:r w:rsidRPr="001B09A9">
        <w:rPr>
          <w:rFonts w:eastAsia="Times New Roman"/>
          <w:kern w:val="0"/>
          <w14:ligatures w14:val="none"/>
        </w:rPr>
        <w:t xml:space="preserve"> - </w:t>
      </w:r>
      <w:proofErr w:type="spellStart"/>
      <w:r w:rsidRPr="001B09A9">
        <w:rPr>
          <w:rFonts w:eastAsia="Times New Roman"/>
          <w:kern w:val="0"/>
          <w14:ligatures w14:val="none"/>
        </w:rPr>
        <w:t>Dupnitsa</w:t>
      </w:r>
      <w:proofErr w:type="spellEnd"/>
      <w:r w:rsidRPr="001B09A9">
        <w:rPr>
          <w:rFonts w:eastAsia="Times New Roman"/>
          <w:kern w:val="0"/>
          <w14:ligatures w14:val="none"/>
        </w:rPr>
        <w:t xml:space="preserve"> AD</w:t>
      </w:r>
    </w:p>
    <w:p w14:paraId="7080B895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14:ligatures w14:val="none"/>
        </w:rPr>
        <w:t xml:space="preserve">3, </w:t>
      </w:r>
      <w:proofErr w:type="spellStart"/>
      <w:r w:rsidRPr="001B09A9">
        <w:rPr>
          <w:rFonts w:eastAsia="Times New Roman"/>
          <w:kern w:val="0"/>
          <w14:ligatures w14:val="none"/>
        </w:rPr>
        <w:t>Samokovsko</w:t>
      </w:r>
      <w:proofErr w:type="spellEnd"/>
      <w:r w:rsidRPr="001B09A9">
        <w:rPr>
          <w:rFonts w:eastAsia="Times New Roman"/>
          <w:kern w:val="0"/>
          <w14:ligatures w14:val="none"/>
        </w:rPr>
        <w:t xml:space="preserve"> </w:t>
      </w:r>
      <w:proofErr w:type="spellStart"/>
      <w:r w:rsidRPr="001B09A9">
        <w:rPr>
          <w:rFonts w:eastAsia="Times New Roman"/>
          <w:kern w:val="0"/>
          <w14:ligatures w14:val="none"/>
        </w:rPr>
        <w:t>Shosse</w:t>
      </w:r>
      <w:proofErr w:type="spellEnd"/>
      <w:r w:rsidRPr="001B09A9">
        <w:rPr>
          <w:rFonts w:eastAsia="Times New Roman"/>
          <w:kern w:val="0"/>
          <w14:ligatures w14:val="none"/>
        </w:rPr>
        <w:t xml:space="preserve"> Str.</w:t>
      </w:r>
    </w:p>
    <w:p w14:paraId="15362D9C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14:ligatures w14:val="none"/>
        </w:rPr>
        <w:t>BG-2600 DUPNITSA</w:t>
      </w:r>
    </w:p>
    <w:p w14:paraId="5A80685A" w14:textId="77777777" w:rsidR="001B09A9" w:rsidRPr="001B09A9" w:rsidRDefault="001B09A9" w:rsidP="001B09A9">
      <w:pPr>
        <w:shd w:val="clear" w:color="auto" w:fill="FFFFFF"/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14:ligatures w14:val="none"/>
        </w:rPr>
        <w:t>Bulgarija</w:t>
      </w:r>
    </w:p>
    <w:p w14:paraId="0B3024C2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</w:p>
    <w:p w14:paraId="50FED4B5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  <w:r w:rsidRPr="001B09A9">
        <w:rPr>
          <w:rFonts w:eastAsia="Times New Roman"/>
          <w:kern w:val="0"/>
          <w:szCs w:val="24"/>
          <w14:ligatures w14:val="none"/>
        </w:rPr>
        <w:t>arba</w:t>
      </w:r>
    </w:p>
    <w:p w14:paraId="5B33005D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4"/>
          <w14:ligatures w14:val="none"/>
        </w:rPr>
      </w:pPr>
    </w:p>
    <w:p w14:paraId="4EA1DD1B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eastAsia="en-GB"/>
          <w14:ligatures w14:val="none"/>
        </w:rPr>
      </w:pPr>
      <w:proofErr w:type="spellStart"/>
      <w:r w:rsidRPr="001B09A9">
        <w:rPr>
          <w:rFonts w:eastAsia="Times New Roman"/>
          <w:kern w:val="0"/>
          <w:lang w:eastAsia="en-GB"/>
          <w14:ligatures w14:val="none"/>
        </w:rPr>
        <w:t>Actavis</w:t>
      </w:r>
      <w:proofErr w:type="spellEnd"/>
      <w:r w:rsidRPr="001B09A9">
        <w:rPr>
          <w:rFonts w:eastAsia="Times New Roman"/>
          <w:kern w:val="0"/>
          <w:lang w:eastAsia="en-GB"/>
          <w14:ligatures w14:val="none"/>
        </w:rPr>
        <w:t xml:space="preserve"> Group PTC </w:t>
      </w:r>
      <w:proofErr w:type="spellStart"/>
      <w:r w:rsidRPr="001B09A9">
        <w:rPr>
          <w:rFonts w:eastAsia="Times New Roman"/>
          <w:kern w:val="0"/>
          <w:lang w:eastAsia="en-GB"/>
          <w14:ligatures w14:val="none"/>
        </w:rPr>
        <w:t>ehf</w:t>
      </w:r>
      <w:proofErr w:type="spellEnd"/>
      <w:r w:rsidRPr="001B09A9">
        <w:rPr>
          <w:rFonts w:eastAsia="Times New Roman"/>
          <w:kern w:val="0"/>
          <w:lang w:eastAsia="en-GB"/>
          <w14:ligatures w14:val="none"/>
        </w:rPr>
        <w:t xml:space="preserve">, </w:t>
      </w:r>
    </w:p>
    <w:p w14:paraId="32AC2F2C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eastAsia="en-GB"/>
          <w14:ligatures w14:val="none"/>
        </w:rPr>
      </w:pPr>
      <w:proofErr w:type="spellStart"/>
      <w:r w:rsidRPr="001B09A9">
        <w:rPr>
          <w:rFonts w:eastAsia="Times New Roman"/>
          <w:kern w:val="0"/>
          <w:lang w:eastAsia="en-GB"/>
          <w14:ligatures w14:val="none"/>
        </w:rPr>
        <w:t>Dalshraun</w:t>
      </w:r>
      <w:proofErr w:type="spellEnd"/>
      <w:r w:rsidRPr="001B09A9">
        <w:rPr>
          <w:rFonts w:eastAsia="Times New Roman"/>
          <w:kern w:val="0"/>
          <w:lang w:eastAsia="en-GB"/>
          <w14:ligatures w14:val="none"/>
        </w:rPr>
        <w:t xml:space="preserve"> 1, </w:t>
      </w:r>
      <w:proofErr w:type="spellStart"/>
      <w:r w:rsidRPr="001B09A9">
        <w:rPr>
          <w:rFonts w:eastAsia="Times New Roman"/>
          <w:kern w:val="0"/>
          <w:lang w:eastAsia="en-GB"/>
          <w14:ligatures w14:val="none"/>
        </w:rPr>
        <w:t>Hafnarfjoerdur</w:t>
      </w:r>
      <w:proofErr w:type="spellEnd"/>
      <w:r w:rsidRPr="001B09A9">
        <w:rPr>
          <w:rFonts w:eastAsia="Times New Roman"/>
          <w:kern w:val="0"/>
          <w:lang w:eastAsia="en-GB"/>
          <w14:ligatures w14:val="none"/>
        </w:rPr>
        <w:t>, 220</w:t>
      </w:r>
    </w:p>
    <w:p w14:paraId="129A8713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lang w:eastAsia="en-GB"/>
          <w14:ligatures w14:val="none"/>
        </w:rPr>
      </w:pPr>
      <w:r w:rsidRPr="001B09A9">
        <w:rPr>
          <w:rFonts w:eastAsia="Times New Roman"/>
          <w:kern w:val="0"/>
          <w:lang w:eastAsia="en-GB"/>
          <w14:ligatures w14:val="none"/>
        </w:rPr>
        <w:t>Islandija</w:t>
      </w:r>
    </w:p>
    <w:p w14:paraId="4D3CA072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ascii="Arial" w:eastAsia="Times New Roman" w:hAnsi="Arial"/>
          <w:kern w:val="0"/>
          <w:szCs w:val="20"/>
          <w14:ligatures w14:val="none"/>
        </w:rPr>
      </w:pPr>
    </w:p>
    <w:p w14:paraId="29E40643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BD111CE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kern w:val="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>Jeigu apie šį vaistą norite sužinoti daugiau, kreipkitės į vietinį registruotojo atstovą:</w:t>
      </w:r>
    </w:p>
    <w:p w14:paraId="0EA4E10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</w:p>
    <w:p w14:paraId="6659B789" w14:textId="77777777" w:rsidR="001B09A9" w:rsidRPr="001B09A9" w:rsidRDefault="001B09A9" w:rsidP="001B09A9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1B09A9">
        <w:rPr>
          <w:rFonts w:eastAsia="Times New Roman"/>
          <w:color w:val="000000"/>
          <w:kern w:val="0"/>
          <w:szCs w:val="20"/>
          <w14:ligatures w14:val="none"/>
        </w:rPr>
        <w:t xml:space="preserve">UAB </w:t>
      </w:r>
      <w:proofErr w:type="spellStart"/>
      <w:r w:rsidRPr="001B09A9">
        <w:rPr>
          <w:rFonts w:eastAsia="Times New Roman"/>
          <w:color w:val="000000"/>
          <w:kern w:val="0"/>
          <w:szCs w:val="20"/>
          <w14:ligatures w14:val="none"/>
        </w:rPr>
        <w:t>Teva</w:t>
      </w:r>
      <w:proofErr w:type="spellEnd"/>
      <w:r w:rsidRPr="001B09A9">
        <w:rPr>
          <w:rFonts w:eastAsia="Times New Roman"/>
          <w:color w:val="000000"/>
          <w:kern w:val="0"/>
          <w:szCs w:val="20"/>
          <w14:ligatures w14:val="none"/>
        </w:rPr>
        <w:t xml:space="preserve"> </w:t>
      </w:r>
      <w:proofErr w:type="spellStart"/>
      <w:r w:rsidRPr="001B09A9">
        <w:rPr>
          <w:rFonts w:eastAsia="Times New Roman"/>
          <w:color w:val="000000"/>
          <w:kern w:val="0"/>
          <w:szCs w:val="20"/>
          <w14:ligatures w14:val="none"/>
        </w:rPr>
        <w:t>Baltics</w:t>
      </w:r>
      <w:proofErr w:type="spellEnd"/>
    </w:p>
    <w:p w14:paraId="1AE2F57D" w14:textId="77777777" w:rsidR="001B09A9" w:rsidRPr="001B09A9" w:rsidRDefault="001B09A9" w:rsidP="001B09A9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1B09A9">
        <w:rPr>
          <w:rFonts w:eastAsia="Times New Roman"/>
          <w:color w:val="000000"/>
          <w:kern w:val="0"/>
          <w:szCs w:val="20"/>
          <w14:ligatures w14:val="none"/>
        </w:rPr>
        <w:lastRenderedPageBreak/>
        <w:t>Molėtų pl. 5</w:t>
      </w:r>
    </w:p>
    <w:p w14:paraId="0FF07369" w14:textId="77777777" w:rsidR="001B09A9" w:rsidRPr="001B09A9" w:rsidRDefault="001B09A9" w:rsidP="001B09A9">
      <w:pPr>
        <w:tabs>
          <w:tab w:val="left" w:pos="567"/>
        </w:tabs>
        <w:autoSpaceDE w:val="0"/>
        <w:autoSpaceDN w:val="0"/>
        <w:adjustRightInd w:val="0"/>
        <w:snapToGrid w:val="0"/>
        <w:spacing w:after="0" w:line="240" w:lineRule="auto"/>
        <w:rPr>
          <w:rFonts w:eastAsia="Times New Roman"/>
          <w:color w:val="000000"/>
          <w:kern w:val="0"/>
          <w:szCs w:val="20"/>
          <w14:ligatures w14:val="none"/>
        </w:rPr>
      </w:pPr>
      <w:r w:rsidRPr="001B09A9">
        <w:rPr>
          <w:rFonts w:eastAsia="Times New Roman"/>
          <w:color w:val="000000"/>
          <w:kern w:val="0"/>
          <w:szCs w:val="20"/>
          <w14:ligatures w14:val="none"/>
        </w:rPr>
        <w:t>LT-08409 Vilnius</w:t>
      </w:r>
    </w:p>
    <w:p w14:paraId="16884310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color w:val="000000"/>
          <w:kern w:val="0"/>
          <w:szCs w:val="20"/>
          <w14:ligatures w14:val="none"/>
        </w:rPr>
        <w:t>Tel.+370 5 266 02 03</w:t>
      </w:r>
    </w:p>
    <w:p w14:paraId="04816DF8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rPr>
          <w:rFonts w:eastAsia="Times New Roman"/>
          <w:kern w:val="0"/>
          <w14:ligatures w14:val="none"/>
        </w:rPr>
      </w:pPr>
    </w:p>
    <w:p w14:paraId="74647C90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Šis vaistas Europos ekonominės erdvės valstybėse narėse registruotas tokiais pavadinimais</w:t>
      </w:r>
      <w:r w:rsidRPr="001B09A9">
        <w:rPr>
          <w:rFonts w:eastAsia="Times New Roman"/>
          <w:kern w:val="0"/>
          <w:szCs w:val="20"/>
          <w14:ligatures w14:val="none"/>
        </w:rPr>
        <w:t>:</w:t>
      </w:r>
    </w:p>
    <w:p w14:paraId="4E0B865D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kern w:val="0"/>
          <w:szCs w:val="20"/>
          <w14:ligatures w14:val="none"/>
        </w:rPr>
      </w:pPr>
    </w:p>
    <w:p w14:paraId="2B2E86E9" w14:textId="77777777" w:rsidR="001B09A9" w:rsidRPr="001B09A9" w:rsidRDefault="001B09A9" w:rsidP="001B09A9">
      <w:pPr>
        <w:autoSpaceDE w:val="0"/>
        <w:autoSpaceDN w:val="0"/>
        <w:adjustRightInd w:val="0"/>
        <w:spacing w:after="0" w:line="240" w:lineRule="auto"/>
        <w:rPr>
          <w:rFonts w:eastAsia="Calibri"/>
          <w:kern w:val="0"/>
          <w:lang w:eastAsia="lt-LT"/>
          <w14:ligatures w14:val="none"/>
        </w:rPr>
      </w:pPr>
      <w:r w:rsidRPr="001B09A9">
        <w:rPr>
          <w:rFonts w:eastAsia="Times New Roman"/>
          <w:b/>
          <w:kern w:val="0"/>
          <w14:ligatures w14:val="none"/>
        </w:rPr>
        <w:t>Austrija:</w:t>
      </w:r>
      <w:r w:rsidRPr="001B09A9">
        <w:rPr>
          <w:rFonts w:eastAsia="Times New Roman"/>
          <w:kern w:val="0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(10mg, 15mg,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Belgija: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Generics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 mg, 15 mg, 20 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filmomhulde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,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comprimés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pelliculés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,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Čekija, Danija, Estija, Islandija, Italija, Norvegija, Švedija: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Vokietija: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Rivaroxaban-ratiopharm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(2.5 mg / 10 mg / 15 mg/ 20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/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Rivaroxaban-ratiopharm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Starterpackung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15 mg und 20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Ispanija: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comprimidos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recubiertos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película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EFG; </w:t>
      </w:r>
      <w:r w:rsidRPr="001B09A9">
        <w:rPr>
          <w:rFonts w:eastAsia="Calibri"/>
          <w:b/>
          <w:kern w:val="0"/>
          <w:lang w:eastAsia="lt-LT"/>
          <w14:ligatures w14:val="none"/>
        </w:rPr>
        <w:t>Suomija: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tabletti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,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Kalvopäällysteinen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15 mg + 20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tabletti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>,</w:t>
      </w:r>
    </w:p>
    <w:p w14:paraId="32FA6C6A" w14:textId="77777777" w:rsidR="001B09A9" w:rsidRPr="001B09A9" w:rsidRDefault="001B09A9" w:rsidP="001B09A9">
      <w:pPr>
        <w:autoSpaceDE w:val="0"/>
        <w:autoSpaceDN w:val="0"/>
        <w:adjustRightInd w:val="0"/>
        <w:spacing w:after="0" w:line="240" w:lineRule="auto"/>
        <w:rPr>
          <w:rFonts w:eastAsia="Times New Roman"/>
          <w:kern w:val="0"/>
          <w14:ligatures w14:val="none"/>
        </w:rPr>
      </w:pPr>
      <w:proofErr w:type="spellStart"/>
      <w:r w:rsidRPr="001B09A9">
        <w:rPr>
          <w:rFonts w:eastAsia="Calibri"/>
          <w:kern w:val="0"/>
          <w:lang w:eastAsia="lt-LT"/>
          <w14:ligatures w14:val="none"/>
        </w:rPr>
        <w:t>Kalvopäällysteinen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Prancūzija:</w:t>
      </w:r>
      <w:r w:rsidRPr="001B09A9">
        <w:rPr>
          <w:rFonts w:eastAsia="Calibri"/>
          <w:kern w:val="0"/>
          <w:lang w:eastAsia="lt-LT"/>
          <w14:ligatures w14:val="none"/>
        </w:rPr>
        <w:t xml:space="preserve"> RIVAROXABAN TEVA 2.5 mg (10 mg / 15 mg/ 20 mg),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comprimé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pelliculé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Kroatija: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Rivaroksaban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10 mg, 15 mg, 20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filmom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obložene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tablete; </w:t>
      </w:r>
      <w:r w:rsidRPr="001B09A9">
        <w:rPr>
          <w:rFonts w:eastAsia="Calibri"/>
          <w:b/>
          <w:kern w:val="0"/>
          <w:lang w:eastAsia="lt-LT"/>
          <w14:ligatures w14:val="none"/>
        </w:rPr>
        <w:t>Vengrija: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 mg / 15 mg/ 20 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filmtabletta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Airija: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10mg, 15mg, 20mg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Film-coated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Latvija: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10 mg (15 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apvalkotās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 xml:space="preserve">Liuksemburgas: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Generics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(10mg, 15mg,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comprimés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pelliculés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Nyderlandai: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mg, (10 mg, 15 mg, 20 mg),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filmomhulde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tabletten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Portugalija: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Rivaroxabano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ratiopharm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Rumunija: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(10mg, 15mg,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comprimate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filmate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Slovėnija: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Rivaroksaban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10 mg (15 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filmsko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obložene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tablete; </w:t>
      </w:r>
      <w:r w:rsidRPr="001B09A9">
        <w:rPr>
          <w:rFonts w:eastAsia="Calibri"/>
          <w:b/>
          <w:kern w:val="0"/>
          <w:lang w:eastAsia="lt-LT"/>
          <w14:ligatures w14:val="none"/>
        </w:rPr>
        <w:t>Slovakija:</w:t>
      </w:r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Teva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2,5 mg (10mg, 15mg, 20mg)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filmom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obalené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; </w:t>
      </w:r>
      <w:r w:rsidRPr="001B09A9">
        <w:rPr>
          <w:rFonts w:eastAsia="Calibri"/>
          <w:b/>
          <w:kern w:val="0"/>
          <w:lang w:eastAsia="lt-LT"/>
          <w14:ligatures w14:val="none"/>
        </w:rPr>
        <w:t>Jungtinė Karalystė</w:t>
      </w:r>
      <w:r w:rsidRPr="001B09A9">
        <w:rPr>
          <w:rFonts w:eastAsia="Calibri"/>
          <w:kern w:val="0"/>
          <w:lang w:eastAsia="lt-LT"/>
          <w14:ligatures w14:val="none"/>
        </w:rPr>
        <w:t xml:space="preserve"> (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Rivaroxaban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2.5 mg, 10 mg, 15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and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20 mg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Filmcoated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 xml:space="preserve"> </w:t>
      </w:r>
      <w:proofErr w:type="spellStart"/>
      <w:r w:rsidRPr="001B09A9">
        <w:rPr>
          <w:rFonts w:eastAsia="Calibri"/>
          <w:kern w:val="0"/>
          <w:lang w:eastAsia="lt-LT"/>
          <w14:ligatures w14:val="none"/>
        </w:rPr>
        <w:t>Tablets</w:t>
      </w:r>
      <w:proofErr w:type="spellEnd"/>
      <w:r w:rsidRPr="001B09A9">
        <w:rPr>
          <w:rFonts w:eastAsia="Calibri"/>
          <w:kern w:val="0"/>
          <w:lang w:eastAsia="lt-LT"/>
          <w14:ligatures w14:val="none"/>
        </w:rPr>
        <w:t>)</w:t>
      </w:r>
    </w:p>
    <w:p w14:paraId="4C1DFB32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ind w:left="567" w:hanging="567"/>
        <w:rPr>
          <w:rFonts w:eastAsia="Times New Roman"/>
          <w:kern w:val="0"/>
          <w:szCs w:val="20"/>
          <w14:ligatures w14:val="none"/>
        </w:rPr>
      </w:pPr>
    </w:p>
    <w:p w14:paraId="353A7B17" w14:textId="77777777" w:rsidR="001B09A9" w:rsidRPr="001B09A9" w:rsidRDefault="001B09A9" w:rsidP="001B09A9">
      <w:pPr>
        <w:tabs>
          <w:tab w:val="left" w:pos="720"/>
        </w:tabs>
        <w:snapToGrid w:val="0"/>
        <w:spacing w:after="0" w:line="240" w:lineRule="auto"/>
        <w:ind w:right="-2"/>
        <w:rPr>
          <w:rFonts w:eastAsia="Times New Roman"/>
          <w:b/>
          <w:strike/>
          <w:kern w:val="0"/>
          <w:szCs w:val="20"/>
          <w14:ligatures w14:val="none"/>
        </w:rPr>
      </w:pPr>
      <w:r w:rsidRPr="001B09A9">
        <w:rPr>
          <w:rFonts w:eastAsia="Times New Roman"/>
          <w:b/>
          <w:kern w:val="0"/>
          <w:szCs w:val="20"/>
          <w14:ligatures w14:val="none"/>
        </w:rPr>
        <w:t>Šis pakuotės lapelis paskutinį kartą peržiūrėtas 2026-08-19.</w:t>
      </w:r>
      <w:r w:rsidRPr="001B09A9">
        <w:rPr>
          <w:rFonts w:eastAsia="Times New Roman"/>
          <w:b/>
          <w:strike/>
          <w:snapToGrid w:val="0"/>
          <w:kern w:val="0"/>
          <w:szCs w:val="20"/>
          <w14:ligatures w14:val="none"/>
        </w:rPr>
        <w:t xml:space="preserve"> </w:t>
      </w:r>
    </w:p>
    <w:p w14:paraId="1F90F79A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i/>
          <w:strike/>
          <w:color w:val="008000"/>
          <w:kern w:val="0"/>
          <w:szCs w:val="24"/>
          <w14:ligatures w14:val="none"/>
        </w:rPr>
      </w:pPr>
    </w:p>
    <w:p w14:paraId="1777850C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  <w:r w:rsidRPr="001B09A9">
        <w:rPr>
          <w:rFonts w:eastAsia="Times New Roman"/>
          <w:kern w:val="0"/>
          <w:szCs w:val="20"/>
          <w14:ligatures w14:val="none"/>
        </w:rPr>
        <w:t xml:space="preserve">Išsami informacija apie šį </w:t>
      </w:r>
      <w:r w:rsidRPr="001B09A9">
        <w:rPr>
          <w:rFonts w:eastAsia="Times New Roman"/>
          <w:kern w:val="0"/>
          <w:szCs w:val="24"/>
          <w14:ligatures w14:val="none"/>
        </w:rPr>
        <w:t>vaistą</w:t>
      </w:r>
      <w:r w:rsidRPr="001B09A9">
        <w:rPr>
          <w:rFonts w:eastAsia="Times New Roman"/>
          <w:kern w:val="0"/>
          <w:szCs w:val="20"/>
          <w14:ligatures w14:val="none"/>
        </w:rPr>
        <w:t xml:space="preserve"> pateikiama Valstybinės vaistų kontrolės tarnybos prie Lietuvos Respublikos sveikatos apsaugos ministerijos tinklalapyje</w:t>
      </w:r>
      <w:r w:rsidRPr="001B09A9">
        <w:rPr>
          <w:rFonts w:eastAsia="Times New Roman"/>
          <w:i/>
          <w:kern w:val="0"/>
          <w:szCs w:val="24"/>
          <w14:ligatures w14:val="none"/>
        </w:rPr>
        <w:t xml:space="preserve"> </w:t>
      </w:r>
      <w:r w:rsidRPr="001B09A9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1B09A9">
        <w:rPr>
          <w:rFonts w:eastAsia="Times New Roman"/>
          <w:kern w:val="0"/>
          <w:szCs w:val="20"/>
          <w14:ligatures w14:val="none"/>
        </w:rPr>
        <w:t>.</w:t>
      </w:r>
    </w:p>
    <w:p w14:paraId="5F37D661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7C2829D7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0"/>
          <w14:ligatures w14:val="none"/>
        </w:rPr>
      </w:pPr>
    </w:p>
    <w:p w14:paraId="2BDA1ECF" w14:textId="77777777" w:rsidR="001B09A9" w:rsidRPr="001B09A9" w:rsidRDefault="001B09A9" w:rsidP="001B09A9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i/>
          <w:noProof/>
          <w:kern w:val="0"/>
          <w14:ligatures w14:val="none"/>
        </w:rPr>
      </w:pPr>
      <w:r w:rsidRPr="001B09A9">
        <w:rPr>
          <w:rFonts w:eastAsia="Times New Roman"/>
          <w:i/>
          <w:noProof/>
          <w:kern w:val="0"/>
          <w:highlight w:val="lightGray"/>
          <w14:ligatures w14:val="none"/>
        </w:rPr>
        <w:t>QR kodas ir URL</w:t>
      </w:r>
    </w:p>
    <w:p w14:paraId="69DCAEDB" w14:textId="77777777" w:rsidR="001B09A9" w:rsidRPr="001B09A9" w:rsidRDefault="001B09A9" w:rsidP="001B09A9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b/>
          <w:noProof/>
          <w:kern w:val="0"/>
          <w14:ligatures w14:val="none"/>
        </w:rPr>
      </w:pPr>
      <w:r w:rsidRPr="001B09A9">
        <w:rPr>
          <w:rFonts w:eastAsia="Times New Roman"/>
          <w:b/>
          <w:noProof/>
          <w:kern w:val="0"/>
          <w:highlight w:val="lightGray"/>
          <w14:ligatures w14:val="none"/>
        </w:rPr>
        <w:t>&lt;Kiti informacijos šaltiniai&gt;</w:t>
      </w:r>
    </w:p>
    <w:p w14:paraId="522D0896" w14:textId="77777777" w:rsidR="001B09A9" w:rsidRPr="001B09A9" w:rsidRDefault="001B09A9" w:rsidP="001B09A9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noProof/>
          <w:kern w:val="0"/>
          <w14:ligatures w14:val="none"/>
        </w:rPr>
      </w:pPr>
      <w:r w:rsidRPr="001B09A9">
        <w:rPr>
          <w:rFonts w:eastAsia="Times New Roman"/>
          <w:bCs/>
          <w:noProof/>
          <w:kern w:val="0"/>
          <w:highlight w:val="lightGray"/>
          <w14:ligatures w14:val="none"/>
        </w:rPr>
        <w:t xml:space="preserve">&lt;Paskutinė patvirtinta </w:t>
      </w:r>
      <w:r w:rsidRPr="001B09A9">
        <w:rPr>
          <w:rFonts w:eastAsia="Times New Roman"/>
          <w:kern w:val="0"/>
          <w:highlight w:val="lightGray"/>
          <w14:ligatures w14:val="none"/>
        </w:rPr>
        <w:t xml:space="preserve">informacija apie šį vaistą yra prieinama </w:t>
      </w:r>
      <w:r w:rsidRPr="001B09A9">
        <w:rPr>
          <w:rFonts w:eastAsia="Times New Roman"/>
          <w:bCs/>
          <w:noProof/>
          <w:kern w:val="0"/>
          <w:highlight w:val="lightGray"/>
          <w14:ligatures w14:val="none"/>
        </w:rPr>
        <w:t>skanuojant &lt;QR kodas&gt; &lt;kitas 2D bar kodas&gt; &lt;NFC&gt; kuris yra nurodomas šiame pakuotės lapelyje &lt;PL&gt; &lt;ant dėžutės&gt; išmaniuoju telefonu/įrenginiu. Taip pat ta pati informacija yra prieinama tokiu URL: {URL} &lt;</w:t>
      </w:r>
      <w:r w:rsidRPr="001B09A9">
        <w:rPr>
          <w:rFonts w:eastAsia="Times New Roman"/>
          <w:kern w:val="0"/>
          <w:highlight w:val="lightGray"/>
          <w14:ligatures w14:val="none"/>
        </w:rPr>
        <w:t xml:space="preserve"> ir Valstybinės vaistų kontrolės tarnybos prie Lietuvos Respublikos sveikatos apsaugos ministerijos tinklalapyje</w:t>
      </w:r>
      <w:r w:rsidRPr="001B09A9">
        <w:rPr>
          <w:rFonts w:eastAsia="Times New Roman"/>
          <w:i/>
          <w:kern w:val="0"/>
          <w:highlight w:val="lightGray"/>
          <w14:ligatures w14:val="none"/>
        </w:rPr>
        <w:t xml:space="preserve"> </w:t>
      </w:r>
      <w:r w:rsidRPr="001B09A9">
        <w:rPr>
          <w:rFonts w:eastAsia="Times New Roman"/>
          <w:color w:val="0000EE"/>
          <w:kern w:val="0"/>
          <w:highlight w:val="lightGray"/>
          <w:u w:val="single"/>
          <w:lang w:eastAsia="lt-LT"/>
          <w14:ligatures w14:val="none"/>
        </w:rPr>
        <w:t>https://vvkt.lrv.lt/lt/</w:t>
      </w:r>
      <w:r w:rsidRPr="001B09A9">
        <w:rPr>
          <w:rFonts w:eastAsia="Times New Roman"/>
          <w:bCs/>
          <w:noProof/>
          <w:kern w:val="0"/>
          <w:highlight w:val="lightGray"/>
          <w14:ligatures w14:val="none"/>
        </w:rPr>
        <w:t xml:space="preserve">&gt;&gt; </w:t>
      </w:r>
      <w:r w:rsidRPr="001B09A9">
        <w:rPr>
          <w:rFonts w:eastAsia="Times New Roman"/>
          <w:noProof/>
          <w:kern w:val="0"/>
          <w:highlight w:val="lightGray"/>
          <w14:ligatures w14:val="none"/>
        </w:rPr>
        <w:t xml:space="preserve">&lt;{QR kodas}&gt; </w:t>
      </w:r>
      <w:r w:rsidRPr="001B09A9">
        <w:rPr>
          <w:rFonts w:eastAsia="Times New Roman"/>
          <w:bCs/>
          <w:noProof/>
          <w:kern w:val="0"/>
          <w:highlight w:val="lightGray"/>
          <w14:ligatures w14:val="none"/>
        </w:rPr>
        <w:t>&lt;{kitas 2D bar kodas}&gt; &lt;{NFC}&gt;</w:t>
      </w:r>
    </w:p>
    <w:p w14:paraId="24AF3417" w14:textId="77777777" w:rsidR="001B09A9" w:rsidRPr="001B09A9" w:rsidRDefault="001B09A9" w:rsidP="001B09A9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noProof/>
          <w:kern w:val="0"/>
          <w14:ligatures w14:val="none"/>
        </w:rPr>
      </w:pPr>
    </w:p>
    <w:p w14:paraId="706E28C6" w14:textId="77777777" w:rsidR="001B09A9" w:rsidRPr="001B09A9" w:rsidRDefault="001B09A9" w:rsidP="001B09A9">
      <w:pPr>
        <w:numPr>
          <w:ilvl w:val="12"/>
          <w:numId w:val="0"/>
        </w:numPr>
        <w:tabs>
          <w:tab w:val="left" w:pos="567"/>
        </w:tabs>
        <w:snapToGrid w:val="0"/>
        <w:spacing w:after="0" w:line="260" w:lineRule="exact"/>
        <w:rPr>
          <w:rFonts w:eastAsia="Times New Roman"/>
          <w:i/>
          <w:noProof/>
          <w:kern w:val="0"/>
          <w14:ligatures w14:val="none"/>
        </w:rPr>
      </w:pPr>
      <w:r w:rsidRPr="001B09A9">
        <w:rPr>
          <w:rFonts w:eastAsia="Times New Roman"/>
          <w:i/>
          <w:noProof/>
          <w:kern w:val="0"/>
          <w:highlight w:val="lightGray"/>
          <w14:ligatures w14:val="none"/>
        </w:rPr>
        <w:t>Tik URL</w:t>
      </w:r>
    </w:p>
    <w:p w14:paraId="4D1F2CA4" w14:textId="77777777" w:rsidR="001B09A9" w:rsidRPr="001B09A9" w:rsidRDefault="001B09A9" w:rsidP="001B09A9">
      <w:pPr>
        <w:numPr>
          <w:ilvl w:val="12"/>
          <w:numId w:val="0"/>
        </w:numPr>
        <w:shd w:val="clear" w:color="auto" w:fill="D9D9D9"/>
        <w:tabs>
          <w:tab w:val="left" w:pos="567"/>
        </w:tabs>
        <w:snapToGrid w:val="0"/>
        <w:spacing w:after="0" w:line="260" w:lineRule="exact"/>
        <w:rPr>
          <w:rFonts w:eastAsia="Times New Roman"/>
          <w:b/>
          <w:noProof/>
          <w:kern w:val="0"/>
          <w14:ligatures w14:val="none"/>
        </w:rPr>
      </w:pPr>
      <w:r w:rsidRPr="001B09A9">
        <w:rPr>
          <w:rFonts w:eastAsia="Times New Roman"/>
          <w:b/>
          <w:noProof/>
          <w:kern w:val="0"/>
          <w14:ligatures w14:val="none"/>
        </w:rPr>
        <w:t>&lt;Kiti informacijos šaltiniai&gt;</w:t>
      </w:r>
    </w:p>
    <w:p w14:paraId="40005B08" w14:textId="77777777" w:rsidR="001B09A9" w:rsidRPr="001B09A9" w:rsidRDefault="001B09A9" w:rsidP="001B09A9">
      <w:pPr>
        <w:numPr>
          <w:ilvl w:val="12"/>
          <w:numId w:val="0"/>
        </w:numPr>
        <w:shd w:val="clear" w:color="auto" w:fill="D9D9D9"/>
        <w:tabs>
          <w:tab w:val="left" w:pos="567"/>
        </w:tabs>
        <w:snapToGrid w:val="0"/>
        <w:spacing w:after="0" w:line="260" w:lineRule="exact"/>
        <w:ind w:right="-2"/>
        <w:rPr>
          <w:rFonts w:eastAsia="Times New Roman"/>
          <w:bCs/>
          <w:noProof/>
          <w:kern w:val="0"/>
          <w14:ligatures w14:val="none"/>
        </w:rPr>
      </w:pPr>
      <w:r w:rsidRPr="001B09A9">
        <w:rPr>
          <w:rFonts w:eastAsia="Times New Roman"/>
          <w:bCs/>
          <w:noProof/>
          <w:kern w:val="0"/>
          <w14:ligatures w14:val="none"/>
        </w:rPr>
        <w:t xml:space="preserve">&lt; Paskutinė patvirtinta </w:t>
      </w:r>
      <w:r w:rsidRPr="001B09A9">
        <w:rPr>
          <w:rFonts w:eastAsia="Times New Roman"/>
          <w:kern w:val="0"/>
          <w14:ligatures w14:val="none"/>
        </w:rPr>
        <w:t xml:space="preserve">informacija apie šį vaistą yra prieinama šiuo </w:t>
      </w:r>
      <w:r w:rsidRPr="001B09A9">
        <w:rPr>
          <w:rFonts w:eastAsia="Times New Roman"/>
          <w:bCs/>
          <w:noProof/>
          <w:kern w:val="0"/>
          <w14:ligatures w14:val="none"/>
        </w:rPr>
        <w:t>URL: {URL} &lt;</w:t>
      </w:r>
      <w:r w:rsidRPr="001B09A9">
        <w:rPr>
          <w:rFonts w:eastAsia="Times New Roman"/>
          <w:kern w:val="0"/>
          <w14:ligatures w14:val="none"/>
        </w:rPr>
        <w:t xml:space="preserve"> ir Valstybinės vaistų kontrolės tarnybos prie Lietuvos Respublikos sveikatos apsaugos ministerijos tinklalapyje</w:t>
      </w:r>
      <w:r w:rsidRPr="001B09A9">
        <w:rPr>
          <w:rFonts w:eastAsia="Times New Roman"/>
          <w:i/>
          <w:kern w:val="0"/>
          <w14:ligatures w14:val="none"/>
        </w:rPr>
        <w:t xml:space="preserve"> </w:t>
      </w:r>
      <w:r w:rsidRPr="001B09A9">
        <w:rPr>
          <w:rFonts w:eastAsia="Times New Roman"/>
          <w:color w:val="0000EE"/>
          <w:kern w:val="0"/>
          <w:u w:val="single"/>
          <w:lang w:eastAsia="lt-LT"/>
          <w14:ligatures w14:val="none"/>
        </w:rPr>
        <w:t>https://vvkt.lrv.lt/lt/</w:t>
      </w:r>
      <w:r w:rsidRPr="001B09A9">
        <w:rPr>
          <w:rFonts w:eastAsia="Times New Roman"/>
          <w:bCs/>
          <w:noProof/>
          <w:kern w:val="0"/>
          <w14:ligatures w14:val="none"/>
        </w:rPr>
        <w:t>&gt;&gt;</w:t>
      </w:r>
    </w:p>
    <w:p w14:paraId="68B1185F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4"/>
          <w14:ligatures w14:val="none"/>
        </w:rPr>
      </w:pPr>
    </w:p>
    <w:p w14:paraId="6D00E5E0" w14:textId="77777777" w:rsidR="001B09A9" w:rsidRPr="001B09A9" w:rsidRDefault="001B09A9" w:rsidP="001B09A9">
      <w:pPr>
        <w:tabs>
          <w:tab w:val="left" w:pos="567"/>
        </w:tabs>
        <w:snapToGrid w:val="0"/>
        <w:spacing w:after="0" w:line="260" w:lineRule="exact"/>
        <w:rPr>
          <w:rFonts w:eastAsia="Times New Roman"/>
          <w:kern w:val="0"/>
          <w:szCs w:val="20"/>
          <w14:ligatures w14:val="none"/>
        </w:rPr>
      </w:pPr>
    </w:p>
    <w:p w14:paraId="567FBBC2" w14:textId="77777777" w:rsidR="001B09A9" w:rsidRPr="001B09A9" w:rsidRDefault="001B09A9" w:rsidP="001B09A9">
      <w:pPr>
        <w:tabs>
          <w:tab w:val="left" w:pos="567"/>
        </w:tabs>
        <w:snapToGrid w:val="0"/>
        <w:spacing w:after="0" w:line="240" w:lineRule="auto"/>
        <w:ind w:right="-2"/>
        <w:rPr>
          <w:rFonts w:eastAsia="Times New Roman"/>
          <w:kern w:val="0"/>
          <w:szCs w:val="24"/>
          <w14:ligatures w14:val="none"/>
        </w:rPr>
      </w:pPr>
    </w:p>
    <w:p w14:paraId="09E014B4" w14:textId="77777777" w:rsidR="00222FED" w:rsidRDefault="00222FED"/>
    <w:sectPr w:rsidR="00222FED" w:rsidSect="001B09A9">
      <w:footerReference w:type="default" r:id="rId5"/>
      <w:pgSz w:w="11906" w:h="16838" w:code="9"/>
      <w:pgMar w:top="1134" w:right="1418" w:bottom="1134" w:left="1418" w:header="737" w:footer="737" w:gutter="0"/>
      <w:cols w:space="1296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  <w:sig w:usb0="800000AF" w:usb1="1001ECEA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2E534" w14:textId="77777777" w:rsidR="001B09A9" w:rsidRDefault="001B09A9">
    <w:pPr>
      <w:pStyle w:val="Porat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37</w:t>
    </w:r>
    <w:r>
      <w:fldChar w:fldCharType="end"/>
    </w:r>
  </w:p>
  <w:p w14:paraId="702FF306" w14:textId="77777777" w:rsidR="001B09A9" w:rsidRDefault="001B09A9">
    <w:pPr>
      <w:pStyle w:val="Pora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B48D7"/>
    <w:multiLevelType w:val="multilevel"/>
    <w:tmpl w:val="26A03EBE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767F9D"/>
    <w:multiLevelType w:val="multilevel"/>
    <w:tmpl w:val="EC88CA5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F8C23E9"/>
    <w:multiLevelType w:val="multilevel"/>
    <w:tmpl w:val="A0205480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1F4745"/>
    <w:multiLevelType w:val="hybridMultilevel"/>
    <w:tmpl w:val="B846F5C6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C5B0B"/>
    <w:multiLevelType w:val="hybridMultilevel"/>
    <w:tmpl w:val="DFD8144A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93475"/>
    <w:multiLevelType w:val="multilevel"/>
    <w:tmpl w:val="3D2C1F9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7875435"/>
    <w:multiLevelType w:val="hybridMultilevel"/>
    <w:tmpl w:val="28746A34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305C41"/>
    <w:multiLevelType w:val="multilevel"/>
    <w:tmpl w:val="D3F8485C"/>
    <w:lvl w:ilvl="0">
      <w:start w:val="1"/>
      <w:numFmt w:val="decimal"/>
      <w:lvlText w:val="%1."/>
      <w:lvlJc w:val="left"/>
      <w:pPr>
        <w:ind w:left="2547" w:hanging="420"/>
      </w:pPr>
      <w:rPr>
        <w:b/>
      </w:rPr>
    </w:lvl>
    <w:lvl w:ilvl="1">
      <w:start w:val="1"/>
      <w:numFmt w:val="lowerLetter"/>
      <w:lvlText w:val="%2."/>
      <w:lvlJc w:val="left"/>
      <w:pPr>
        <w:ind w:left="3567" w:hanging="360"/>
      </w:pPr>
    </w:lvl>
    <w:lvl w:ilvl="2">
      <w:start w:val="1"/>
      <w:numFmt w:val="lowerRoman"/>
      <w:lvlText w:val="%3."/>
      <w:lvlJc w:val="right"/>
      <w:pPr>
        <w:ind w:left="4287" w:hanging="180"/>
      </w:pPr>
    </w:lvl>
    <w:lvl w:ilvl="3">
      <w:start w:val="1"/>
      <w:numFmt w:val="decimal"/>
      <w:lvlText w:val="%4."/>
      <w:lvlJc w:val="left"/>
      <w:pPr>
        <w:ind w:left="2487" w:hanging="360"/>
      </w:pPr>
      <w:rPr>
        <w:b/>
      </w:rPr>
    </w:lvl>
    <w:lvl w:ilvl="4">
      <w:start w:val="1"/>
      <w:numFmt w:val="lowerLetter"/>
      <w:lvlText w:val="%5."/>
      <w:lvlJc w:val="left"/>
      <w:pPr>
        <w:ind w:left="5727" w:hanging="360"/>
      </w:pPr>
    </w:lvl>
    <w:lvl w:ilvl="5">
      <w:start w:val="1"/>
      <w:numFmt w:val="lowerRoman"/>
      <w:lvlText w:val="%6."/>
      <w:lvlJc w:val="right"/>
      <w:pPr>
        <w:ind w:left="6447" w:hanging="180"/>
      </w:pPr>
    </w:lvl>
    <w:lvl w:ilvl="6">
      <w:start w:val="1"/>
      <w:numFmt w:val="decimal"/>
      <w:lvlText w:val="%7."/>
      <w:lvlJc w:val="left"/>
      <w:pPr>
        <w:ind w:left="7167" w:hanging="360"/>
      </w:pPr>
    </w:lvl>
    <w:lvl w:ilvl="7">
      <w:start w:val="1"/>
      <w:numFmt w:val="lowerLetter"/>
      <w:lvlText w:val="%8."/>
      <w:lvlJc w:val="left"/>
      <w:pPr>
        <w:ind w:left="7887" w:hanging="360"/>
      </w:pPr>
    </w:lvl>
    <w:lvl w:ilvl="8">
      <w:start w:val="1"/>
      <w:numFmt w:val="lowerRoman"/>
      <w:lvlText w:val="%9."/>
      <w:lvlJc w:val="right"/>
      <w:pPr>
        <w:ind w:left="8607" w:hanging="180"/>
      </w:pPr>
    </w:lvl>
  </w:abstractNum>
  <w:abstractNum w:abstractNumId="8" w15:restartNumberingAfterBreak="0">
    <w:nsid w:val="1A474FF0"/>
    <w:multiLevelType w:val="multilevel"/>
    <w:tmpl w:val="F7E0E0C4"/>
    <w:lvl w:ilvl="0">
      <w:start w:val="1"/>
      <w:numFmt w:val="bullet"/>
      <w:lvlText w:val="-"/>
      <w:lvlJc w:val="left"/>
      <w:pPr>
        <w:ind w:left="360" w:hanging="360"/>
      </w:pPr>
      <w:rPr>
        <w:rFonts w:ascii="OpenSymbol" w:hAnsi="OpenSymbol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1B8876D4"/>
    <w:multiLevelType w:val="multilevel"/>
    <w:tmpl w:val="E7B00E60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421274"/>
    <w:multiLevelType w:val="multilevel"/>
    <w:tmpl w:val="365CC6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E92797D"/>
    <w:multiLevelType w:val="multilevel"/>
    <w:tmpl w:val="2A5C77EE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1EB41C0E"/>
    <w:multiLevelType w:val="multilevel"/>
    <w:tmpl w:val="F3301A2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3A95103"/>
    <w:multiLevelType w:val="multilevel"/>
    <w:tmpl w:val="2774181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59B6BCB"/>
    <w:multiLevelType w:val="multilevel"/>
    <w:tmpl w:val="28E4F66C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426827"/>
    <w:multiLevelType w:val="multilevel"/>
    <w:tmpl w:val="DA8A66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26EE22DB"/>
    <w:multiLevelType w:val="multilevel"/>
    <w:tmpl w:val="A7469D36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B436241"/>
    <w:multiLevelType w:val="multilevel"/>
    <w:tmpl w:val="365E3B3A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9366BFC"/>
    <w:multiLevelType w:val="multilevel"/>
    <w:tmpl w:val="E990F5A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D004D01"/>
    <w:multiLevelType w:val="hybridMultilevel"/>
    <w:tmpl w:val="AACCE16E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914514"/>
    <w:multiLevelType w:val="hybridMultilevel"/>
    <w:tmpl w:val="9D7E652A"/>
    <w:lvl w:ilvl="0" w:tplc="67BE8460"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D710FB"/>
    <w:multiLevelType w:val="multilevel"/>
    <w:tmpl w:val="1F405F86"/>
    <w:lvl w:ilvl="0">
      <w:start w:val="1"/>
      <w:numFmt w:val="bullet"/>
      <w:lvlText w:val="˗"/>
      <w:lvlJc w:val="left"/>
      <w:pPr>
        <w:ind w:left="108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85176D0"/>
    <w:multiLevelType w:val="multilevel"/>
    <w:tmpl w:val="B8042282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b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D7A60A1"/>
    <w:multiLevelType w:val="multilevel"/>
    <w:tmpl w:val="7548CBEA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E731F6E"/>
    <w:multiLevelType w:val="multilevel"/>
    <w:tmpl w:val="ED58C87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CA13AA7"/>
    <w:multiLevelType w:val="multilevel"/>
    <w:tmpl w:val="930A9428"/>
    <w:lvl w:ilvl="0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ED4188C"/>
    <w:multiLevelType w:val="hybridMultilevel"/>
    <w:tmpl w:val="59F0E982"/>
    <w:lvl w:ilvl="0" w:tplc="67BE8460">
      <w:numFmt w:val="bullet"/>
      <w:lvlText w:val="˗"/>
      <w:lvlJc w:val="left"/>
      <w:pPr>
        <w:ind w:left="780" w:hanging="360"/>
      </w:pPr>
      <w:rPr>
        <w:rFonts w:ascii="Times New Roman" w:hAnsi="Times New Roman" w:cs="Times New Roman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84497477">
    <w:abstractNumId w:val="8"/>
  </w:num>
  <w:num w:numId="2" w16cid:durableId="1853303911">
    <w:abstractNumId w:val="24"/>
  </w:num>
  <w:num w:numId="3" w16cid:durableId="197856729">
    <w:abstractNumId w:val="5"/>
  </w:num>
  <w:num w:numId="4" w16cid:durableId="398674236">
    <w:abstractNumId w:val="18"/>
  </w:num>
  <w:num w:numId="5" w16cid:durableId="1978414800">
    <w:abstractNumId w:val="10"/>
  </w:num>
  <w:num w:numId="6" w16cid:durableId="496650893">
    <w:abstractNumId w:val="15"/>
  </w:num>
  <w:num w:numId="7" w16cid:durableId="1313174231">
    <w:abstractNumId w:val="1"/>
  </w:num>
  <w:num w:numId="8" w16cid:durableId="1092162953">
    <w:abstractNumId w:val="13"/>
  </w:num>
  <w:num w:numId="9" w16cid:durableId="213740625">
    <w:abstractNumId w:val="11"/>
  </w:num>
  <w:num w:numId="10" w16cid:durableId="757554467">
    <w:abstractNumId w:val="16"/>
  </w:num>
  <w:num w:numId="11" w16cid:durableId="1491168945">
    <w:abstractNumId w:val="25"/>
  </w:num>
  <w:num w:numId="12" w16cid:durableId="577447795">
    <w:abstractNumId w:val="12"/>
  </w:num>
  <w:num w:numId="13" w16cid:durableId="114451681">
    <w:abstractNumId w:val="22"/>
  </w:num>
  <w:num w:numId="14" w16cid:durableId="1245794909">
    <w:abstractNumId w:val="2"/>
  </w:num>
  <w:num w:numId="15" w16cid:durableId="1665544278">
    <w:abstractNumId w:val="0"/>
  </w:num>
  <w:num w:numId="16" w16cid:durableId="843939025">
    <w:abstractNumId w:val="14"/>
  </w:num>
  <w:num w:numId="17" w16cid:durableId="359160145">
    <w:abstractNumId w:val="7"/>
  </w:num>
  <w:num w:numId="18" w16cid:durableId="1800537206">
    <w:abstractNumId w:val="17"/>
  </w:num>
  <w:num w:numId="19" w16cid:durableId="961808686">
    <w:abstractNumId w:val="21"/>
  </w:num>
  <w:num w:numId="20" w16cid:durableId="1341083351">
    <w:abstractNumId w:val="9"/>
  </w:num>
  <w:num w:numId="21" w16cid:durableId="1626962919">
    <w:abstractNumId w:val="23"/>
  </w:num>
  <w:num w:numId="22" w16cid:durableId="79595321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9205689">
    <w:abstractNumId w:val="26"/>
  </w:num>
  <w:num w:numId="24" w16cid:durableId="61147200">
    <w:abstractNumId w:val="20"/>
  </w:num>
  <w:num w:numId="25" w16cid:durableId="1550265340">
    <w:abstractNumId w:val="4"/>
  </w:num>
  <w:num w:numId="26" w16cid:durableId="497501133">
    <w:abstractNumId w:val="6"/>
  </w:num>
  <w:num w:numId="27" w16cid:durableId="1873689484">
    <w:abstractNumId w:val="3"/>
  </w:num>
  <w:num w:numId="28" w16cid:durableId="26793141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A9"/>
    <w:rsid w:val="001B09A9"/>
    <w:rsid w:val="001F373F"/>
    <w:rsid w:val="00222FED"/>
    <w:rsid w:val="005F173E"/>
    <w:rsid w:val="008B3AD4"/>
    <w:rsid w:val="00984A0A"/>
    <w:rsid w:val="00D047C4"/>
    <w:rsid w:val="00EC0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1BF4E"/>
  <w15:chartTrackingRefBased/>
  <w15:docId w15:val="{94E03812-20D2-4646-9A31-610E9339B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B09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09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09A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09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09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B09A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09A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09A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09A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09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09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09A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09A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09A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B09A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09A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09A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09A9"/>
    <w:rPr>
      <w:rFonts w:asciiTheme="minorHAnsi" w:eastAsiaTheme="majorEastAsia" w:hAnsiTheme="minorHAnsi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B09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B09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09A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09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B09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B09A9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B09A9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B09A9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B09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B09A9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B09A9"/>
    <w:rPr>
      <w:b/>
      <w:bCs/>
      <w:smallCaps/>
      <w:color w:val="0F4761" w:themeColor="accent1" w:themeShade="BF"/>
      <w:spacing w:val="5"/>
    </w:rPr>
  </w:style>
  <w:style w:type="paragraph" w:styleId="Porat">
    <w:name w:val="footer"/>
    <w:basedOn w:val="prastasis"/>
    <w:link w:val="PoratDiagrama"/>
    <w:uiPriority w:val="99"/>
    <w:semiHidden/>
    <w:unhideWhenUsed/>
    <w:rsid w:val="001B09A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1B09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16578</Words>
  <Characters>9450</Characters>
  <Application>Microsoft Office Word</Application>
  <DocSecurity>0</DocSecurity>
  <Lines>78</Lines>
  <Paragraphs>51</Paragraphs>
  <ScaleCrop>false</ScaleCrop>
  <Company/>
  <LinksUpToDate>false</LinksUpToDate>
  <CharactersWithSpaces>25977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Albina Burkauskaitė</dc:creator>
  <cp:keywords/>
  <dc:description/>
  <cp:lastModifiedBy>Albina Burkauskaitė</cp:lastModifiedBy>
  <cp:revision>1</cp:revision>
  <dcterms:created xsi:type="dcterms:W3CDTF">2026-09-02T12:42:00Z</dcterms:created>
  <dcterms:modified xsi:type="dcterms:W3CDTF">2026-09-02T12:42:00Z</dcterms:modified>
</cp:coreProperties>
</file>