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9289" w14:textId="77777777" w:rsidR="00986560" w:rsidRPr="00B4100D" w:rsidRDefault="00986560" w:rsidP="00986560">
      <w:pPr>
        <w:rPr>
          <w:sz w:val="22"/>
          <w:szCs w:val="22"/>
        </w:rPr>
      </w:pPr>
      <w:bookmarkStart w:id="0" w:name="_Hlk36073908"/>
    </w:p>
    <w:p w14:paraId="06418B15" w14:textId="77777777" w:rsidR="003956F3" w:rsidRPr="00B4100D" w:rsidRDefault="003956F3" w:rsidP="00986560">
      <w:pPr>
        <w:rPr>
          <w:sz w:val="22"/>
          <w:szCs w:val="22"/>
        </w:rPr>
      </w:pPr>
    </w:p>
    <w:p w14:paraId="1B815B1B" w14:textId="77777777" w:rsidR="00986560" w:rsidRPr="00B4100D" w:rsidRDefault="00986560" w:rsidP="00986560">
      <w:pPr>
        <w:rPr>
          <w:sz w:val="22"/>
          <w:szCs w:val="22"/>
        </w:rPr>
      </w:pPr>
    </w:p>
    <w:p w14:paraId="4C90D04F" w14:textId="77777777" w:rsidR="00986560" w:rsidRPr="00B4100D" w:rsidRDefault="00986560" w:rsidP="00986560">
      <w:pPr>
        <w:rPr>
          <w:sz w:val="22"/>
          <w:szCs w:val="22"/>
        </w:rPr>
      </w:pPr>
    </w:p>
    <w:p w14:paraId="6A9434B3" w14:textId="77777777" w:rsidR="00986560" w:rsidRPr="00B4100D" w:rsidRDefault="00986560" w:rsidP="00986560">
      <w:pPr>
        <w:rPr>
          <w:sz w:val="22"/>
          <w:szCs w:val="22"/>
        </w:rPr>
      </w:pPr>
    </w:p>
    <w:p w14:paraId="52B6943D" w14:textId="77777777" w:rsidR="00986560" w:rsidRPr="00B4100D" w:rsidRDefault="00986560" w:rsidP="00986560">
      <w:pPr>
        <w:rPr>
          <w:sz w:val="22"/>
          <w:szCs w:val="22"/>
        </w:rPr>
      </w:pPr>
    </w:p>
    <w:p w14:paraId="4161C080" w14:textId="77777777" w:rsidR="00986560" w:rsidRPr="00B4100D" w:rsidRDefault="00986560" w:rsidP="00986560">
      <w:pPr>
        <w:rPr>
          <w:sz w:val="22"/>
          <w:szCs w:val="22"/>
        </w:rPr>
      </w:pPr>
    </w:p>
    <w:p w14:paraId="5E22CE42" w14:textId="77777777" w:rsidR="00986560" w:rsidRPr="00B4100D" w:rsidRDefault="00986560" w:rsidP="00986560">
      <w:pPr>
        <w:rPr>
          <w:sz w:val="22"/>
          <w:szCs w:val="22"/>
        </w:rPr>
      </w:pPr>
    </w:p>
    <w:p w14:paraId="784F990F" w14:textId="77777777" w:rsidR="00986560" w:rsidRPr="00B4100D" w:rsidRDefault="00986560" w:rsidP="00986560">
      <w:pPr>
        <w:rPr>
          <w:sz w:val="22"/>
          <w:szCs w:val="22"/>
        </w:rPr>
      </w:pPr>
    </w:p>
    <w:p w14:paraId="20AFC18C" w14:textId="77777777" w:rsidR="00986560" w:rsidRPr="00B4100D" w:rsidRDefault="00986560" w:rsidP="00986560">
      <w:pPr>
        <w:rPr>
          <w:sz w:val="22"/>
          <w:szCs w:val="22"/>
        </w:rPr>
      </w:pPr>
    </w:p>
    <w:p w14:paraId="11A0DD52" w14:textId="77777777" w:rsidR="00986560" w:rsidRPr="00B4100D" w:rsidRDefault="00986560" w:rsidP="00986560">
      <w:pPr>
        <w:rPr>
          <w:sz w:val="22"/>
          <w:szCs w:val="22"/>
        </w:rPr>
      </w:pPr>
    </w:p>
    <w:p w14:paraId="635754E0" w14:textId="77777777" w:rsidR="00986560" w:rsidRPr="00B4100D" w:rsidRDefault="00986560" w:rsidP="006E671E">
      <w:pPr>
        <w:pStyle w:val="BTEMEASMCA"/>
      </w:pPr>
    </w:p>
    <w:p w14:paraId="285FF728" w14:textId="77777777" w:rsidR="00986560" w:rsidRPr="00B4100D" w:rsidRDefault="00986560" w:rsidP="006E671E">
      <w:pPr>
        <w:pStyle w:val="BTEMEASMCA"/>
      </w:pPr>
    </w:p>
    <w:p w14:paraId="049994F3" w14:textId="77777777" w:rsidR="00986560" w:rsidRPr="00B4100D" w:rsidRDefault="00986560" w:rsidP="00C475DF">
      <w:pPr>
        <w:pStyle w:val="BTEMEASMCA"/>
      </w:pPr>
    </w:p>
    <w:p w14:paraId="12F3D279" w14:textId="77777777" w:rsidR="00986560" w:rsidRPr="00B4100D" w:rsidRDefault="00986560" w:rsidP="00CA2561">
      <w:pPr>
        <w:pStyle w:val="BTEMEASMCA"/>
      </w:pPr>
    </w:p>
    <w:p w14:paraId="2EDE152B" w14:textId="77777777" w:rsidR="00986560" w:rsidRPr="00B4100D" w:rsidRDefault="00986560" w:rsidP="00CA2561">
      <w:pPr>
        <w:pStyle w:val="BTEMEASMCA"/>
      </w:pPr>
    </w:p>
    <w:p w14:paraId="18DEE8B7" w14:textId="77777777" w:rsidR="00986560" w:rsidRPr="00B4100D" w:rsidRDefault="00986560">
      <w:pPr>
        <w:pStyle w:val="BTEMEASMCA"/>
      </w:pPr>
    </w:p>
    <w:p w14:paraId="3A928302" w14:textId="77777777" w:rsidR="00986560" w:rsidRPr="00B4100D" w:rsidRDefault="00986560">
      <w:pPr>
        <w:pStyle w:val="BTEMEASMCA"/>
      </w:pPr>
    </w:p>
    <w:p w14:paraId="21B8A4FE" w14:textId="77777777" w:rsidR="00986560" w:rsidRPr="00B4100D" w:rsidRDefault="00986560">
      <w:pPr>
        <w:pStyle w:val="BTEMEASMCA"/>
      </w:pPr>
    </w:p>
    <w:p w14:paraId="439E5FC4" w14:textId="77777777" w:rsidR="00986560" w:rsidRPr="00B4100D" w:rsidRDefault="00986560">
      <w:pPr>
        <w:pStyle w:val="BTEMEASMCA"/>
      </w:pPr>
    </w:p>
    <w:p w14:paraId="2DCCC496" w14:textId="77777777" w:rsidR="00986560" w:rsidRPr="00B4100D" w:rsidRDefault="00986560">
      <w:pPr>
        <w:pStyle w:val="BTEMEASMCA"/>
      </w:pPr>
    </w:p>
    <w:p w14:paraId="239E74ED" w14:textId="77777777" w:rsidR="00986560" w:rsidRPr="00B4100D" w:rsidRDefault="00986560">
      <w:pPr>
        <w:pStyle w:val="BTEMEASMCA"/>
      </w:pPr>
    </w:p>
    <w:p w14:paraId="10F8780D" w14:textId="77777777" w:rsidR="00986560" w:rsidRPr="00B4100D" w:rsidRDefault="00986560">
      <w:pPr>
        <w:pStyle w:val="BTEMEASMCA"/>
      </w:pPr>
    </w:p>
    <w:p w14:paraId="66A228BE" w14:textId="77777777" w:rsidR="00986560" w:rsidRPr="00B4100D" w:rsidRDefault="00986560" w:rsidP="00986560">
      <w:pPr>
        <w:pStyle w:val="TTEMEASMCA"/>
        <w:rPr>
          <w:lang w:val="lt-LT" w:eastAsia="x-none"/>
        </w:rPr>
      </w:pPr>
      <w:bookmarkStart w:id="1" w:name="_Toc129243096"/>
      <w:bookmarkStart w:id="2" w:name="_Toc129243221"/>
      <w:r w:rsidRPr="00B4100D">
        <w:rPr>
          <w:lang w:val="lt-LT" w:eastAsia="x-none"/>
        </w:rPr>
        <w:t>I PRIEDAS</w:t>
      </w:r>
      <w:bookmarkEnd w:id="1"/>
      <w:bookmarkEnd w:id="2"/>
    </w:p>
    <w:p w14:paraId="7601EA85" w14:textId="77777777" w:rsidR="00986560" w:rsidRPr="00B4100D" w:rsidRDefault="00986560" w:rsidP="006E671E">
      <w:pPr>
        <w:pStyle w:val="BTEMEASMCA"/>
      </w:pPr>
    </w:p>
    <w:p w14:paraId="428EE6EE" w14:textId="77777777" w:rsidR="00986560" w:rsidRPr="00B4100D" w:rsidRDefault="00986560" w:rsidP="00986560">
      <w:pPr>
        <w:pStyle w:val="TTEMEASMCA"/>
        <w:rPr>
          <w:lang w:val="lt-LT" w:eastAsia="x-none"/>
        </w:rPr>
      </w:pPr>
      <w:bookmarkStart w:id="3" w:name="_Toc129243097"/>
      <w:bookmarkStart w:id="4" w:name="_Toc129243222"/>
      <w:r w:rsidRPr="00B4100D">
        <w:rPr>
          <w:lang w:val="lt-LT" w:eastAsia="x-none"/>
        </w:rPr>
        <w:t>PREPARATO CHARAKTERISTIKŲ SANTRAUKA</w:t>
      </w:r>
      <w:bookmarkEnd w:id="3"/>
      <w:bookmarkEnd w:id="4"/>
    </w:p>
    <w:p w14:paraId="7F3E009D" w14:textId="77777777" w:rsidR="00986560" w:rsidRPr="00B4100D" w:rsidRDefault="00986560" w:rsidP="00986560">
      <w:pPr>
        <w:pStyle w:val="PI-1EMEASMCA"/>
      </w:pPr>
      <w:r w:rsidRPr="00B4100D">
        <w:rPr>
          <w:bCs/>
          <w:iCs/>
        </w:rPr>
        <w:br w:type="page"/>
      </w:r>
      <w:bookmarkStart w:id="5" w:name="_Toc129243098"/>
      <w:bookmarkStart w:id="6" w:name="_Toc129243223"/>
      <w:r w:rsidRPr="00B4100D">
        <w:lastRenderedPageBreak/>
        <w:t>1.</w:t>
      </w:r>
      <w:r w:rsidRPr="00B4100D">
        <w:tab/>
        <w:t>VAISTINIO PREPARATO PAVADINIMAS</w:t>
      </w:r>
      <w:bookmarkEnd w:id="5"/>
      <w:bookmarkEnd w:id="6"/>
    </w:p>
    <w:p w14:paraId="08AA842B" w14:textId="77777777" w:rsidR="00986560" w:rsidRPr="00B4100D" w:rsidRDefault="00986560" w:rsidP="006E671E">
      <w:pPr>
        <w:pStyle w:val="BTEMEASMCA"/>
      </w:pPr>
    </w:p>
    <w:p w14:paraId="109D264A" w14:textId="77777777" w:rsidR="00986560" w:rsidRPr="00B4100D" w:rsidRDefault="0055336B" w:rsidP="00986560">
      <w:pPr>
        <w:rPr>
          <w:sz w:val="22"/>
          <w:szCs w:val="22"/>
        </w:rPr>
      </w:pPr>
      <w:bookmarkStart w:id="7" w:name="_GoBack"/>
      <w:r w:rsidRPr="00B4100D">
        <w:rPr>
          <w:sz w:val="22"/>
          <w:szCs w:val="22"/>
        </w:rPr>
        <w:t>Hydroxychloroquine sulfate Accord</w:t>
      </w:r>
      <w:r w:rsidR="00986560" w:rsidRPr="00B4100D">
        <w:rPr>
          <w:sz w:val="22"/>
          <w:szCs w:val="22"/>
        </w:rPr>
        <w:t xml:space="preserve"> </w:t>
      </w:r>
      <w:bookmarkEnd w:id="7"/>
      <w:r w:rsidR="00986560" w:rsidRPr="00B4100D">
        <w:rPr>
          <w:sz w:val="22"/>
          <w:szCs w:val="22"/>
        </w:rPr>
        <w:t>200 mg plėvele dengtos tabletės</w:t>
      </w:r>
    </w:p>
    <w:p w14:paraId="77D28EFD" w14:textId="77777777" w:rsidR="00986560" w:rsidRPr="00B4100D" w:rsidRDefault="00986560" w:rsidP="006E671E">
      <w:pPr>
        <w:pStyle w:val="BTEMEASMCA"/>
      </w:pPr>
    </w:p>
    <w:p w14:paraId="63C48342" w14:textId="77777777" w:rsidR="00986560" w:rsidRPr="00B4100D" w:rsidRDefault="00986560" w:rsidP="006E671E">
      <w:pPr>
        <w:pStyle w:val="BTEMEASMCA"/>
      </w:pPr>
    </w:p>
    <w:p w14:paraId="04EC64DB" w14:textId="77777777" w:rsidR="00986560" w:rsidRPr="00B4100D" w:rsidRDefault="00986560" w:rsidP="00986560">
      <w:pPr>
        <w:pStyle w:val="PI-1EMEASMCA"/>
      </w:pPr>
      <w:bookmarkStart w:id="8" w:name="_Toc129243099"/>
      <w:bookmarkStart w:id="9" w:name="_Toc129243224"/>
      <w:r w:rsidRPr="00B4100D">
        <w:t>2.</w:t>
      </w:r>
      <w:r w:rsidRPr="00B4100D">
        <w:tab/>
        <w:t>KOKYBINĖ IR KIEKYBINĖ SUDĖTIS</w:t>
      </w:r>
      <w:bookmarkEnd w:id="8"/>
      <w:bookmarkEnd w:id="9"/>
    </w:p>
    <w:p w14:paraId="7BE5CBEB" w14:textId="77777777" w:rsidR="00986560" w:rsidRPr="00B4100D" w:rsidRDefault="00986560" w:rsidP="006E671E">
      <w:pPr>
        <w:pStyle w:val="BTEMEASMCA"/>
      </w:pPr>
    </w:p>
    <w:p w14:paraId="39CCF693" w14:textId="394622E4" w:rsidR="0055336B" w:rsidRPr="00B4100D" w:rsidRDefault="00227805" w:rsidP="00986560">
      <w:pPr>
        <w:ind w:left="567" w:hanging="567"/>
        <w:rPr>
          <w:sz w:val="22"/>
          <w:szCs w:val="22"/>
        </w:rPr>
      </w:pPr>
      <w:r w:rsidRPr="00B4100D">
        <w:rPr>
          <w:sz w:val="22"/>
          <w:szCs w:val="22"/>
        </w:rPr>
        <w:t>Kiekv</w:t>
      </w:r>
      <w:r w:rsidR="00986560" w:rsidRPr="00B4100D">
        <w:rPr>
          <w:sz w:val="22"/>
          <w:szCs w:val="22"/>
        </w:rPr>
        <w:t>ienoje tabletėje yra</w:t>
      </w:r>
      <w:r w:rsidR="0055336B" w:rsidRPr="00B4100D">
        <w:rPr>
          <w:sz w:val="22"/>
          <w:szCs w:val="22"/>
        </w:rPr>
        <w:t>:</w:t>
      </w:r>
    </w:p>
    <w:p w14:paraId="071C3727" w14:textId="77777777" w:rsidR="00986560" w:rsidRPr="00B4100D" w:rsidRDefault="00986560" w:rsidP="00986560">
      <w:pPr>
        <w:ind w:left="567" w:hanging="567"/>
        <w:rPr>
          <w:sz w:val="22"/>
          <w:szCs w:val="22"/>
        </w:rPr>
      </w:pPr>
      <w:r w:rsidRPr="00B4100D">
        <w:rPr>
          <w:sz w:val="22"/>
          <w:szCs w:val="22"/>
        </w:rPr>
        <w:t>200 mg hidroksichlorokvino sulfato.</w:t>
      </w:r>
    </w:p>
    <w:p w14:paraId="607C8D29" w14:textId="77777777" w:rsidR="000547FD" w:rsidRPr="00B4100D" w:rsidRDefault="000547FD" w:rsidP="00986560">
      <w:pPr>
        <w:rPr>
          <w:sz w:val="22"/>
          <w:szCs w:val="22"/>
        </w:rPr>
      </w:pPr>
    </w:p>
    <w:p w14:paraId="25404E5D" w14:textId="52B563D6" w:rsidR="0055336B" w:rsidRPr="00B4100D" w:rsidRDefault="00986560" w:rsidP="00986560">
      <w:pPr>
        <w:rPr>
          <w:sz w:val="22"/>
          <w:szCs w:val="22"/>
          <w:u w:val="single"/>
        </w:rPr>
      </w:pPr>
      <w:r w:rsidRPr="00B4100D">
        <w:rPr>
          <w:sz w:val="22"/>
          <w:szCs w:val="22"/>
          <w:u w:val="single"/>
        </w:rPr>
        <w:t>Pagalbinė medžiaga, kurios poveikis žinomas</w:t>
      </w:r>
    </w:p>
    <w:p w14:paraId="2F0B11EA" w14:textId="77777777" w:rsidR="00986560" w:rsidRPr="00B4100D" w:rsidRDefault="00792FEA" w:rsidP="00986560">
      <w:pPr>
        <w:rPr>
          <w:sz w:val="22"/>
          <w:szCs w:val="22"/>
        </w:rPr>
      </w:pPr>
      <w:r w:rsidRPr="00B4100D">
        <w:rPr>
          <w:sz w:val="22"/>
          <w:szCs w:val="22"/>
        </w:rPr>
        <w:t>Kiek</w:t>
      </w:r>
      <w:r w:rsidR="00986560" w:rsidRPr="00B4100D">
        <w:rPr>
          <w:sz w:val="22"/>
          <w:szCs w:val="22"/>
        </w:rPr>
        <w:t>vienoje tabletėje yra 35,5</w:t>
      </w:r>
      <w:r w:rsidR="0055336B" w:rsidRPr="00B4100D">
        <w:rPr>
          <w:sz w:val="22"/>
          <w:szCs w:val="22"/>
        </w:rPr>
        <w:t>0</w:t>
      </w:r>
      <w:r w:rsidR="006E671E" w:rsidRPr="00B4100D">
        <w:rPr>
          <w:sz w:val="22"/>
          <w:szCs w:val="22"/>
        </w:rPr>
        <w:t> </w:t>
      </w:r>
      <w:r w:rsidR="00986560" w:rsidRPr="00B4100D">
        <w:rPr>
          <w:sz w:val="22"/>
          <w:szCs w:val="22"/>
        </w:rPr>
        <w:t>mg laktozės monohidrato.</w:t>
      </w:r>
    </w:p>
    <w:p w14:paraId="56BB0676" w14:textId="77777777" w:rsidR="00986560" w:rsidRPr="00B4100D" w:rsidRDefault="00986560" w:rsidP="00986560">
      <w:pPr>
        <w:rPr>
          <w:sz w:val="22"/>
          <w:szCs w:val="22"/>
        </w:rPr>
      </w:pPr>
    </w:p>
    <w:p w14:paraId="5FF3CF81" w14:textId="77777777" w:rsidR="00986560" w:rsidRPr="00B4100D" w:rsidRDefault="00986560" w:rsidP="006E671E">
      <w:pPr>
        <w:pStyle w:val="BTEMEASMCA"/>
      </w:pPr>
      <w:r w:rsidRPr="00B4100D">
        <w:t>Visos pagalbinės medžiagos išvardytos 6.1 skyriuje.</w:t>
      </w:r>
    </w:p>
    <w:p w14:paraId="276C849F" w14:textId="77777777" w:rsidR="00986560" w:rsidRPr="00B4100D" w:rsidRDefault="00986560" w:rsidP="006E671E">
      <w:pPr>
        <w:pStyle w:val="BTEMEASMCA"/>
      </w:pPr>
    </w:p>
    <w:p w14:paraId="09288BCD" w14:textId="77777777" w:rsidR="00986560" w:rsidRPr="00B4100D" w:rsidRDefault="00986560" w:rsidP="00C475DF">
      <w:pPr>
        <w:pStyle w:val="BTEMEASMCA"/>
      </w:pPr>
    </w:p>
    <w:p w14:paraId="7387E840" w14:textId="77777777" w:rsidR="00986560" w:rsidRPr="00B4100D" w:rsidRDefault="00986560" w:rsidP="00986560">
      <w:pPr>
        <w:pStyle w:val="PI-1EMEASMCA"/>
      </w:pPr>
      <w:bookmarkStart w:id="10" w:name="_Toc129243100"/>
      <w:bookmarkStart w:id="11" w:name="_Toc129243225"/>
      <w:r w:rsidRPr="00B4100D">
        <w:t>3.</w:t>
      </w:r>
      <w:r w:rsidRPr="00B4100D">
        <w:tab/>
        <w:t>FARMACINĖ FORMA</w:t>
      </w:r>
      <w:bookmarkEnd w:id="10"/>
      <w:bookmarkEnd w:id="11"/>
    </w:p>
    <w:p w14:paraId="3FE5C29B" w14:textId="77777777" w:rsidR="00986560" w:rsidRPr="00B4100D" w:rsidRDefault="00986560" w:rsidP="006E671E">
      <w:pPr>
        <w:pStyle w:val="BTEMEASMCA"/>
      </w:pPr>
    </w:p>
    <w:p w14:paraId="6C6788C0" w14:textId="77777777" w:rsidR="00986560" w:rsidRPr="00B4100D" w:rsidRDefault="00986560" w:rsidP="00986560">
      <w:pPr>
        <w:ind w:left="567" w:hanging="567"/>
        <w:rPr>
          <w:sz w:val="22"/>
          <w:szCs w:val="22"/>
        </w:rPr>
      </w:pPr>
      <w:r w:rsidRPr="00B4100D">
        <w:rPr>
          <w:sz w:val="22"/>
          <w:szCs w:val="22"/>
        </w:rPr>
        <w:t>Plėvele dengt</w:t>
      </w:r>
      <w:r w:rsidR="00B5018D" w:rsidRPr="00B4100D">
        <w:rPr>
          <w:sz w:val="22"/>
          <w:szCs w:val="22"/>
        </w:rPr>
        <w:t>a</w:t>
      </w:r>
      <w:r w:rsidRPr="00B4100D">
        <w:rPr>
          <w:sz w:val="22"/>
          <w:szCs w:val="22"/>
        </w:rPr>
        <w:t xml:space="preserve"> tabletė</w:t>
      </w:r>
    </w:p>
    <w:p w14:paraId="2FA16EBC" w14:textId="5EAFAA97" w:rsidR="00986560" w:rsidRPr="00B4100D" w:rsidRDefault="006C46B1" w:rsidP="009950D8">
      <w:r w:rsidRPr="00B4100D">
        <w:rPr>
          <w:sz w:val="22"/>
          <w:szCs w:val="22"/>
        </w:rPr>
        <w:t xml:space="preserve">Baltos arba beveik baltos, žemės riešuto formos, abipus išgaubtos, plėvele dengtos tabletės, kurių vienoje pusėje yra įspaudas „H11“, o kita pusė </w:t>
      </w:r>
      <w:r w:rsidR="003A15FF" w:rsidRPr="00B4100D">
        <w:rPr>
          <w:sz w:val="22"/>
          <w:szCs w:val="22"/>
        </w:rPr>
        <w:t xml:space="preserve">– </w:t>
      </w:r>
      <w:r w:rsidRPr="00B4100D">
        <w:rPr>
          <w:sz w:val="22"/>
          <w:szCs w:val="22"/>
        </w:rPr>
        <w:t>lygi, apytiksliai matmenys yra 12,80 ± 0,05 mm x 6,10 ± 0,05 mm.</w:t>
      </w:r>
    </w:p>
    <w:p w14:paraId="5F21E37C" w14:textId="77777777" w:rsidR="00986560" w:rsidRPr="00B4100D" w:rsidRDefault="00986560" w:rsidP="006E671E">
      <w:pPr>
        <w:pStyle w:val="BTEMEASMCA"/>
      </w:pPr>
    </w:p>
    <w:p w14:paraId="3220E6F0" w14:textId="77777777" w:rsidR="006C46B1" w:rsidRPr="00B4100D" w:rsidRDefault="006C46B1" w:rsidP="006E671E">
      <w:pPr>
        <w:pStyle w:val="BTEMEASMCA"/>
      </w:pPr>
    </w:p>
    <w:p w14:paraId="33484554" w14:textId="77777777" w:rsidR="00986560" w:rsidRPr="00B4100D" w:rsidRDefault="00986560" w:rsidP="00986560">
      <w:pPr>
        <w:pStyle w:val="PI-1EMEASMCA"/>
      </w:pPr>
      <w:bookmarkStart w:id="12" w:name="_Toc129243101"/>
      <w:bookmarkStart w:id="13" w:name="_Toc129243226"/>
      <w:r w:rsidRPr="00B4100D">
        <w:t>4.</w:t>
      </w:r>
      <w:r w:rsidRPr="00B4100D">
        <w:tab/>
        <w:t>KLINIKINĖ INFORMACIJA</w:t>
      </w:r>
      <w:bookmarkEnd w:id="12"/>
      <w:bookmarkEnd w:id="13"/>
    </w:p>
    <w:p w14:paraId="76986D92" w14:textId="77777777" w:rsidR="00986560" w:rsidRPr="00B4100D" w:rsidRDefault="00986560" w:rsidP="006E671E">
      <w:pPr>
        <w:pStyle w:val="BTEMEASMCA"/>
      </w:pPr>
    </w:p>
    <w:p w14:paraId="50B073DF" w14:textId="77777777" w:rsidR="00986560" w:rsidRPr="00B4100D" w:rsidRDefault="00986560" w:rsidP="0056757C">
      <w:pPr>
        <w:pStyle w:val="PI-2EMEASMCA"/>
      </w:pPr>
      <w:bookmarkStart w:id="14" w:name="_Toc129243102"/>
      <w:bookmarkStart w:id="15" w:name="_Toc129243227"/>
      <w:r w:rsidRPr="00B4100D">
        <w:t>4.1</w:t>
      </w:r>
      <w:r w:rsidRPr="00B4100D">
        <w:tab/>
        <w:t>Terapinės indikacijos</w:t>
      </w:r>
      <w:bookmarkEnd w:id="14"/>
      <w:bookmarkEnd w:id="15"/>
    </w:p>
    <w:p w14:paraId="1C5A1957" w14:textId="77777777" w:rsidR="00986560" w:rsidRPr="00B4100D" w:rsidRDefault="00986560" w:rsidP="006E671E">
      <w:pPr>
        <w:pStyle w:val="BTEMEASMCA"/>
      </w:pPr>
    </w:p>
    <w:p w14:paraId="478AE497" w14:textId="188E9DBA" w:rsidR="00986560" w:rsidRPr="00B4100D" w:rsidRDefault="00986560" w:rsidP="00986560">
      <w:pPr>
        <w:rPr>
          <w:iCs/>
          <w:sz w:val="22"/>
          <w:szCs w:val="22"/>
          <w:u w:val="single"/>
        </w:rPr>
      </w:pPr>
      <w:r w:rsidRPr="00B4100D">
        <w:rPr>
          <w:iCs/>
          <w:sz w:val="22"/>
          <w:szCs w:val="22"/>
          <w:u w:val="single"/>
        </w:rPr>
        <w:t>Suaugusie</w:t>
      </w:r>
      <w:r w:rsidR="00791343" w:rsidRPr="00B4100D">
        <w:rPr>
          <w:iCs/>
          <w:sz w:val="22"/>
          <w:szCs w:val="22"/>
          <w:u w:val="single"/>
        </w:rPr>
        <w:t xml:space="preserve">siems </w:t>
      </w:r>
    </w:p>
    <w:p w14:paraId="3670415C" w14:textId="2EE61497" w:rsidR="00986560" w:rsidRPr="00B4100D" w:rsidRDefault="008E06ED" w:rsidP="008313AA">
      <w:pPr>
        <w:rPr>
          <w:sz w:val="22"/>
          <w:szCs w:val="22"/>
        </w:rPr>
      </w:pPr>
      <w:r w:rsidRPr="00B4100D">
        <w:rPr>
          <w:sz w:val="22"/>
          <w:szCs w:val="22"/>
        </w:rPr>
        <w:t xml:space="preserve">Hydroxychloroquine sulfate Accord rekomenduojamas </w:t>
      </w:r>
      <w:r w:rsidR="008313AA" w:rsidRPr="00B4100D">
        <w:rPr>
          <w:sz w:val="22"/>
          <w:szCs w:val="22"/>
        </w:rPr>
        <w:t>r</w:t>
      </w:r>
      <w:r w:rsidR="00986560" w:rsidRPr="00B4100D">
        <w:rPr>
          <w:sz w:val="22"/>
          <w:szCs w:val="22"/>
        </w:rPr>
        <w:t>eumatoidinio artrito</w:t>
      </w:r>
      <w:r w:rsidR="008313AA" w:rsidRPr="00B4100D">
        <w:rPr>
          <w:sz w:val="22"/>
          <w:szCs w:val="22"/>
        </w:rPr>
        <w:t>, diskoidinės ir s</w:t>
      </w:r>
      <w:r w:rsidR="00986560" w:rsidRPr="00B4100D">
        <w:rPr>
          <w:sz w:val="22"/>
          <w:szCs w:val="22"/>
        </w:rPr>
        <w:t>isteminės raudonosios vilkligės</w:t>
      </w:r>
      <w:r w:rsidR="008313AA" w:rsidRPr="00B4100D">
        <w:rPr>
          <w:sz w:val="22"/>
          <w:szCs w:val="22"/>
        </w:rPr>
        <w:t xml:space="preserve"> ir </w:t>
      </w:r>
      <w:r w:rsidR="000547FD" w:rsidRPr="00B4100D">
        <w:rPr>
          <w:sz w:val="22"/>
          <w:szCs w:val="22"/>
        </w:rPr>
        <w:t>fotodermatoz</w:t>
      </w:r>
      <w:r w:rsidR="00B43536" w:rsidRPr="00B4100D">
        <w:rPr>
          <w:sz w:val="22"/>
          <w:szCs w:val="22"/>
        </w:rPr>
        <w:t>ių</w:t>
      </w:r>
      <w:r w:rsidR="00986560" w:rsidRPr="00B4100D">
        <w:rPr>
          <w:sz w:val="22"/>
          <w:szCs w:val="22"/>
        </w:rPr>
        <w:t xml:space="preserve"> gydym</w:t>
      </w:r>
      <w:r w:rsidR="008313AA" w:rsidRPr="00B4100D">
        <w:rPr>
          <w:sz w:val="22"/>
          <w:szCs w:val="22"/>
        </w:rPr>
        <w:t>ui.</w:t>
      </w:r>
    </w:p>
    <w:p w14:paraId="0B882B5C" w14:textId="77777777" w:rsidR="008313AA" w:rsidRPr="00B4100D" w:rsidRDefault="008313AA" w:rsidP="008313AA">
      <w:pPr>
        <w:rPr>
          <w:sz w:val="22"/>
          <w:szCs w:val="22"/>
        </w:rPr>
      </w:pPr>
    </w:p>
    <w:p w14:paraId="01F42019" w14:textId="77777777" w:rsidR="00986560" w:rsidRPr="00B4100D" w:rsidRDefault="008313AA" w:rsidP="00986560">
      <w:pPr>
        <w:tabs>
          <w:tab w:val="left" w:pos="540"/>
        </w:tabs>
        <w:rPr>
          <w:sz w:val="22"/>
          <w:szCs w:val="22"/>
        </w:rPr>
      </w:pPr>
      <w:r w:rsidRPr="00B4100D">
        <w:rPr>
          <w:sz w:val="22"/>
          <w:szCs w:val="22"/>
        </w:rPr>
        <w:t>Šis vaistinis</w:t>
      </w:r>
      <w:r w:rsidR="00537B28" w:rsidRPr="00B4100D">
        <w:rPr>
          <w:sz w:val="22"/>
          <w:szCs w:val="22"/>
        </w:rPr>
        <w:t xml:space="preserve"> </w:t>
      </w:r>
      <w:r w:rsidRPr="00B4100D">
        <w:rPr>
          <w:sz w:val="22"/>
          <w:szCs w:val="22"/>
        </w:rPr>
        <w:t>preparatas taip pat skirtas m</w:t>
      </w:r>
      <w:r w:rsidR="00986560" w:rsidRPr="00B4100D">
        <w:rPr>
          <w:sz w:val="22"/>
          <w:szCs w:val="22"/>
        </w:rPr>
        <w:t xml:space="preserve">aliarijos, sukeltos </w:t>
      </w:r>
      <w:r w:rsidRPr="00B4100D">
        <w:rPr>
          <w:i/>
          <w:iCs/>
          <w:sz w:val="22"/>
          <w:szCs w:val="22"/>
        </w:rPr>
        <w:t>Plasmodium vivax, P. ovale, P. malariae</w:t>
      </w:r>
      <w:r w:rsidR="008A276F" w:rsidRPr="00B4100D">
        <w:rPr>
          <w:i/>
          <w:iCs/>
          <w:sz w:val="22"/>
          <w:szCs w:val="22"/>
        </w:rPr>
        <w:t xml:space="preserve"> </w:t>
      </w:r>
      <w:r w:rsidRPr="00B4100D">
        <w:rPr>
          <w:sz w:val="22"/>
          <w:szCs w:val="22"/>
        </w:rPr>
        <w:t xml:space="preserve">ir chlorokvinui jautrių sukėlėjų </w:t>
      </w:r>
      <w:r w:rsidRPr="00B4100D">
        <w:rPr>
          <w:i/>
          <w:iCs/>
          <w:sz w:val="22"/>
          <w:szCs w:val="22"/>
        </w:rPr>
        <w:t>P. falciparum</w:t>
      </w:r>
      <w:r w:rsidRPr="00B4100D">
        <w:rPr>
          <w:sz w:val="22"/>
          <w:szCs w:val="22"/>
        </w:rPr>
        <w:t xml:space="preserve">, </w:t>
      </w:r>
      <w:r w:rsidR="00986560" w:rsidRPr="00B4100D">
        <w:rPr>
          <w:sz w:val="22"/>
          <w:szCs w:val="22"/>
        </w:rPr>
        <w:t>gydym</w:t>
      </w:r>
      <w:r w:rsidRPr="00B4100D">
        <w:rPr>
          <w:sz w:val="22"/>
          <w:szCs w:val="22"/>
        </w:rPr>
        <w:t>ui</w:t>
      </w:r>
      <w:r w:rsidR="00986560" w:rsidRPr="00B4100D">
        <w:rPr>
          <w:sz w:val="22"/>
          <w:szCs w:val="22"/>
        </w:rPr>
        <w:t xml:space="preserve"> ir profilaktika</w:t>
      </w:r>
      <w:r w:rsidRPr="00B4100D">
        <w:rPr>
          <w:sz w:val="22"/>
          <w:szCs w:val="22"/>
        </w:rPr>
        <w:t>i</w:t>
      </w:r>
      <w:r w:rsidR="00986560" w:rsidRPr="00B4100D">
        <w:rPr>
          <w:sz w:val="22"/>
          <w:szCs w:val="22"/>
        </w:rPr>
        <w:t>.</w:t>
      </w:r>
    </w:p>
    <w:p w14:paraId="0D8010FD" w14:textId="77777777" w:rsidR="00986560" w:rsidRPr="00B4100D" w:rsidRDefault="00986560" w:rsidP="00986560">
      <w:pPr>
        <w:rPr>
          <w:i/>
          <w:sz w:val="22"/>
          <w:szCs w:val="22"/>
          <w:u w:val="single"/>
        </w:rPr>
      </w:pPr>
    </w:p>
    <w:p w14:paraId="05186C58" w14:textId="77777777" w:rsidR="00986560" w:rsidRPr="00B4100D" w:rsidRDefault="00986560" w:rsidP="00986560">
      <w:pPr>
        <w:rPr>
          <w:iCs/>
          <w:sz w:val="22"/>
          <w:szCs w:val="22"/>
          <w:u w:val="single"/>
        </w:rPr>
      </w:pPr>
      <w:r w:rsidRPr="00B4100D">
        <w:rPr>
          <w:iCs/>
          <w:sz w:val="22"/>
          <w:szCs w:val="22"/>
          <w:u w:val="single"/>
        </w:rPr>
        <w:t>Vaik</w:t>
      </w:r>
      <w:r w:rsidR="006E671E" w:rsidRPr="00B4100D">
        <w:rPr>
          <w:iCs/>
          <w:sz w:val="22"/>
          <w:szCs w:val="22"/>
          <w:u w:val="single"/>
        </w:rPr>
        <w:t>ų populiacija</w:t>
      </w:r>
      <w:r w:rsidR="000547FD" w:rsidRPr="00B4100D">
        <w:rPr>
          <w:iCs/>
          <w:sz w:val="22"/>
          <w:szCs w:val="22"/>
          <w:u w:val="single"/>
        </w:rPr>
        <w:t xml:space="preserve"> (≥ 6 metų ir ≥ 31 kg)</w:t>
      </w:r>
    </w:p>
    <w:p w14:paraId="15011974" w14:textId="77777777" w:rsidR="00986560" w:rsidRPr="00B4100D" w:rsidRDefault="00986560" w:rsidP="008313AA">
      <w:pPr>
        <w:tabs>
          <w:tab w:val="left" w:pos="0"/>
        </w:tabs>
        <w:rPr>
          <w:i/>
          <w:sz w:val="22"/>
          <w:szCs w:val="22"/>
          <w:u w:val="single"/>
        </w:rPr>
      </w:pPr>
      <w:r w:rsidRPr="00B4100D">
        <w:rPr>
          <w:sz w:val="22"/>
          <w:szCs w:val="22"/>
        </w:rPr>
        <w:t>Jaunatvinio idiopatinio artrito (derinyje su kitais gydymo būdais), diskoidinės ir sisteminės</w:t>
      </w:r>
      <w:r w:rsidR="008313AA" w:rsidRPr="00B4100D">
        <w:rPr>
          <w:sz w:val="22"/>
          <w:szCs w:val="22"/>
        </w:rPr>
        <w:t xml:space="preserve"> </w:t>
      </w:r>
      <w:r w:rsidRPr="00B4100D">
        <w:rPr>
          <w:sz w:val="22"/>
          <w:szCs w:val="22"/>
        </w:rPr>
        <w:t>raudonosios vilkligės gydymas.</w:t>
      </w:r>
    </w:p>
    <w:p w14:paraId="663A346E" w14:textId="77777777" w:rsidR="00986560" w:rsidRPr="00B4100D" w:rsidRDefault="008313AA" w:rsidP="00B60384">
      <w:pPr>
        <w:rPr>
          <w:sz w:val="22"/>
          <w:szCs w:val="22"/>
        </w:rPr>
      </w:pPr>
      <w:r w:rsidRPr="00B4100D">
        <w:rPr>
          <w:sz w:val="22"/>
          <w:szCs w:val="22"/>
        </w:rPr>
        <w:t xml:space="preserve">Taip pat </w:t>
      </w:r>
      <w:r w:rsidR="00B60384" w:rsidRPr="00B4100D">
        <w:rPr>
          <w:sz w:val="22"/>
          <w:szCs w:val="22"/>
        </w:rPr>
        <w:t xml:space="preserve">skirtas nekomplikuotos </w:t>
      </w:r>
      <w:r w:rsidRPr="00B4100D">
        <w:rPr>
          <w:sz w:val="22"/>
          <w:szCs w:val="22"/>
        </w:rPr>
        <w:t>m</w:t>
      </w:r>
      <w:r w:rsidR="00986560" w:rsidRPr="00B4100D">
        <w:rPr>
          <w:sz w:val="22"/>
          <w:szCs w:val="22"/>
        </w:rPr>
        <w:t xml:space="preserve">aliarijos, sukeltos </w:t>
      </w:r>
      <w:r w:rsidR="00B60384" w:rsidRPr="00B4100D">
        <w:rPr>
          <w:i/>
          <w:iCs/>
          <w:sz w:val="22"/>
          <w:szCs w:val="22"/>
        </w:rPr>
        <w:t xml:space="preserve">Plasmodium vivax, P. ovale, P. malariae </w:t>
      </w:r>
      <w:r w:rsidR="00B60384" w:rsidRPr="00B4100D">
        <w:rPr>
          <w:sz w:val="22"/>
          <w:szCs w:val="22"/>
        </w:rPr>
        <w:t xml:space="preserve">ir chlorokvinui jautrių sukėlėjų </w:t>
      </w:r>
      <w:r w:rsidR="00B60384" w:rsidRPr="00B4100D">
        <w:rPr>
          <w:i/>
          <w:iCs/>
          <w:sz w:val="22"/>
          <w:szCs w:val="22"/>
        </w:rPr>
        <w:t>P. falciparum</w:t>
      </w:r>
      <w:r w:rsidR="00986560" w:rsidRPr="00B4100D">
        <w:rPr>
          <w:sz w:val="22"/>
          <w:szCs w:val="22"/>
        </w:rPr>
        <w:t>, gydym</w:t>
      </w:r>
      <w:r w:rsidR="00B60384" w:rsidRPr="00B4100D">
        <w:rPr>
          <w:sz w:val="22"/>
          <w:szCs w:val="22"/>
        </w:rPr>
        <w:t>ui</w:t>
      </w:r>
      <w:r w:rsidR="00986560" w:rsidRPr="00B4100D">
        <w:rPr>
          <w:sz w:val="22"/>
          <w:szCs w:val="22"/>
        </w:rPr>
        <w:t xml:space="preserve"> ir profilaktika</w:t>
      </w:r>
      <w:r w:rsidR="00B60384" w:rsidRPr="00B4100D">
        <w:rPr>
          <w:sz w:val="22"/>
          <w:szCs w:val="22"/>
        </w:rPr>
        <w:t>i</w:t>
      </w:r>
      <w:r w:rsidR="00986560" w:rsidRPr="00B4100D">
        <w:rPr>
          <w:sz w:val="22"/>
          <w:szCs w:val="22"/>
        </w:rPr>
        <w:t>.</w:t>
      </w:r>
    </w:p>
    <w:p w14:paraId="61FA5020" w14:textId="77777777" w:rsidR="00986560" w:rsidRPr="00B4100D" w:rsidRDefault="00986560" w:rsidP="00986560">
      <w:pPr>
        <w:rPr>
          <w:sz w:val="22"/>
          <w:szCs w:val="22"/>
        </w:rPr>
      </w:pPr>
    </w:p>
    <w:p w14:paraId="5AE0D89B" w14:textId="77777777" w:rsidR="00B60384" w:rsidRPr="00B4100D" w:rsidRDefault="00B60384" w:rsidP="00B60384">
      <w:pPr>
        <w:rPr>
          <w:sz w:val="22"/>
          <w:szCs w:val="22"/>
        </w:rPr>
      </w:pPr>
      <w:r w:rsidRPr="00B4100D">
        <w:rPr>
          <w:sz w:val="22"/>
          <w:szCs w:val="22"/>
        </w:rPr>
        <w:t xml:space="preserve">Chlorokvinui atsparios </w:t>
      </w:r>
      <w:r w:rsidRPr="00B4100D">
        <w:rPr>
          <w:i/>
          <w:iCs/>
          <w:sz w:val="22"/>
          <w:szCs w:val="22"/>
        </w:rPr>
        <w:t>P. falciparum</w:t>
      </w:r>
      <w:r w:rsidRPr="00B4100D">
        <w:rPr>
          <w:sz w:val="22"/>
          <w:szCs w:val="22"/>
        </w:rPr>
        <w:t xml:space="preserve"> ir vis labiau atsparios chlorokvinui </w:t>
      </w:r>
      <w:r w:rsidRPr="00B4100D">
        <w:rPr>
          <w:i/>
          <w:iCs/>
          <w:sz w:val="22"/>
          <w:szCs w:val="22"/>
        </w:rPr>
        <w:t>P. vivax</w:t>
      </w:r>
      <w:r w:rsidRPr="00B4100D">
        <w:rPr>
          <w:sz w:val="22"/>
          <w:szCs w:val="22"/>
        </w:rPr>
        <w:t xml:space="preserve"> yra aptinkamos daugelyje vietovių, o tai riboja hidroksichlorokvino naudingumą šiose vietovėse. Būtina laikytis oficialių </w:t>
      </w:r>
      <w:r w:rsidR="00A3697D" w:rsidRPr="00B4100D">
        <w:rPr>
          <w:sz w:val="22"/>
          <w:szCs w:val="22"/>
        </w:rPr>
        <w:t xml:space="preserve">gairių </w:t>
      </w:r>
      <w:r w:rsidRPr="00B4100D">
        <w:rPr>
          <w:sz w:val="22"/>
          <w:szCs w:val="22"/>
        </w:rPr>
        <w:t>nurodymų ir susipažinti su vietine informacija apie maliarijos sukėlėjų atsparumo atsiradimą (pvz., PSO ir visuomenės sveikatos srities direktyvų).</w:t>
      </w:r>
    </w:p>
    <w:p w14:paraId="7EE28B3F" w14:textId="77777777" w:rsidR="00986560" w:rsidRPr="00B4100D" w:rsidRDefault="00986560" w:rsidP="006E671E">
      <w:pPr>
        <w:pStyle w:val="BTEMEASMCA"/>
      </w:pPr>
    </w:p>
    <w:p w14:paraId="5404E107" w14:textId="77777777" w:rsidR="00986560" w:rsidRPr="00B4100D" w:rsidRDefault="00986560" w:rsidP="0056757C">
      <w:pPr>
        <w:pStyle w:val="PI-2EMEASMCA"/>
      </w:pPr>
      <w:bookmarkStart w:id="16" w:name="_Toc129243103"/>
      <w:bookmarkStart w:id="17" w:name="_Toc129243228"/>
      <w:r w:rsidRPr="00B4100D">
        <w:t>4.2</w:t>
      </w:r>
      <w:r w:rsidRPr="00B4100D">
        <w:tab/>
        <w:t>Dozavimas ir vartojimo metodas</w:t>
      </w:r>
      <w:bookmarkEnd w:id="16"/>
      <w:bookmarkEnd w:id="17"/>
    </w:p>
    <w:p w14:paraId="5A39AE2C" w14:textId="77777777" w:rsidR="00986560" w:rsidRPr="00B4100D" w:rsidRDefault="00986560" w:rsidP="006E671E">
      <w:pPr>
        <w:pStyle w:val="BTEMEASMCA"/>
      </w:pPr>
    </w:p>
    <w:p w14:paraId="71DBA5A6" w14:textId="77777777" w:rsidR="00AD1121" w:rsidRPr="00B4100D" w:rsidRDefault="00B60384" w:rsidP="00B60384">
      <w:pPr>
        <w:rPr>
          <w:sz w:val="22"/>
          <w:szCs w:val="22"/>
        </w:rPr>
      </w:pPr>
      <w:r w:rsidRPr="00B4100D">
        <w:rPr>
          <w:sz w:val="22"/>
          <w:szCs w:val="22"/>
        </w:rPr>
        <w:t xml:space="preserve">Hidroksichlorokvino poveikis sumuojasi, todėl jo gydomajam poveikiui </w:t>
      </w:r>
      <w:r w:rsidR="00AD1121" w:rsidRPr="000874A7">
        <w:rPr>
          <w:sz w:val="22"/>
          <w:szCs w:val="22"/>
        </w:rPr>
        <w:t>reumatoidinėms ligoms</w:t>
      </w:r>
      <w:r w:rsidR="00AD1121" w:rsidRPr="00B4100D">
        <w:rPr>
          <w:sz w:val="22"/>
          <w:szCs w:val="22"/>
        </w:rPr>
        <w:t xml:space="preserve"> </w:t>
      </w:r>
      <w:r w:rsidRPr="00B4100D">
        <w:rPr>
          <w:sz w:val="22"/>
          <w:szCs w:val="22"/>
        </w:rPr>
        <w:t xml:space="preserve">pasireikšti reikia kelių savaičių, tačiau silpnas nepageidaujamas poveikis gali pasireikšti palyginti anksti. </w:t>
      </w:r>
    </w:p>
    <w:p w14:paraId="126EBF14" w14:textId="77777777" w:rsidR="00AD1121" w:rsidRPr="00B4100D" w:rsidRDefault="00AD1121" w:rsidP="00B60384">
      <w:pPr>
        <w:rPr>
          <w:sz w:val="22"/>
          <w:szCs w:val="22"/>
        </w:rPr>
      </w:pPr>
    </w:p>
    <w:p w14:paraId="3DA519CA" w14:textId="77777777" w:rsidR="00B60384" w:rsidRPr="00B4100D" w:rsidRDefault="00B60384" w:rsidP="00B60384">
      <w:pPr>
        <w:rPr>
          <w:sz w:val="22"/>
          <w:szCs w:val="22"/>
        </w:rPr>
      </w:pPr>
      <w:r w:rsidRPr="00B4100D">
        <w:rPr>
          <w:sz w:val="22"/>
          <w:szCs w:val="22"/>
        </w:rPr>
        <w:t xml:space="preserve">Jei </w:t>
      </w:r>
      <w:r w:rsidR="00AD1121" w:rsidRPr="00B4100D">
        <w:rPr>
          <w:sz w:val="22"/>
          <w:szCs w:val="22"/>
        </w:rPr>
        <w:t xml:space="preserve">gydant reumatoidines ligas </w:t>
      </w:r>
      <w:r w:rsidRPr="00B4100D">
        <w:rPr>
          <w:sz w:val="22"/>
          <w:szCs w:val="22"/>
        </w:rPr>
        <w:t>per šešis mėnesius paciento būklė nepagerėja, gydymą šiuo vaistiniu preparatu reikia nutraukti.</w:t>
      </w:r>
    </w:p>
    <w:p w14:paraId="01DB24B7" w14:textId="77777777" w:rsidR="00986560" w:rsidRPr="00B4100D" w:rsidRDefault="00986560" w:rsidP="00986560">
      <w:pPr>
        <w:rPr>
          <w:sz w:val="22"/>
          <w:szCs w:val="22"/>
        </w:rPr>
      </w:pPr>
    </w:p>
    <w:p w14:paraId="4F1C3B26" w14:textId="77777777" w:rsidR="00986560" w:rsidRPr="00B4100D" w:rsidRDefault="00986560" w:rsidP="00986560">
      <w:pPr>
        <w:rPr>
          <w:b/>
          <w:bCs/>
          <w:i/>
          <w:sz w:val="22"/>
          <w:szCs w:val="22"/>
        </w:rPr>
      </w:pPr>
      <w:r w:rsidRPr="00B4100D">
        <w:rPr>
          <w:b/>
          <w:bCs/>
          <w:i/>
          <w:sz w:val="22"/>
          <w:szCs w:val="22"/>
        </w:rPr>
        <w:t xml:space="preserve">Reumatoidinis artritas </w:t>
      </w:r>
    </w:p>
    <w:p w14:paraId="09160344" w14:textId="3DF4FDC8" w:rsidR="00AD1121" w:rsidRPr="00B4100D" w:rsidRDefault="00AD1121" w:rsidP="00AD1121">
      <w:pPr>
        <w:rPr>
          <w:i/>
          <w:sz w:val="22"/>
          <w:szCs w:val="22"/>
        </w:rPr>
      </w:pPr>
      <w:r w:rsidRPr="00B4100D">
        <w:rPr>
          <w:i/>
          <w:sz w:val="22"/>
          <w:szCs w:val="22"/>
        </w:rPr>
        <w:t>Suaugusie</w:t>
      </w:r>
      <w:r w:rsidR="002A5477" w:rsidRPr="00B4100D">
        <w:rPr>
          <w:i/>
          <w:sz w:val="22"/>
          <w:szCs w:val="22"/>
        </w:rPr>
        <w:t>siems</w:t>
      </w:r>
      <w:r w:rsidRPr="00B4100D">
        <w:rPr>
          <w:i/>
          <w:sz w:val="22"/>
          <w:szCs w:val="22"/>
        </w:rPr>
        <w:t xml:space="preserve"> (įskaitant senyvus)</w:t>
      </w:r>
    </w:p>
    <w:p w14:paraId="2C8805BF" w14:textId="50815236" w:rsidR="00A025B0" w:rsidRPr="00B4100D" w:rsidRDefault="00AD1121" w:rsidP="00986560">
      <w:pPr>
        <w:rPr>
          <w:sz w:val="22"/>
          <w:szCs w:val="22"/>
        </w:rPr>
      </w:pPr>
      <w:r w:rsidRPr="00B4100D">
        <w:rPr>
          <w:sz w:val="22"/>
          <w:szCs w:val="22"/>
        </w:rPr>
        <w:lastRenderedPageBreak/>
        <w:t>P</w:t>
      </w:r>
      <w:r w:rsidR="00986560" w:rsidRPr="00B4100D">
        <w:rPr>
          <w:sz w:val="22"/>
          <w:szCs w:val="22"/>
        </w:rPr>
        <w:t>radinė dozė – 400</w:t>
      </w:r>
      <w:r w:rsidR="000547FD" w:rsidRPr="00B4100D">
        <w:rPr>
          <w:sz w:val="22"/>
          <w:szCs w:val="22"/>
        </w:rPr>
        <w:t> </w:t>
      </w:r>
      <w:r w:rsidR="00986560" w:rsidRPr="00B4100D">
        <w:rPr>
          <w:sz w:val="22"/>
          <w:szCs w:val="22"/>
        </w:rPr>
        <w:t>mg</w:t>
      </w:r>
      <w:r w:rsidR="00385CEA">
        <w:rPr>
          <w:sz w:val="22"/>
          <w:szCs w:val="22"/>
        </w:rPr>
        <w:t xml:space="preserve"> (2 tabletės)</w:t>
      </w:r>
      <w:r w:rsidR="000547FD" w:rsidRPr="00B4100D">
        <w:rPr>
          <w:sz w:val="22"/>
          <w:szCs w:val="22"/>
        </w:rPr>
        <w:t xml:space="preserve"> </w:t>
      </w:r>
      <w:r w:rsidR="00385CEA" w:rsidRPr="00B4100D">
        <w:rPr>
          <w:sz w:val="22"/>
          <w:szCs w:val="22"/>
        </w:rPr>
        <w:t xml:space="preserve">vieną kartą per parą, </w:t>
      </w:r>
      <w:r w:rsidR="000547FD" w:rsidRPr="00B4100D">
        <w:rPr>
          <w:sz w:val="22"/>
          <w:szCs w:val="22"/>
        </w:rPr>
        <w:t>vartojama kaip vienkartinė dozė arba</w:t>
      </w:r>
      <w:r w:rsidR="00986560" w:rsidRPr="00B4100D">
        <w:rPr>
          <w:sz w:val="22"/>
          <w:szCs w:val="22"/>
        </w:rPr>
        <w:t xml:space="preserve"> </w:t>
      </w:r>
      <w:r w:rsidR="00A025B0" w:rsidRPr="00B4100D">
        <w:rPr>
          <w:sz w:val="22"/>
          <w:szCs w:val="22"/>
        </w:rPr>
        <w:t>padalin</w:t>
      </w:r>
      <w:r w:rsidR="000547FD" w:rsidRPr="00B4100D">
        <w:rPr>
          <w:sz w:val="22"/>
          <w:szCs w:val="22"/>
        </w:rPr>
        <w:t>us</w:t>
      </w:r>
      <w:r w:rsidR="00A025B0" w:rsidRPr="00B4100D">
        <w:rPr>
          <w:sz w:val="22"/>
          <w:szCs w:val="22"/>
        </w:rPr>
        <w:t xml:space="preserve"> į </w:t>
      </w:r>
      <w:r w:rsidR="000547FD" w:rsidRPr="00B4100D">
        <w:rPr>
          <w:sz w:val="22"/>
          <w:szCs w:val="22"/>
        </w:rPr>
        <w:t>dvi</w:t>
      </w:r>
      <w:r w:rsidR="00A025B0" w:rsidRPr="00B4100D">
        <w:rPr>
          <w:sz w:val="22"/>
          <w:szCs w:val="22"/>
        </w:rPr>
        <w:t xml:space="preserve"> dozes.</w:t>
      </w:r>
    </w:p>
    <w:p w14:paraId="79513325" w14:textId="7D4CBF14" w:rsidR="00986560" w:rsidRPr="00B4100D" w:rsidRDefault="00A025B0" w:rsidP="00986560">
      <w:pPr>
        <w:rPr>
          <w:sz w:val="22"/>
          <w:szCs w:val="22"/>
        </w:rPr>
      </w:pPr>
      <w:r w:rsidRPr="00B4100D">
        <w:rPr>
          <w:sz w:val="22"/>
          <w:szCs w:val="22"/>
        </w:rPr>
        <w:t>Prieš įvertinant poveikį, gydymą reikia tęsti 6–8 savaites.</w:t>
      </w:r>
    </w:p>
    <w:p w14:paraId="3B240C93" w14:textId="1FB0830E" w:rsidR="002A5477" w:rsidRPr="00B4100D" w:rsidRDefault="00D5799D" w:rsidP="00986560">
      <w:pPr>
        <w:rPr>
          <w:sz w:val="22"/>
          <w:szCs w:val="22"/>
        </w:rPr>
      </w:pPr>
      <w:r w:rsidRPr="00B4100D">
        <w:rPr>
          <w:sz w:val="22"/>
          <w:szCs w:val="22"/>
        </w:rPr>
        <w:t>Esant gera</w:t>
      </w:r>
      <w:r w:rsidR="00510AED" w:rsidRPr="00B4100D">
        <w:rPr>
          <w:sz w:val="22"/>
          <w:szCs w:val="22"/>
        </w:rPr>
        <w:t>m atsakui į gydymą</w:t>
      </w:r>
      <w:r w:rsidR="002A5477" w:rsidRPr="00B4100D">
        <w:rPr>
          <w:sz w:val="22"/>
          <w:szCs w:val="22"/>
        </w:rPr>
        <w:t>, paros dozę galima sumažinti po trijų mėnesių.</w:t>
      </w:r>
    </w:p>
    <w:p w14:paraId="7103403C" w14:textId="57C8EF08" w:rsidR="00D5799D" w:rsidRPr="00B4100D" w:rsidRDefault="002A5477" w:rsidP="00986560">
      <w:pPr>
        <w:rPr>
          <w:sz w:val="22"/>
          <w:szCs w:val="22"/>
        </w:rPr>
      </w:pPr>
      <w:r w:rsidRPr="00B4100D">
        <w:rPr>
          <w:sz w:val="22"/>
          <w:szCs w:val="22"/>
        </w:rPr>
        <w:t xml:space="preserve">Palaikomoji dozė </w:t>
      </w:r>
      <w:r w:rsidR="006175FB" w:rsidRPr="00B4100D">
        <w:rPr>
          <w:sz w:val="22"/>
          <w:szCs w:val="22"/>
        </w:rPr>
        <w:t>–</w:t>
      </w:r>
      <w:r w:rsidRPr="00B4100D">
        <w:rPr>
          <w:sz w:val="22"/>
          <w:szCs w:val="22"/>
        </w:rPr>
        <w:t xml:space="preserve"> </w:t>
      </w:r>
      <w:r w:rsidR="00D5799D" w:rsidRPr="00B4100D">
        <w:rPr>
          <w:sz w:val="22"/>
          <w:szCs w:val="22"/>
        </w:rPr>
        <w:t>200</w:t>
      </w:r>
      <w:r w:rsidR="000547FD" w:rsidRPr="00B4100D">
        <w:rPr>
          <w:sz w:val="22"/>
          <w:szCs w:val="22"/>
        </w:rPr>
        <w:t> mg</w:t>
      </w:r>
      <w:r w:rsidR="00D5799D" w:rsidRPr="00B4100D">
        <w:rPr>
          <w:sz w:val="22"/>
          <w:szCs w:val="22"/>
        </w:rPr>
        <w:t xml:space="preserve"> </w:t>
      </w:r>
      <w:r w:rsidR="00385CEA">
        <w:rPr>
          <w:sz w:val="22"/>
          <w:szCs w:val="22"/>
        </w:rPr>
        <w:t xml:space="preserve">(1 tabletė) </w:t>
      </w:r>
      <w:r w:rsidR="00D5799D" w:rsidRPr="00B4100D">
        <w:rPr>
          <w:sz w:val="22"/>
          <w:szCs w:val="22"/>
        </w:rPr>
        <w:t xml:space="preserve">per parą, o vėliau galimai 200 mg </w:t>
      </w:r>
      <w:r w:rsidR="00385CEA">
        <w:rPr>
          <w:sz w:val="22"/>
          <w:szCs w:val="22"/>
        </w:rPr>
        <w:t xml:space="preserve">(1 tabletė) </w:t>
      </w:r>
      <w:r w:rsidR="00D5799D" w:rsidRPr="00B4100D">
        <w:rPr>
          <w:sz w:val="22"/>
          <w:szCs w:val="22"/>
        </w:rPr>
        <w:t xml:space="preserve">kas antrą </w:t>
      </w:r>
      <w:r w:rsidRPr="00B4100D">
        <w:rPr>
          <w:sz w:val="22"/>
          <w:szCs w:val="22"/>
        </w:rPr>
        <w:t xml:space="preserve">parą. </w:t>
      </w:r>
    </w:p>
    <w:p w14:paraId="24C44006" w14:textId="77777777" w:rsidR="00986560" w:rsidRPr="00B4100D" w:rsidRDefault="00986560" w:rsidP="00986560">
      <w:pPr>
        <w:rPr>
          <w:sz w:val="22"/>
          <w:szCs w:val="22"/>
        </w:rPr>
      </w:pPr>
    </w:p>
    <w:p w14:paraId="17D8F455" w14:textId="77777777" w:rsidR="000547FD" w:rsidRPr="00B4100D" w:rsidRDefault="000547FD" w:rsidP="00BE4841">
      <w:pPr>
        <w:rPr>
          <w:b/>
          <w:bCs/>
          <w:i/>
          <w:sz w:val="22"/>
          <w:szCs w:val="22"/>
        </w:rPr>
      </w:pPr>
      <w:r w:rsidRPr="00B4100D">
        <w:rPr>
          <w:b/>
          <w:bCs/>
          <w:i/>
          <w:sz w:val="22"/>
          <w:szCs w:val="22"/>
        </w:rPr>
        <w:t>Jaunatvinis idiopatinis artritas</w:t>
      </w:r>
    </w:p>
    <w:p w14:paraId="792225A9" w14:textId="77777777" w:rsidR="00B75BFA" w:rsidRPr="00B4100D" w:rsidRDefault="00986560" w:rsidP="00BE4841">
      <w:pPr>
        <w:rPr>
          <w:i/>
        </w:rPr>
      </w:pPr>
      <w:r w:rsidRPr="00B4100D">
        <w:rPr>
          <w:i/>
          <w:sz w:val="22"/>
          <w:szCs w:val="22"/>
        </w:rPr>
        <w:t>Vaikų populiacija</w:t>
      </w:r>
    </w:p>
    <w:p w14:paraId="2E0BBADC" w14:textId="2380118E" w:rsidR="00986560" w:rsidRPr="00B4100D" w:rsidRDefault="00986560" w:rsidP="006E671E">
      <w:pPr>
        <w:pStyle w:val="BTEMEASMCA"/>
      </w:pPr>
      <w:r w:rsidRPr="00B4100D">
        <w:t>Turi būti vartojama mažiausia veiksminga dozė</w:t>
      </w:r>
      <w:r w:rsidR="00CA02B5">
        <w:t xml:space="preserve">, kuri </w:t>
      </w:r>
      <w:r w:rsidRPr="00B4100D">
        <w:t>neturėtų viršyti 6,5 mg/kg idealaus kūno svorio per parą</w:t>
      </w:r>
      <w:r w:rsidR="00CA02B5" w:rsidRPr="00CA02B5">
        <w:t xml:space="preserve"> </w:t>
      </w:r>
      <w:r w:rsidR="00CA02B5">
        <w:t xml:space="preserve">ir </w:t>
      </w:r>
      <w:r w:rsidR="00CA02B5" w:rsidRPr="00B4100D">
        <w:t xml:space="preserve">neturėtų viršyti </w:t>
      </w:r>
      <w:r w:rsidR="00CA02B5">
        <w:t>400 mg per parą</w:t>
      </w:r>
      <w:r w:rsidRPr="00B4100D">
        <w:t>. Todėl vaikams, kurių idealus kūno svoris yra mažesnis nei 31 kg, 200 mg table</w:t>
      </w:r>
      <w:r w:rsidR="00D5799D" w:rsidRPr="00B4100D">
        <w:t>tės yra netinkamos</w:t>
      </w:r>
      <w:r w:rsidRPr="00B4100D">
        <w:t xml:space="preserve"> vartoti</w:t>
      </w:r>
      <w:r w:rsidR="00FF1C5B" w:rsidRPr="00B4100D">
        <w:t xml:space="preserve"> (žr. 4.3 skyrių)</w:t>
      </w:r>
      <w:r w:rsidRPr="00B4100D">
        <w:t>.</w:t>
      </w:r>
    </w:p>
    <w:p w14:paraId="130C4425" w14:textId="77777777" w:rsidR="00D5799D" w:rsidRPr="00B4100D" w:rsidRDefault="00D5799D" w:rsidP="00D5799D">
      <w:pPr>
        <w:pStyle w:val="BTEMEASMCA"/>
        <w:rPr>
          <w:i/>
        </w:rPr>
      </w:pPr>
    </w:p>
    <w:p w14:paraId="589EF816" w14:textId="77777777" w:rsidR="00D5799D" w:rsidRPr="00B4100D" w:rsidRDefault="00D5799D" w:rsidP="00D5799D">
      <w:pPr>
        <w:pStyle w:val="BTEMEASMCA"/>
        <w:rPr>
          <w:b/>
          <w:bCs/>
          <w:i/>
        </w:rPr>
      </w:pPr>
      <w:r w:rsidRPr="00B4100D">
        <w:rPr>
          <w:b/>
          <w:bCs/>
          <w:i/>
        </w:rPr>
        <w:t xml:space="preserve">Sisteminė ir diskoidinė raudonoji vilkligė </w:t>
      </w:r>
    </w:p>
    <w:p w14:paraId="65A04A1E" w14:textId="7F61E4DE" w:rsidR="000547FD" w:rsidRPr="00B4100D" w:rsidRDefault="00FF1C5B" w:rsidP="00FF1C5B">
      <w:pPr>
        <w:pStyle w:val="BTEMEASMCA"/>
        <w:rPr>
          <w:i/>
          <w:iCs/>
        </w:rPr>
      </w:pPr>
      <w:r w:rsidRPr="00B4100D">
        <w:rPr>
          <w:i/>
          <w:iCs/>
        </w:rPr>
        <w:t>Suaugusie</w:t>
      </w:r>
      <w:r w:rsidR="002A5477" w:rsidRPr="00B4100D">
        <w:rPr>
          <w:i/>
          <w:iCs/>
        </w:rPr>
        <w:t xml:space="preserve">siems </w:t>
      </w:r>
    </w:p>
    <w:p w14:paraId="514850D7" w14:textId="05FADD07" w:rsidR="00FF1C5B" w:rsidRPr="00B4100D" w:rsidRDefault="000547FD" w:rsidP="00FF1C5B">
      <w:pPr>
        <w:pStyle w:val="BTEMEASMCA"/>
      </w:pPr>
      <w:r w:rsidRPr="00B4100D">
        <w:t>P</w:t>
      </w:r>
      <w:r w:rsidR="00FF1C5B" w:rsidRPr="00B4100D">
        <w:t xml:space="preserve">radinė dozė – </w:t>
      </w:r>
      <w:r w:rsidR="002A3461" w:rsidRPr="00B4100D">
        <w:t xml:space="preserve">nuo </w:t>
      </w:r>
      <w:r w:rsidR="00FF1C5B" w:rsidRPr="00B4100D">
        <w:t>400</w:t>
      </w:r>
      <w:r w:rsidRPr="00B4100D">
        <w:t> </w:t>
      </w:r>
      <w:r w:rsidR="00FF1C5B" w:rsidRPr="00B4100D">
        <w:t xml:space="preserve">mg </w:t>
      </w:r>
      <w:r w:rsidRPr="00B4100D">
        <w:t>(</w:t>
      </w:r>
      <w:r w:rsidR="00385CEA">
        <w:t xml:space="preserve">2 tabletės, </w:t>
      </w:r>
      <w:r w:rsidRPr="00B4100D">
        <w:t xml:space="preserve">vartojama kaip vienkartinė dozė arba padalinus į dvi dozes) </w:t>
      </w:r>
      <w:r w:rsidR="002A3461" w:rsidRPr="00B4100D">
        <w:t>iki 600 mg (</w:t>
      </w:r>
      <w:r w:rsidR="00385CEA">
        <w:t xml:space="preserve">3 tabletės, </w:t>
      </w:r>
      <w:r w:rsidR="002A3461" w:rsidRPr="00B4100D">
        <w:t xml:space="preserve">vartojama kaip vienkartinė dozė arba padalinus į dvi ar tris dozes) </w:t>
      </w:r>
      <w:r w:rsidR="00385CEA">
        <w:t xml:space="preserve">kartą </w:t>
      </w:r>
      <w:r w:rsidR="00FF1C5B" w:rsidRPr="00B4100D">
        <w:t>per parą (kelias savaites, jei būtina). Didžiausia dozė neturėtų viršyti 6,5</w:t>
      </w:r>
      <w:r w:rsidR="002A3461" w:rsidRPr="00B4100D">
        <w:t> </w:t>
      </w:r>
      <w:r w:rsidR="00FF1C5B" w:rsidRPr="00B4100D">
        <w:t xml:space="preserve">mg/kg kūno svorio per parą. </w:t>
      </w:r>
    </w:p>
    <w:p w14:paraId="5E52302E" w14:textId="4FC8F2D9" w:rsidR="00986560" w:rsidRPr="00B4100D" w:rsidRDefault="00FF1C5B" w:rsidP="00FF1C5B">
      <w:pPr>
        <w:pStyle w:val="BTEMEASMCA"/>
      </w:pPr>
      <w:r w:rsidRPr="00B4100D">
        <w:t>Palaikomoji dozė</w:t>
      </w:r>
      <w:r w:rsidR="002A3461" w:rsidRPr="00B4100D">
        <w:t xml:space="preserve"> –</w:t>
      </w:r>
      <w:r w:rsidRPr="00B4100D">
        <w:t xml:space="preserve"> </w:t>
      </w:r>
      <w:r w:rsidR="00385CEA">
        <w:t xml:space="preserve">nuo </w:t>
      </w:r>
      <w:r w:rsidRPr="00B4100D">
        <w:t>200</w:t>
      </w:r>
      <w:r w:rsidR="00385CEA">
        <w:t xml:space="preserve"> mg (1 tabletė) iki </w:t>
      </w:r>
      <w:r w:rsidRPr="00B4100D">
        <w:t>400</w:t>
      </w:r>
      <w:r w:rsidR="00385CEA">
        <w:t> </w:t>
      </w:r>
      <w:r w:rsidRPr="00B4100D">
        <w:t>mg</w:t>
      </w:r>
      <w:r w:rsidR="00385CEA">
        <w:t xml:space="preserve"> (2 tabletės)</w:t>
      </w:r>
      <w:r w:rsidR="002A3461" w:rsidRPr="00B4100D">
        <w:t xml:space="preserve"> </w:t>
      </w:r>
      <w:r w:rsidR="00385CEA" w:rsidRPr="00B4100D">
        <w:t>per parą</w:t>
      </w:r>
      <w:r w:rsidR="00385CEA">
        <w:t>,</w:t>
      </w:r>
      <w:r w:rsidR="00385CEA" w:rsidRPr="00B4100D">
        <w:t xml:space="preserve"> </w:t>
      </w:r>
      <w:r w:rsidR="002A3461" w:rsidRPr="00B4100D">
        <w:t>vartojama kaip vienkartinė dozė arba padalinus į dvi dozes</w:t>
      </w:r>
      <w:r w:rsidRPr="00B4100D">
        <w:t>.</w:t>
      </w:r>
    </w:p>
    <w:p w14:paraId="120F3A04" w14:textId="77777777" w:rsidR="00FF1C5B" w:rsidRPr="00B4100D" w:rsidRDefault="00FF1C5B" w:rsidP="00FF1C5B">
      <w:pPr>
        <w:pStyle w:val="BTEMEASMCA"/>
      </w:pPr>
    </w:p>
    <w:p w14:paraId="6D31751B" w14:textId="77777777" w:rsidR="00FF1C5B" w:rsidRPr="00B4100D" w:rsidRDefault="00FF1C5B" w:rsidP="00FF1C5B">
      <w:pPr>
        <w:rPr>
          <w:i/>
        </w:rPr>
      </w:pPr>
      <w:r w:rsidRPr="00B4100D">
        <w:rPr>
          <w:i/>
          <w:sz w:val="22"/>
          <w:szCs w:val="22"/>
        </w:rPr>
        <w:t>Vaikų populiacija</w:t>
      </w:r>
    </w:p>
    <w:p w14:paraId="1D667BDB" w14:textId="032E4763" w:rsidR="00FF1C5B" w:rsidRPr="00B4100D" w:rsidRDefault="00FF1C5B" w:rsidP="00FF1C5B">
      <w:pPr>
        <w:pStyle w:val="BTEMEASMCA"/>
      </w:pPr>
      <w:r w:rsidRPr="00B4100D">
        <w:t>Turi būti vartojama mažiausia veiksminga dozė</w:t>
      </w:r>
      <w:r w:rsidR="00CA02B5">
        <w:t xml:space="preserve">, kuri </w:t>
      </w:r>
      <w:r w:rsidRPr="00B4100D">
        <w:t>neturėtų viršyti 6,5 mg/kg idealaus kūno svorio per parą</w:t>
      </w:r>
      <w:r w:rsidR="00CA02B5">
        <w:t xml:space="preserve"> ir </w:t>
      </w:r>
      <w:r w:rsidR="00CA02B5" w:rsidRPr="00B4100D">
        <w:t xml:space="preserve">neturėtų viršyti </w:t>
      </w:r>
      <w:r w:rsidR="00CA02B5">
        <w:t>400 mg per parą</w:t>
      </w:r>
      <w:r w:rsidRPr="00B4100D">
        <w:t>. Todėl vaikams, kurių idealus kūno svoris yra mažesnis nei 31 kg, 200 mg tabletės yra netinkamos vartoti (žr. 4.3 skyrių).</w:t>
      </w:r>
    </w:p>
    <w:p w14:paraId="7FAA3B86" w14:textId="77777777" w:rsidR="00FF1C5B" w:rsidRPr="00B4100D" w:rsidRDefault="00FF1C5B" w:rsidP="00FF1C5B">
      <w:pPr>
        <w:rPr>
          <w:sz w:val="22"/>
          <w:szCs w:val="22"/>
        </w:rPr>
      </w:pPr>
    </w:p>
    <w:p w14:paraId="40BA8202" w14:textId="77777777" w:rsidR="00FF1C5B" w:rsidRPr="00B4100D" w:rsidRDefault="002A3461" w:rsidP="00FF1C5B">
      <w:pPr>
        <w:rPr>
          <w:b/>
          <w:bCs/>
          <w:i/>
          <w:sz w:val="22"/>
          <w:szCs w:val="22"/>
        </w:rPr>
      </w:pPr>
      <w:r w:rsidRPr="00B4100D">
        <w:rPr>
          <w:b/>
          <w:bCs/>
          <w:i/>
          <w:sz w:val="22"/>
          <w:szCs w:val="22"/>
        </w:rPr>
        <w:t>Fotodermatozės</w:t>
      </w:r>
    </w:p>
    <w:p w14:paraId="4E1A6A28" w14:textId="1C8474F7" w:rsidR="002A3461" w:rsidRPr="00B4100D" w:rsidRDefault="002A3461" w:rsidP="00FF1C5B">
      <w:pPr>
        <w:rPr>
          <w:i/>
          <w:sz w:val="22"/>
          <w:szCs w:val="22"/>
        </w:rPr>
      </w:pPr>
      <w:r w:rsidRPr="00B4100D">
        <w:rPr>
          <w:i/>
          <w:sz w:val="22"/>
          <w:szCs w:val="22"/>
        </w:rPr>
        <w:t>Suaugusie</w:t>
      </w:r>
      <w:r w:rsidR="008F0A5D" w:rsidRPr="00B4100D">
        <w:rPr>
          <w:i/>
          <w:sz w:val="22"/>
          <w:szCs w:val="22"/>
        </w:rPr>
        <w:t>siems</w:t>
      </w:r>
    </w:p>
    <w:p w14:paraId="26395DBA" w14:textId="6B194A78" w:rsidR="00FF1C5B" w:rsidRPr="00B4100D" w:rsidRDefault="002A3461" w:rsidP="00FF1C5B">
      <w:pPr>
        <w:rPr>
          <w:sz w:val="22"/>
          <w:szCs w:val="22"/>
        </w:rPr>
      </w:pPr>
      <w:r w:rsidRPr="00B4100D">
        <w:rPr>
          <w:sz w:val="22"/>
          <w:szCs w:val="22"/>
        </w:rPr>
        <w:t>P</w:t>
      </w:r>
      <w:r w:rsidR="00FF1C5B" w:rsidRPr="00B4100D">
        <w:rPr>
          <w:sz w:val="22"/>
          <w:szCs w:val="22"/>
        </w:rPr>
        <w:t xml:space="preserve">aprastai pakanka 400 mg </w:t>
      </w:r>
      <w:r w:rsidR="00B97D74">
        <w:rPr>
          <w:sz w:val="22"/>
          <w:szCs w:val="22"/>
        </w:rPr>
        <w:t xml:space="preserve">(2 tabletės) kartą </w:t>
      </w:r>
      <w:r w:rsidR="00FF1C5B" w:rsidRPr="00B4100D">
        <w:rPr>
          <w:sz w:val="22"/>
          <w:szCs w:val="22"/>
        </w:rPr>
        <w:t xml:space="preserve">per parą, </w:t>
      </w:r>
      <w:r w:rsidRPr="00B4100D">
        <w:rPr>
          <w:sz w:val="22"/>
          <w:szCs w:val="22"/>
        </w:rPr>
        <w:t>vartojant kaip vienkartinę dozę arba padalinus į dvi dozes</w:t>
      </w:r>
      <w:r w:rsidR="00FF1C5B" w:rsidRPr="00B4100D">
        <w:rPr>
          <w:sz w:val="22"/>
          <w:szCs w:val="22"/>
        </w:rPr>
        <w:t>.</w:t>
      </w:r>
      <w:r w:rsidR="00B97D74">
        <w:rPr>
          <w:sz w:val="22"/>
          <w:szCs w:val="22"/>
        </w:rPr>
        <w:t xml:space="preserve"> </w:t>
      </w:r>
      <w:r w:rsidR="00FF1C5B" w:rsidRPr="00B4100D">
        <w:rPr>
          <w:sz w:val="22"/>
          <w:szCs w:val="22"/>
        </w:rPr>
        <w:t>Gydyti tik tuo laiku, kai saulės šviesos daugiausia.</w:t>
      </w:r>
    </w:p>
    <w:p w14:paraId="01CD8064" w14:textId="77777777" w:rsidR="00FF1C5B" w:rsidRPr="00B4100D" w:rsidRDefault="00FF1C5B" w:rsidP="00BE4841">
      <w:pPr>
        <w:rPr>
          <w:i/>
          <w:sz w:val="22"/>
          <w:szCs w:val="22"/>
        </w:rPr>
      </w:pPr>
    </w:p>
    <w:p w14:paraId="43C32B4F" w14:textId="77777777" w:rsidR="00986560" w:rsidRPr="00B4100D" w:rsidRDefault="00986560" w:rsidP="00BE4841">
      <w:pPr>
        <w:rPr>
          <w:b/>
          <w:bCs/>
          <w:i/>
        </w:rPr>
      </w:pPr>
      <w:r w:rsidRPr="00B4100D">
        <w:rPr>
          <w:b/>
          <w:bCs/>
          <w:i/>
          <w:sz w:val="22"/>
          <w:szCs w:val="22"/>
        </w:rPr>
        <w:t>Maliarija</w:t>
      </w:r>
    </w:p>
    <w:p w14:paraId="31614B45" w14:textId="77777777" w:rsidR="00986560" w:rsidRPr="00B4100D" w:rsidRDefault="00986560" w:rsidP="00BE4841">
      <w:pPr>
        <w:rPr>
          <w:iCs/>
          <w:u w:val="single"/>
        </w:rPr>
      </w:pPr>
      <w:r w:rsidRPr="00B4100D">
        <w:rPr>
          <w:iCs/>
          <w:sz w:val="22"/>
          <w:szCs w:val="22"/>
          <w:u w:val="single"/>
        </w:rPr>
        <w:t>Maliarijos profilaktika</w:t>
      </w:r>
    </w:p>
    <w:p w14:paraId="7C91712D" w14:textId="77777777" w:rsidR="002A3461" w:rsidRPr="00B4100D" w:rsidRDefault="002A3461" w:rsidP="002A3461">
      <w:pPr>
        <w:pStyle w:val="BTEMEASMCA"/>
      </w:pPr>
      <w:r w:rsidRPr="00B4100D">
        <w:t xml:space="preserve">Profilaktinį gydymą reikia pradėti likus vienai savaitei iki atvykimo į vietą, kur galima užsikrėsti maliarija, o išvykus iš tos vietos – tęsti dar keturias savaites. </w:t>
      </w:r>
    </w:p>
    <w:p w14:paraId="72AFC6C0" w14:textId="77777777" w:rsidR="002A3461" w:rsidRPr="00B4100D" w:rsidRDefault="002A3461">
      <w:pPr>
        <w:pStyle w:val="BTEMEASMCA"/>
        <w:rPr>
          <w:i/>
          <w:iCs/>
        </w:rPr>
      </w:pPr>
    </w:p>
    <w:p w14:paraId="5C68BA3F" w14:textId="67887C57" w:rsidR="002A3461" w:rsidRPr="00B4100D" w:rsidRDefault="00986560">
      <w:pPr>
        <w:pStyle w:val="BTEMEASMCA"/>
      </w:pPr>
      <w:r w:rsidRPr="00B4100D">
        <w:rPr>
          <w:i/>
          <w:iCs/>
        </w:rPr>
        <w:t>Suaugusie</w:t>
      </w:r>
      <w:r w:rsidR="008F0A5D" w:rsidRPr="00B4100D">
        <w:rPr>
          <w:i/>
          <w:iCs/>
        </w:rPr>
        <w:t xml:space="preserve">siems </w:t>
      </w:r>
    </w:p>
    <w:p w14:paraId="38BDDE86" w14:textId="4703A6E6" w:rsidR="00986560" w:rsidRPr="00B4100D" w:rsidRDefault="00986560">
      <w:pPr>
        <w:pStyle w:val="BTEMEASMCA"/>
      </w:pPr>
      <w:r w:rsidRPr="00B4100D">
        <w:t xml:space="preserve">400 mg </w:t>
      </w:r>
      <w:r w:rsidR="00B97D74">
        <w:t xml:space="preserve">(2 tabletės) </w:t>
      </w:r>
      <w:r w:rsidRPr="00B4100D">
        <w:t>kartą per savaitę</w:t>
      </w:r>
      <w:r w:rsidR="002A3461" w:rsidRPr="00B4100D">
        <w:t xml:space="preserve">, </w:t>
      </w:r>
      <w:r w:rsidRPr="00B4100D">
        <w:t>kaskart vis tą pačią savaitės dieną.</w:t>
      </w:r>
    </w:p>
    <w:p w14:paraId="670E9A23" w14:textId="77777777" w:rsidR="002A3461" w:rsidRPr="00B4100D" w:rsidRDefault="002A3461">
      <w:pPr>
        <w:pStyle w:val="BTEMEASMCA"/>
      </w:pPr>
    </w:p>
    <w:p w14:paraId="363C1A4A" w14:textId="6293741D" w:rsidR="002A3461" w:rsidRPr="00B4100D" w:rsidRDefault="00986560" w:rsidP="00337C62">
      <w:pPr>
        <w:pStyle w:val="BTEMEASMCA"/>
        <w:rPr>
          <w:i/>
          <w:iCs/>
        </w:rPr>
      </w:pPr>
      <w:r w:rsidRPr="00B4100D">
        <w:rPr>
          <w:i/>
          <w:iCs/>
        </w:rPr>
        <w:t>Vaik</w:t>
      </w:r>
      <w:r w:rsidR="008F0A5D" w:rsidRPr="00B4100D">
        <w:rPr>
          <w:i/>
          <w:iCs/>
        </w:rPr>
        <w:t xml:space="preserve">ų populiacija </w:t>
      </w:r>
    </w:p>
    <w:p w14:paraId="3AC9601A" w14:textId="77777777" w:rsidR="00337C62" w:rsidRPr="00B4100D" w:rsidRDefault="002A3461" w:rsidP="00337C62">
      <w:pPr>
        <w:pStyle w:val="BTEMEASMCA"/>
      </w:pPr>
      <w:r w:rsidRPr="00B4100D">
        <w:t>S</w:t>
      </w:r>
      <w:r w:rsidR="00986560" w:rsidRPr="00B4100D">
        <w:t xml:space="preserve">avaitinė </w:t>
      </w:r>
      <w:r w:rsidR="00FF1C5B" w:rsidRPr="00B4100D">
        <w:t>profilaktinė</w:t>
      </w:r>
      <w:r w:rsidR="00986560" w:rsidRPr="00B4100D">
        <w:t xml:space="preserve"> dozė yra 6,5 mg/kg kūno svorio, bet </w:t>
      </w:r>
      <w:r w:rsidR="00FF1C5B" w:rsidRPr="00B4100D">
        <w:t xml:space="preserve">ji </w:t>
      </w:r>
      <w:r w:rsidR="00986560" w:rsidRPr="00B4100D">
        <w:t>neturi būti didesnė už suaugusiųjų dozę</w:t>
      </w:r>
      <w:r w:rsidR="00FF1C5B" w:rsidRPr="00B4100D">
        <w:t xml:space="preserve">, nepriklausomai nuo kūno </w:t>
      </w:r>
      <w:r w:rsidR="00986560" w:rsidRPr="00B4100D">
        <w:t>svori</w:t>
      </w:r>
      <w:r w:rsidR="00FF1C5B" w:rsidRPr="00B4100D">
        <w:t>o</w:t>
      </w:r>
      <w:r w:rsidR="00986560" w:rsidRPr="00B4100D">
        <w:t>.</w:t>
      </w:r>
      <w:r w:rsidR="00337C62" w:rsidRPr="00B4100D">
        <w:t xml:space="preserve"> Todėl vaikams, kurių idealus kūno svoris yra mažesnis nei 31 kg, 200 mg tabletės yra netinkamos vartoti (žr. 4.3 skyrių).</w:t>
      </w:r>
    </w:p>
    <w:p w14:paraId="5A788967" w14:textId="77777777" w:rsidR="00986560" w:rsidRPr="00B4100D" w:rsidRDefault="00986560">
      <w:pPr>
        <w:pStyle w:val="BTEMEASMCA"/>
      </w:pPr>
    </w:p>
    <w:p w14:paraId="5D3C2AF4" w14:textId="4356DBC2" w:rsidR="00986560" w:rsidRPr="00B4100D" w:rsidRDefault="00B97D74" w:rsidP="00BE4841">
      <w:pPr>
        <w:rPr>
          <w:iCs/>
          <w:u w:val="single"/>
        </w:rPr>
      </w:pPr>
      <w:r>
        <w:rPr>
          <w:iCs/>
          <w:sz w:val="22"/>
          <w:szCs w:val="22"/>
          <w:u w:val="single"/>
        </w:rPr>
        <w:t>N</w:t>
      </w:r>
      <w:r w:rsidR="002A3461" w:rsidRPr="00B4100D">
        <w:rPr>
          <w:iCs/>
          <w:sz w:val="22"/>
          <w:szCs w:val="22"/>
          <w:u w:val="single"/>
        </w:rPr>
        <w:t>esudėtingo</w:t>
      </w:r>
      <w:r>
        <w:rPr>
          <w:iCs/>
          <w:sz w:val="22"/>
          <w:szCs w:val="22"/>
          <w:u w:val="single"/>
        </w:rPr>
        <w:t>s</w:t>
      </w:r>
      <w:r w:rsidR="002A3461" w:rsidRPr="00B4100D">
        <w:rPr>
          <w:iCs/>
          <w:sz w:val="22"/>
          <w:szCs w:val="22"/>
          <w:u w:val="single"/>
        </w:rPr>
        <w:t xml:space="preserve"> </w:t>
      </w:r>
      <w:r w:rsidR="00986560" w:rsidRPr="00B4100D">
        <w:rPr>
          <w:iCs/>
          <w:sz w:val="22"/>
          <w:szCs w:val="22"/>
          <w:u w:val="single"/>
        </w:rPr>
        <w:t>maliarijos gydymas</w:t>
      </w:r>
    </w:p>
    <w:p w14:paraId="6848BA1D" w14:textId="4DDA6536" w:rsidR="002A3461" w:rsidRPr="00B4100D" w:rsidRDefault="00986560">
      <w:pPr>
        <w:pStyle w:val="BTEMEASMCA"/>
        <w:rPr>
          <w:i/>
          <w:iCs/>
        </w:rPr>
      </w:pPr>
      <w:r w:rsidRPr="00B4100D">
        <w:rPr>
          <w:i/>
          <w:iCs/>
        </w:rPr>
        <w:t>Suaugusie</w:t>
      </w:r>
      <w:r w:rsidR="005665CD" w:rsidRPr="00B4100D">
        <w:rPr>
          <w:i/>
          <w:iCs/>
        </w:rPr>
        <w:t xml:space="preserve">siems </w:t>
      </w:r>
    </w:p>
    <w:p w14:paraId="4918E4D1" w14:textId="13ED07F4" w:rsidR="00936973" w:rsidRPr="00B4100D" w:rsidRDefault="002A3461">
      <w:pPr>
        <w:pStyle w:val="BTEMEASMCA"/>
      </w:pPr>
      <w:r w:rsidRPr="00B4100D">
        <w:t>P</w:t>
      </w:r>
      <w:r w:rsidR="00986560" w:rsidRPr="00B4100D">
        <w:t>irm</w:t>
      </w:r>
      <w:r w:rsidR="00936973" w:rsidRPr="00B4100D">
        <w:t xml:space="preserve">inė </w:t>
      </w:r>
      <w:r w:rsidR="00986560" w:rsidRPr="00B4100D">
        <w:t xml:space="preserve">dozė yra 800 mg, antroji (po 6–8 valandų) – 400 mg, paskui – po 400 mg dvi dienas iš eilės (iš viso 2 g </w:t>
      </w:r>
      <w:r w:rsidR="00B97D74">
        <w:t xml:space="preserve">(10 tablečių) </w:t>
      </w:r>
      <w:r w:rsidR="00986560" w:rsidRPr="00B4100D">
        <w:t xml:space="preserve">hidroksichlorokvino sulfato). </w:t>
      </w:r>
    </w:p>
    <w:p w14:paraId="5B0F108C" w14:textId="77777777" w:rsidR="00936973" w:rsidRPr="00B4100D" w:rsidRDefault="00936973">
      <w:pPr>
        <w:pStyle w:val="BTEMEASMCA"/>
      </w:pPr>
      <w:r w:rsidRPr="00B4100D">
        <w:rPr>
          <w:i/>
          <w:iCs/>
        </w:rPr>
        <w:t>Plasmodium falciparum</w:t>
      </w:r>
      <w:r w:rsidRPr="00B4100D">
        <w:t xml:space="preserve"> infekcijai ir ūminei </w:t>
      </w:r>
      <w:r w:rsidRPr="00B4100D">
        <w:rPr>
          <w:i/>
          <w:iCs/>
        </w:rPr>
        <w:t>Plasmodium vivax</w:t>
      </w:r>
      <w:r w:rsidRPr="00B4100D">
        <w:t xml:space="preserve"> infekcijai malšinti pakanka ir </w:t>
      </w:r>
      <w:r w:rsidR="00986560" w:rsidRPr="00B4100D">
        <w:t>vien</w:t>
      </w:r>
      <w:r w:rsidRPr="00B4100D">
        <w:t xml:space="preserve">os </w:t>
      </w:r>
      <w:r w:rsidR="00986560" w:rsidRPr="00B4100D">
        <w:t>800 mg dozė</w:t>
      </w:r>
      <w:r w:rsidRPr="00B4100D">
        <w:t>s</w:t>
      </w:r>
      <w:r w:rsidR="00986560" w:rsidRPr="00B4100D">
        <w:t xml:space="preserve">. </w:t>
      </w:r>
    </w:p>
    <w:p w14:paraId="6BFAB6E7" w14:textId="77777777" w:rsidR="00936973" w:rsidRPr="00B4100D" w:rsidRDefault="00936973" w:rsidP="00936973">
      <w:pPr>
        <w:rPr>
          <w:sz w:val="22"/>
          <w:szCs w:val="22"/>
        </w:rPr>
      </w:pPr>
      <w:r w:rsidRPr="00B4100D">
        <w:rPr>
          <w:sz w:val="22"/>
          <w:szCs w:val="22"/>
        </w:rPr>
        <w:t xml:space="preserve">Skiriant gydymą, būtina laikytis oficialių nurodymų ir atsižvelgti į vietinę informaciją apie atsparumo vaistiniams </w:t>
      </w:r>
      <w:r w:rsidR="002A3461" w:rsidRPr="00B4100D">
        <w:rPr>
          <w:sz w:val="22"/>
          <w:szCs w:val="22"/>
        </w:rPr>
        <w:t>prepara</w:t>
      </w:r>
      <w:r w:rsidRPr="00B4100D">
        <w:rPr>
          <w:sz w:val="22"/>
          <w:szCs w:val="22"/>
        </w:rPr>
        <w:t>tams nuo maliarijos atsiradimą, pvz., PSO ir visuomenės sveikatos srities gaires.</w:t>
      </w:r>
    </w:p>
    <w:p w14:paraId="0C47B947" w14:textId="18590BCA" w:rsidR="00936973" w:rsidRPr="00B4100D" w:rsidRDefault="002A3461">
      <w:pPr>
        <w:pStyle w:val="BTEMEASMCA"/>
      </w:pPr>
      <w:r w:rsidRPr="00B4100D">
        <w:rPr>
          <w:i/>
          <w:iCs/>
        </w:rPr>
        <w:t>P.</w:t>
      </w:r>
      <w:r w:rsidRPr="00B4100D">
        <w:t> </w:t>
      </w:r>
      <w:r w:rsidR="00936973" w:rsidRPr="00B4100D">
        <w:rPr>
          <w:i/>
          <w:iCs/>
        </w:rPr>
        <w:t>vivax</w:t>
      </w:r>
      <w:r w:rsidR="00936973" w:rsidRPr="00B4100D">
        <w:t xml:space="preserve"> ir </w:t>
      </w:r>
      <w:r w:rsidRPr="00B4100D">
        <w:rPr>
          <w:i/>
          <w:iCs/>
        </w:rPr>
        <w:t>P. </w:t>
      </w:r>
      <w:r w:rsidR="00936973" w:rsidRPr="00B4100D">
        <w:rPr>
          <w:i/>
          <w:iCs/>
        </w:rPr>
        <w:t>oval</w:t>
      </w:r>
      <w:r w:rsidR="00936973" w:rsidRPr="00B4100D">
        <w:t xml:space="preserve"> </w:t>
      </w:r>
      <w:r w:rsidR="00014A5B" w:rsidRPr="00B4100D">
        <w:t xml:space="preserve">infekcijų gydymas </w:t>
      </w:r>
      <w:r w:rsidR="00936973" w:rsidRPr="00B4100D">
        <w:t>tur</w:t>
      </w:r>
      <w:r w:rsidR="00014A5B" w:rsidRPr="00B4100D">
        <w:t xml:space="preserve">i </w:t>
      </w:r>
      <w:r w:rsidR="00936973" w:rsidRPr="00B4100D">
        <w:t xml:space="preserve">būti </w:t>
      </w:r>
      <w:r w:rsidR="00014A5B" w:rsidRPr="00B4100D">
        <w:t>pa</w:t>
      </w:r>
      <w:r w:rsidR="00936973" w:rsidRPr="00B4100D">
        <w:t xml:space="preserve">baigtas gydymu 8-aminochinolinu, kad būtų </w:t>
      </w:r>
      <w:r w:rsidR="00014A5B" w:rsidRPr="00B4100D">
        <w:t>sunaikintos</w:t>
      </w:r>
      <w:r w:rsidR="00936973" w:rsidRPr="00B4100D">
        <w:t xml:space="preserve"> </w:t>
      </w:r>
      <w:r w:rsidR="00014A5B" w:rsidRPr="00B4100D">
        <w:t>ne eritrocituose esan</w:t>
      </w:r>
      <w:r w:rsidR="00DD43ED" w:rsidRPr="00B4100D">
        <w:t>čios</w:t>
      </w:r>
      <w:r w:rsidR="00014A5B" w:rsidRPr="00B4100D">
        <w:t xml:space="preserve"> </w:t>
      </w:r>
      <w:r w:rsidR="00014A5B" w:rsidRPr="00B4100D">
        <w:rPr>
          <w:i/>
          <w:iCs/>
        </w:rPr>
        <w:t xml:space="preserve">Plasmodium </w:t>
      </w:r>
      <w:r w:rsidR="00DD43ED" w:rsidRPr="00B4100D">
        <w:t>formos</w:t>
      </w:r>
      <w:r w:rsidR="00936973" w:rsidRPr="00B4100D">
        <w:t>.</w:t>
      </w:r>
    </w:p>
    <w:p w14:paraId="369B87EC" w14:textId="77777777" w:rsidR="002A3461" w:rsidRPr="00B4100D" w:rsidRDefault="002A3461">
      <w:pPr>
        <w:pStyle w:val="BTEMEASMCA"/>
        <w:rPr>
          <w:i/>
          <w:iCs/>
        </w:rPr>
      </w:pPr>
    </w:p>
    <w:p w14:paraId="07BA4C3E" w14:textId="5245F878" w:rsidR="002A3461" w:rsidRPr="00B4100D" w:rsidRDefault="00986560">
      <w:pPr>
        <w:pStyle w:val="BTEMEASMCA"/>
        <w:rPr>
          <w:i/>
          <w:iCs/>
        </w:rPr>
      </w:pPr>
      <w:r w:rsidRPr="00B4100D">
        <w:rPr>
          <w:i/>
          <w:iCs/>
        </w:rPr>
        <w:t>Vaik</w:t>
      </w:r>
      <w:r w:rsidR="005665CD" w:rsidRPr="00B4100D">
        <w:rPr>
          <w:i/>
          <w:iCs/>
        </w:rPr>
        <w:t xml:space="preserve">ų populiacija </w:t>
      </w:r>
    </w:p>
    <w:p w14:paraId="110BA265" w14:textId="77777777" w:rsidR="008A276F" w:rsidRPr="00B4100D" w:rsidRDefault="00014A5B">
      <w:pPr>
        <w:pStyle w:val="BTEMEASMCA"/>
      </w:pPr>
      <w:r w:rsidRPr="00B4100D">
        <w:t>1</w:t>
      </w:r>
      <w:r w:rsidR="002A3461" w:rsidRPr="00B4100D">
        <w:t>3 </w:t>
      </w:r>
      <w:r w:rsidRPr="00B4100D">
        <w:t xml:space="preserve">mg/kg </w:t>
      </w:r>
      <w:r w:rsidR="00BE09A7" w:rsidRPr="00B4100D">
        <w:t xml:space="preserve">hidroksichlorokvino sulfato </w:t>
      </w:r>
      <w:r w:rsidRPr="00B4100D">
        <w:t xml:space="preserve">dozė vaikams atitinka 800 mg dozę suaugusiesiems, o </w:t>
      </w:r>
      <w:r w:rsidR="00BE09A7" w:rsidRPr="00B4100D">
        <w:t>6,</w:t>
      </w:r>
      <w:r w:rsidRPr="00B4100D">
        <w:t>5</w:t>
      </w:r>
      <w:r w:rsidR="00BE09A7" w:rsidRPr="00B4100D">
        <w:t> </w:t>
      </w:r>
      <w:r w:rsidRPr="00B4100D">
        <w:t xml:space="preserve">mg/kg </w:t>
      </w:r>
      <w:r w:rsidR="00BE09A7" w:rsidRPr="00B4100D">
        <w:t xml:space="preserve">hidroksichlorokvino sulfato </w:t>
      </w:r>
      <w:r w:rsidRPr="00B4100D">
        <w:t xml:space="preserve">vaikams atitinka 400 mg suaugusiesiems. </w:t>
      </w:r>
    </w:p>
    <w:p w14:paraId="0661B531" w14:textId="77777777" w:rsidR="00986560" w:rsidRPr="00B4100D" w:rsidRDefault="008A276F">
      <w:pPr>
        <w:pStyle w:val="BTEMEASMCA"/>
      </w:pPr>
      <w:r w:rsidRPr="00B4100D">
        <w:lastRenderedPageBreak/>
        <w:t>P</w:t>
      </w:r>
      <w:r w:rsidR="00986560" w:rsidRPr="00B4100D">
        <w:t xml:space="preserve">er tris </w:t>
      </w:r>
      <w:r w:rsidR="00BE09A7" w:rsidRPr="00B4100D">
        <w:t>dien</w:t>
      </w:r>
      <w:r w:rsidR="00986560" w:rsidRPr="00B4100D">
        <w:t xml:space="preserve">as </w:t>
      </w:r>
      <w:r w:rsidRPr="00B4100D">
        <w:t xml:space="preserve">skiriama bendra iki </w:t>
      </w:r>
      <w:r w:rsidR="00986560" w:rsidRPr="00B4100D">
        <w:t>2 g</w:t>
      </w:r>
      <w:r w:rsidR="00BE09A7" w:rsidRPr="00B4100D">
        <w:t>ramų</w:t>
      </w:r>
      <w:r w:rsidRPr="00B4100D">
        <w:t xml:space="preserve"> dozė</w:t>
      </w:r>
      <w:r w:rsidR="00986560" w:rsidRPr="00B4100D">
        <w:t>:</w:t>
      </w:r>
    </w:p>
    <w:p w14:paraId="6D70CAA0" w14:textId="77777777" w:rsidR="00986560" w:rsidRPr="00B4100D" w:rsidRDefault="00986560" w:rsidP="009C3222">
      <w:pPr>
        <w:pStyle w:val="BTEMEASMCA"/>
        <w:numPr>
          <w:ilvl w:val="0"/>
          <w:numId w:val="6"/>
        </w:numPr>
        <w:ind w:left="567" w:hanging="567"/>
      </w:pPr>
      <w:r w:rsidRPr="00B4100D">
        <w:t>pirmoji dozė</w:t>
      </w:r>
      <w:r w:rsidR="008A276F" w:rsidRPr="00B4100D">
        <w:t>:</w:t>
      </w:r>
      <w:r w:rsidRPr="00B4100D">
        <w:t xml:space="preserve"> </w:t>
      </w:r>
      <w:r w:rsidR="008A276F" w:rsidRPr="00B4100D">
        <w:t>1</w:t>
      </w:r>
      <w:r w:rsidR="00BE09A7" w:rsidRPr="00B4100D">
        <w:t>3</w:t>
      </w:r>
      <w:r w:rsidRPr="00B4100D">
        <w:t> mg/kg (bet ne daugiau kaip 800 mg</w:t>
      </w:r>
      <w:r w:rsidR="008934D9" w:rsidRPr="00B4100D">
        <w:t xml:space="preserve"> per kartą</w:t>
      </w:r>
      <w:r w:rsidRPr="00B4100D">
        <w:t>);</w:t>
      </w:r>
    </w:p>
    <w:p w14:paraId="1B1A5450" w14:textId="77777777" w:rsidR="00986560" w:rsidRPr="00B4100D" w:rsidRDefault="00986560" w:rsidP="009C3222">
      <w:pPr>
        <w:pStyle w:val="BTEMEASMCA"/>
        <w:numPr>
          <w:ilvl w:val="0"/>
          <w:numId w:val="6"/>
        </w:numPr>
        <w:ind w:left="567" w:hanging="567"/>
      </w:pPr>
      <w:r w:rsidRPr="00B4100D">
        <w:t>antroji dozė</w:t>
      </w:r>
      <w:r w:rsidR="008A276F" w:rsidRPr="00B4100D">
        <w:t>:</w:t>
      </w:r>
      <w:r w:rsidRPr="00B4100D">
        <w:t xml:space="preserve"> </w:t>
      </w:r>
      <w:r w:rsidR="008934D9" w:rsidRPr="00B4100D">
        <w:t>6,</w:t>
      </w:r>
      <w:r w:rsidRPr="00B4100D">
        <w:t>5 mg/kg (bet ne daugiau kaip 400 mg)</w:t>
      </w:r>
      <w:r w:rsidR="008A276F" w:rsidRPr="00B4100D">
        <w:t>,</w:t>
      </w:r>
      <w:r w:rsidRPr="00B4100D">
        <w:t xml:space="preserve"> praėjus 6 valandoms po pirmosios</w:t>
      </w:r>
      <w:r w:rsidR="008934D9" w:rsidRPr="00B4100D">
        <w:t xml:space="preserve"> dozės</w:t>
      </w:r>
      <w:r w:rsidRPr="00B4100D">
        <w:t>;</w:t>
      </w:r>
    </w:p>
    <w:p w14:paraId="5C214206" w14:textId="77777777" w:rsidR="00986560" w:rsidRPr="00B4100D" w:rsidRDefault="00986560" w:rsidP="009C3222">
      <w:pPr>
        <w:pStyle w:val="BTEMEASMCA"/>
        <w:numPr>
          <w:ilvl w:val="0"/>
          <w:numId w:val="6"/>
        </w:numPr>
        <w:ind w:left="567" w:hanging="567"/>
      </w:pPr>
      <w:r w:rsidRPr="00B4100D">
        <w:t>trečioji dozė</w:t>
      </w:r>
      <w:r w:rsidR="008A276F" w:rsidRPr="00B4100D">
        <w:t>:</w:t>
      </w:r>
      <w:r w:rsidRPr="00B4100D">
        <w:t xml:space="preserve"> </w:t>
      </w:r>
      <w:r w:rsidR="008934D9" w:rsidRPr="00B4100D">
        <w:t>6,</w:t>
      </w:r>
      <w:r w:rsidRPr="00B4100D">
        <w:t>5 mg/kg (bet ne daugiau kaip 400 mg)</w:t>
      </w:r>
      <w:r w:rsidR="008A276F" w:rsidRPr="00B4100D">
        <w:t>,</w:t>
      </w:r>
      <w:r w:rsidRPr="00B4100D">
        <w:t xml:space="preserve"> praėjus 18 valandų po antrosios</w:t>
      </w:r>
      <w:r w:rsidR="008934D9" w:rsidRPr="00B4100D">
        <w:t xml:space="preserve"> dozės</w:t>
      </w:r>
      <w:r w:rsidRPr="00B4100D">
        <w:t>;</w:t>
      </w:r>
    </w:p>
    <w:p w14:paraId="02EECC88" w14:textId="77777777" w:rsidR="00986560" w:rsidRPr="00B4100D" w:rsidRDefault="00986560" w:rsidP="009C3222">
      <w:pPr>
        <w:pStyle w:val="BTEMEASMCA"/>
        <w:numPr>
          <w:ilvl w:val="0"/>
          <w:numId w:val="6"/>
        </w:numPr>
        <w:ind w:left="567" w:hanging="567"/>
      </w:pPr>
      <w:r w:rsidRPr="00B4100D">
        <w:t>ketvirtoji dozė</w:t>
      </w:r>
      <w:r w:rsidR="008A276F" w:rsidRPr="00B4100D">
        <w:t>:</w:t>
      </w:r>
      <w:r w:rsidRPr="00B4100D">
        <w:t xml:space="preserve"> </w:t>
      </w:r>
      <w:r w:rsidR="008934D9" w:rsidRPr="00B4100D">
        <w:t>6,</w:t>
      </w:r>
      <w:r w:rsidRPr="00B4100D">
        <w:t>5 mg/kg (bet ne daugiau kaip 400 mg)</w:t>
      </w:r>
      <w:r w:rsidR="008A276F" w:rsidRPr="00B4100D">
        <w:t>,</w:t>
      </w:r>
      <w:r w:rsidRPr="00B4100D">
        <w:t xml:space="preserve"> praėjus 24 valandoms po trečiosios</w:t>
      </w:r>
      <w:r w:rsidR="008934D9" w:rsidRPr="00B4100D">
        <w:t xml:space="preserve"> dozės</w:t>
      </w:r>
      <w:r w:rsidRPr="00B4100D">
        <w:t>.</w:t>
      </w:r>
    </w:p>
    <w:p w14:paraId="1E29238C" w14:textId="77777777" w:rsidR="00986560" w:rsidRPr="00B4100D" w:rsidRDefault="00986560">
      <w:pPr>
        <w:pStyle w:val="BTEMEASMCA"/>
      </w:pPr>
    </w:p>
    <w:p w14:paraId="2B4576CC" w14:textId="77777777" w:rsidR="008934D9" w:rsidRPr="00B4100D" w:rsidRDefault="008934D9" w:rsidP="00BE4841">
      <w:pPr>
        <w:rPr>
          <w:i/>
          <w:sz w:val="22"/>
          <w:szCs w:val="22"/>
        </w:rPr>
      </w:pPr>
      <w:r w:rsidRPr="00B4100D">
        <w:rPr>
          <w:i/>
          <w:sz w:val="22"/>
          <w:szCs w:val="22"/>
        </w:rPr>
        <w:t>Ypatingos populiacijos</w:t>
      </w:r>
    </w:p>
    <w:p w14:paraId="22EB3EC9" w14:textId="71004E46" w:rsidR="00986560" w:rsidRPr="00B4100D" w:rsidRDefault="00986560" w:rsidP="00BE4841">
      <w:pPr>
        <w:rPr>
          <w:i/>
        </w:rPr>
      </w:pPr>
      <w:r w:rsidRPr="00B4100D">
        <w:rPr>
          <w:i/>
          <w:sz w:val="22"/>
          <w:szCs w:val="22"/>
        </w:rPr>
        <w:t>Pacienta</w:t>
      </w:r>
      <w:r w:rsidR="00A87D5B" w:rsidRPr="00B4100D">
        <w:rPr>
          <w:i/>
          <w:sz w:val="22"/>
          <w:szCs w:val="22"/>
        </w:rPr>
        <w:t>ms</w:t>
      </w:r>
      <w:r w:rsidRPr="00B4100D">
        <w:rPr>
          <w:i/>
          <w:sz w:val="22"/>
          <w:szCs w:val="22"/>
        </w:rPr>
        <w:t>, kurių ink</w:t>
      </w:r>
      <w:r w:rsidR="001916D7" w:rsidRPr="00B4100D">
        <w:rPr>
          <w:i/>
          <w:sz w:val="22"/>
          <w:szCs w:val="22"/>
        </w:rPr>
        <w:t>s</w:t>
      </w:r>
      <w:r w:rsidRPr="00B4100D">
        <w:rPr>
          <w:i/>
          <w:sz w:val="22"/>
          <w:szCs w:val="22"/>
        </w:rPr>
        <w:t>tų ar kepenų funkcija sutrikusi</w:t>
      </w:r>
    </w:p>
    <w:p w14:paraId="35D47438" w14:textId="77777777" w:rsidR="00986560" w:rsidRPr="00B4100D" w:rsidRDefault="00986560">
      <w:pPr>
        <w:pStyle w:val="BTEMEASMCA"/>
      </w:pPr>
      <w:r w:rsidRPr="00B4100D">
        <w:t xml:space="preserve">Pacientams, kurių inkstų ar kepenų funkcija sutrikusi, </w:t>
      </w:r>
      <w:r w:rsidR="008A276F" w:rsidRPr="00B4100D">
        <w:t>vaistinį preparatą reikia skirti atsargiai. G</w:t>
      </w:r>
      <w:r w:rsidRPr="00B4100D">
        <w:t>ali tekti mažinti vaistinio preparato dozę</w:t>
      </w:r>
      <w:r w:rsidR="008A276F" w:rsidRPr="00B4100D">
        <w:t xml:space="preserve"> (žr. 4.4 skyrių).</w:t>
      </w:r>
    </w:p>
    <w:p w14:paraId="327B61F6" w14:textId="77777777" w:rsidR="000A3646" w:rsidRPr="00B4100D" w:rsidRDefault="000A3646">
      <w:pPr>
        <w:pStyle w:val="BTEMEASMCA"/>
      </w:pPr>
    </w:p>
    <w:p w14:paraId="4269D722" w14:textId="77777777" w:rsidR="000A3646" w:rsidRPr="00B4100D" w:rsidRDefault="000A3646" w:rsidP="00BE4841">
      <w:pPr>
        <w:rPr>
          <w:u w:val="single"/>
        </w:rPr>
      </w:pPr>
      <w:r w:rsidRPr="00B4100D">
        <w:rPr>
          <w:sz w:val="22"/>
          <w:szCs w:val="22"/>
          <w:u w:val="single"/>
        </w:rPr>
        <w:t>Vartojimo metodas</w:t>
      </w:r>
    </w:p>
    <w:p w14:paraId="716F191A" w14:textId="2175496E" w:rsidR="000A3646" w:rsidRPr="00B4100D" w:rsidRDefault="008934D9">
      <w:pPr>
        <w:pStyle w:val="BTEMEASMCA"/>
      </w:pPr>
      <w:r w:rsidRPr="00B4100D">
        <w:t>V</w:t>
      </w:r>
      <w:r w:rsidR="004437BF" w:rsidRPr="00B4100D">
        <w:t>artoti per burną</w:t>
      </w:r>
      <w:r w:rsidR="000A3646" w:rsidRPr="00B4100D">
        <w:t xml:space="preserve">. </w:t>
      </w:r>
      <w:r w:rsidR="008A276F" w:rsidRPr="00B4100D">
        <w:t xml:space="preserve">Kiekvieną dozę reikia suvartoti </w:t>
      </w:r>
      <w:r w:rsidR="00CA02B5" w:rsidRPr="00CA02B5">
        <w:t>valgant arba užger</w:t>
      </w:r>
      <w:r w:rsidR="00CA02B5">
        <w:t>iant</w:t>
      </w:r>
      <w:r w:rsidR="00CA02B5" w:rsidRPr="00CA02B5">
        <w:t xml:space="preserve"> stikline pieno</w:t>
      </w:r>
      <w:r w:rsidR="000A3646" w:rsidRPr="00B4100D">
        <w:t>.</w:t>
      </w:r>
    </w:p>
    <w:p w14:paraId="4E22EDE9" w14:textId="77777777" w:rsidR="00986560" w:rsidRPr="00B4100D" w:rsidRDefault="00986560">
      <w:pPr>
        <w:pStyle w:val="BTEMEASMCA"/>
      </w:pPr>
    </w:p>
    <w:p w14:paraId="2D0DDA0A" w14:textId="77777777" w:rsidR="00986560" w:rsidRPr="00B4100D" w:rsidRDefault="00986560" w:rsidP="0056757C">
      <w:pPr>
        <w:pStyle w:val="PI-2EMEASMCA"/>
      </w:pPr>
      <w:bookmarkStart w:id="18" w:name="_Toc129243104"/>
      <w:bookmarkStart w:id="19" w:name="_Toc129243229"/>
      <w:r w:rsidRPr="00B4100D">
        <w:t>4.3</w:t>
      </w:r>
      <w:r w:rsidRPr="00B4100D">
        <w:tab/>
        <w:t>Kontraindikacijos</w:t>
      </w:r>
      <w:bookmarkEnd w:id="18"/>
      <w:bookmarkEnd w:id="19"/>
    </w:p>
    <w:p w14:paraId="077275AC" w14:textId="77777777" w:rsidR="00986560" w:rsidRPr="00B4100D" w:rsidRDefault="00986560" w:rsidP="006E671E">
      <w:pPr>
        <w:pStyle w:val="BTEMEASMCA"/>
      </w:pPr>
    </w:p>
    <w:p w14:paraId="4D18F843" w14:textId="77777777" w:rsidR="00986560" w:rsidRPr="00B4100D" w:rsidRDefault="00EF654E" w:rsidP="009C3222">
      <w:pPr>
        <w:numPr>
          <w:ilvl w:val="0"/>
          <w:numId w:val="7"/>
        </w:numPr>
        <w:rPr>
          <w:sz w:val="22"/>
          <w:szCs w:val="22"/>
        </w:rPr>
      </w:pPr>
      <w:r w:rsidRPr="00B4100D">
        <w:rPr>
          <w:sz w:val="22"/>
          <w:szCs w:val="22"/>
        </w:rPr>
        <w:t>P</w:t>
      </w:r>
      <w:r w:rsidR="00986560" w:rsidRPr="00B4100D">
        <w:rPr>
          <w:sz w:val="22"/>
          <w:szCs w:val="22"/>
        </w:rPr>
        <w:t xml:space="preserve">adidėjęs jautrumas </w:t>
      </w:r>
      <w:r w:rsidR="008934D9" w:rsidRPr="00B4100D">
        <w:rPr>
          <w:sz w:val="22"/>
          <w:szCs w:val="22"/>
        </w:rPr>
        <w:t xml:space="preserve">veikliajai medžiagai, </w:t>
      </w:r>
      <w:r w:rsidR="00986560" w:rsidRPr="00B4100D">
        <w:rPr>
          <w:sz w:val="22"/>
          <w:szCs w:val="22"/>
        </w:rPr>
        <w:t>4-aminochinolinų junginiams arba bet kuriai 6.1 skyriuje nurodytai pagalbinei medžiagai.</w:t>
      </w:r>
    </w:p>
    <w:p w14:paraId="51F905B2" w14:textId="15B57E4F" w:rsidR="00EF654E" w:rsidRPr="00B4100D" w:rsidRDefault="002C428D" w:rsidP="009C3222">
      <w:pPr>
        <w:numPr>
          <w:ilvl w:val="0"/>
          <w:numId w:val="7"/>
        </w:numPr>
        <w:rPr>
          <w:sz w:val="22"/>
          <w:szCs w:val="22"/>
        </w:rPr>
      </w:pPr>
      <w:r w:rsidRPr="00B4100D">
        <w:rPr>
          <w:sz w:val="22"/>
          <w:szCs w:val="22"/>
        </w:rPr>
        <w:t xml:space="preserve">Generalizuota miastenija </w:t>
      </w:r>
      <w:r w:rsidRPr="00B4100D">
        <w:rPr>
          <w:i/>
          <w:sz w:val="22"/>
          <w:szCs w:val="22"/>
        </w:rPr>
        <w:t>(Myasthenia gravis)</w:t>
      </w:r>
      <w:r w:rsidR="00EF654E" w:rsidRPr="00B4100D">
        <w:rPr>
          <w:sz w:val="22"/>
          <w:szCs w:val="22"/>
        </w:rPr>
        <w:t>.</w:t>
      </w:r>
    </w:p>
    <w:p w14:paraId="595C51F5" w14:textId="77777777" w:rsidR="00986560" w:rsidRPr="00B4100D" w:rsidRDefault="00986560" w:rsidP="009C3222">
      <w:pPr>
        <w:numPr>
          <w:ilvl w:val="0"/>
          <w:numId w:val="7"/>
        </w:numPr>
        <w:rPr>
          <w:sz w:val="22"/>
          <w:szCs w:val="22"/>
        </w:rPr>
      </w:pPr>
      <w:r w:rsidRPr="00B4100D">
        <w:rPr>
          <w:sz w:val="22"/>
          <w:szCs w:val="22"/>
        </w:rPr>
        <w:t xml:space="preserve">Anksčiau diagnozuota </w:t>
      </w:r>
      <w:r w:rsidR="00EF654E" w:rsidRPr="00B4100D">
        <w:rPr>
          <w:sz w:val="22"/>
          <w:szCs w:val="22"/>
        </w:rPr>
        <w:t xml:space="preserve">akies </w:t>
      </w:r>
      <w:r w:rsidRPr="00B4100D">
        <w:rPr>
          <w:sz w:val="22"/>
          <w:szCs w:val="22"/>
        </w:rPr>
        <w:t>makulopatija.</w:t>
      </w:r>
    </w:p>
    <w:p w14:paraId="45C10B1B" w14:textId="77777777" w:rsidR="008934D9" w:rsidRPr="00B4100D" w:rsidRDefault="008934D9" w:rsidP="009C3222">
      <w:pPr>
        <w:numPr>
          <w:ilvl w:val="0"/>
          <w:numId w:val="7"/>
        </w:numPr>
        <w:rPr>
          <w:sz w:val="22"/>
          <w:szCs w:val="22"/>
        </w:rPr>
      </w:pPr>
      <w:r w:rsidRPr="00B4100D">
        <w:rPr>
          <w:sz w:val="22"/>
          <w:szCs w:val="22"/>
        </w:rPr>
        <w:t>Pigmentinis retinitas.</w:t>
      </w:r>
    </w:p>
    <w:p w14:paraId="19D3E241" w14:textId="51F40CDA" w:rsidR="00986560" w:rsidRPr="00B4100D" w:rsidRDefault="00986560" w:rsidP="009C3222">
      <w:pPr>
        <w:numPr>
          <w:ilvl w:val="0"/>
          <w:numId w:val="7"/>
        </w:numPr>
        <w:rPr>
          <w:sz w:val="22"/>
          <w:szCs w:val="22"/>
        </w:rPr>
      </w:pPr>
      <w:r w:rsidRPr="00B4100D">
        <w:rPr>
          <w:sz w:val="22"/>
          <w:szCs w:val="22"/>
        </w:rPr>
        <w:t xml:space="preserve">Jaunesniems kaip 6 metų vaikams (200 mg tabletės netinka vaikams, sveriantiems </w:t>
      </w:r>
      <w:r w:rsidR="00EF654E" w:rsidRPr="00B4100D">
        <w:t>&lt;</w:t>
      </w:r>
      <w:r w:rsidR="008934D9" w:rsidRPr="00B4100D">
        <w:t> </w:t>
      </w:r>
      <w:r w:rsidRPr="00B4100D">
        <w:rPr>
          <w:sz w:val="22"/>
          <w:szCs w:val="22"/>
        </w:rPr>
        <w:t>3</w:t>
      </w:r>
      <w:r w:rsidR="00EF654E" w:rsidRPr="00B4100D">
        <w:rPr>
          <w:sz w:val="22"/>
          <w:szCs w:val="22"/>
        </w:rPr>
        <w:t>1</w:t>
      </w:r>
      <w:r w:rsidRPr="00B4100D">
        <w:rPr>
          <w:sz w:val="22"/>
          <w:szCs w:val="22"/>
        </w:rPr>
        <w:t> kg</w:t>
      </w:r>
      <w:r w:rsidR="00CA02B5">
        <w:rPr>
          <w:sz w:val="22"/>
          <w:szCs w:val="22"/>
        </w:rPr>
        <w:t xml:space="preserve"> [žr. 4.2 skyrių]</w:t>
      </w:r>
      <w:r w:rsidRPr="00B4100D">
        <w:rPr>
          <w:sz w:val="22"/>
          <w:szCs w:val="22"/>
        </w:rPr>
        <w:t>).</w:t>
      </w:r>
    </w:p>
    <w:p w14:paraId="709B8A1D" w14:textId="77777777" w:rsidR="00986560" w:rsidRPr="00B4100D" w:rsidRDefault="00986560" w:rsidP="006E671E">
      <w:pPr>
        <w:pStyle w:val="BTEMEASMCA"/>
      </w:pPr>
    </w:p>
    <w:p w14:paraId="1A0E64B6" w14:textId="77777777" w:rsidR="00986560" w:rsidRPr="00B4100D" w:rsidRDefault="00986560" w:rsidP="0056757C">
      <w:pPr>
        <w:pStyle w:val="PI-2EMEASMCA"/>
      </w:pPr>
      <w:bookmarkStart w:id="20" w:name="_Toc129243105"/>
      <w:bookmarkStart w:id="21" w:name="_Toc129243230"/>
      <w:r w:rsidRPr="00B4100D">
        <w:t>4.4</w:t>
      </w:r>
      <w:r w:rsidRPr="00B4100D">
        <w:tab/>
        <w:t>Specialūs įspėjimai ir atsargumo priemonės</w:t>
      </w:r>
      <w:bookmarkEnd w:id="20"/>
      <w:bookmarkEnd w:id="21"/>
    </w:p>
    <w:p w14:paraId="353A5C6E" w14:textId="330FA35D" w:rsidR="00986560" w:rsidRDefault="00986560" w:rsidP="00986560">
      <w:pPr>
        <w:pStyle w:val="Antrat5"/>
        <w:spacing w:before="0" w:after="0"/>
        <w:rPr>
          <w:rFonts w:ascii="Times New Roman" w:hAnsi="Times New Roman"/>
          <w:b w:val="0"/>
          <w:i w:val="0"/>
          <w:sz w:val="22"/>
          <w:szCs w:val="22"/>
        </w:rPr>
      </w:pPr>
    </w:p>
    <w:p w14:paraId="2D176E84" w14:textId="2B25F011" w:rsidR="00230812" w:rsidRPr="00BF05C8" w:rsidRDefault="00230812" w:rsidP="00230812">
      <w:pPr>
        <w:rPr>
          <w:b/>
          <w:iCs/>
          <w:sz w:val="22"/>
          <w:szCs w:val="22"/>
          <w:u w:val="single"/>
        </w:rPr>
      </w:pPr>
      <w:r w:rsidRPr="00BF05C8">
        <w:rPr>
          <w:b/>
          <w:iCs/>
          <w:sz w:val="22"/>
          <w:szCs w:val="22"/>
          <w:u w:val="single"/>
        </w:rPr>
        <w:t>S</w:t>
      </w:r>
      <w:r w:rsidR="00A93357">
        <w:rPr>
          <w:b/>
          <w:iCs/>
          <w:sz w:val="22"/>
          <w:szCs w:val="22"/>
          <w:u w:val="single"/>
        </w:rPr>
        <w:t>avižudiškas</w:t>
      </w:r>
      <w:r w:rsidRPr="00BF05C8">
        <w:rPr>
          <w:b/>
          <w:iCs/>
          <w:sz w:val="22"/>
          <w:szCs w:val="22"/>
          <w:u w:val="single"/>
        </w:rPr>
        <w:t xml:space="preserve"> elgesys ir psichikos sutrikimai</w:t>
      </w:r>
    </w:p>
    <w:p w14:paraId="76F77ADE" w14:textId="4731E631" w:rsidR="00230812" w:rsidRPr="00586425" w:rsidRDefault="00230812" w:rsidP="00230812">
      <w:pPr>
        <w:pStyle w:val="Komentarotekstas"/>
        <w:rPr>
          <w:iCs/>
          <w:sz w:val="22"/>
          <w:szCs w:val="22"/>
        </w:rPr>
      </w:pPr>
      <w:r w:rsidRPr="00290ACA">
        <w:rPr>
          <w:iCs/>
          <w:sz w:val="22"/>
          <w:szCs w:val="22"/>
        </w:rPr>
        <w:t xml:space="preserve">Gauta pranešimų apie kai kuriems hidroksichlorokvinu gydytiems pacientams nustatytą </w:t>
      </w:r>
      <w:r w:rsidR="00A93357">
        <w:rPr>
          <w:iCs/>
          <w:sz w:val="22"/>
          <w:szCs w:val="22"/>
        </w:rPr>
        <w:t>savižudišką</w:t>
      </w:r>
      <w:r w:rsidRPr="00290ACA">
        <w:rPr>
          <w:iCs/>
          <w:sz w:val="22"/>
          <w:szCs w:val="22"/>
        </w:rPr>
        <w:t xml:space="preserve"> elgesį ir psichikos sutrikimus (žr. 4.8 skyrių). </w:t>
      </w:r>
      <w:r w:rsidR="00A93357">
        <w:rPr>
          <w:iCs/>
          <w:sz w:val="22"/>
          <w:szCs w:val="22"/>
        </w:rPr>
        <w:t>Nepageidaujamas</w:t>
      </w:r>
      <w:r w:rsidRPr="00290ACA">
        <w:rPr>
          <w:iCs/>
          <w:sz w:val="22"/>
          <w:szCs w:val="22"/>
        </w:rPr>
        <w:t xml:space="preserve"> poveikis psichikai paprastai pasireiškia per pirmą mėnesį nuo gydymo hidroksichlorokvinu pradžios; toks </w:t>
      </w:r>
      <w:r w:rsidR="00A93357">
        <w:rPr>
          <w:iCs/>
          <w:sz w:val="22"/>
          <w:szCs w:val="22"/>
        </w:rPr>
        <w:t>nepageidaujamas</w:t>
      </w:r>
      <w:r w:rsidRPr="00290ACA">
        <w:rPr>
          <w:iCs/>
          <w:sz w:val="22"/>
          <w:szCs w:val="22"/>
        </w:rPr>
        <w:t xml:space="preserve"> poveikis nustatytas ir tiems pacientams, kuriems anksčiau n</w:t>
      </w:r>
      <w:r w:rsidR="00B730CC">
        <w:rPr>
          <w:iCs/>
          <w:sz w:val="22"/>
          <w:szCs w:val="22"/>
        </w:rPr>
        <w:t>ėra buvę</w:t>
      </w:r>
      <w:r w:rsidRPr="00290ACA">
        <w:rPr>
          <w:iCs/>
          <w:sz w:val="22"/>
          <w:szCs w:val="22"/>
        </w:rPr>
        <w:t xml:space="preserve"> diagnozuota psichikos sutrikimų. Pacienta</w:t>
      </w:r>
      <w:r w:rsidR="00B730CC">
        <w:rPr>
          <w:iCs/>
          <w:sz w:val="22"/>
          <w:szCs w:val="22"/>
        </w:rPr>
        <w:t>i turi būti informuoti</w:t>
      </w:r>
      <w:r w:rsidR="00F62F2D">
        <w:rPr>
          <w:iCs/>
          <w:sz w:val="22"/>
          <w:szCs w:val="22"/>
        </w:rPr>
        <w:t xml:space="preserve"> skubiai kreiptis į gydytoją</w:t>
      </w:r>
      <w:r w:rsidRPr="00290ACA">
        <w:rPr>
          <w:iCs/>
          <w:sz w:val="22"/>
          <w:szCs w:val="22"/>
        </w:rPr>
        <w:t>, jeigu gydymo laikotarpiu jiems pasireikštų psichikos sutrikimų simptomų.</w:t>
      </w:r>
    </w:p>
    <w:p w14:paraId="79FAFF0C" w14:textId="77777777" w:rsidR="00230812" w:rsidRPr="00BF05C8" w:rsidRDefault="00230812" w:rsidP="00BF05C8">
      <w:pPr>
        <w:rPr>
          <w:b/>
          <w:i/>
        </w:rPr>
      </w:pPr>
    </w:p>
    <w:p w14:paraId="1AF8B849" w14:textId="77777777" w:rsidR="00353E4A" w:rsidRPr="00B4100D" w:rsidRDefault="00353E4A" w:rsidP="00986560">
      <w:pPr>
        <w:rPr>
          <w:b/>
          <w:bCs/>
          <w:sz w:val="22"/>
          <w:szCs w:val="22"/>
          <w:u w:val="single"/>
        </w:rPr>
      </w:pPr>
      <w:r w:rsidRPr="00B4100D">
        <w:rPr>
          <w:b/>
          <w:bCs/>
          <w:sz w:val="22"/>
          <w:szCs w:val="22"/>
          <w:u w:val="single"/>
        </w:rPr>
        <w:t>Retinopatija</w:t>
      </w:r>
    </w:p>
    <w:p w14:paraId="52C29791" w14:textId="6336DE3F" w:rsidR="00986560" w:rsidRPr="00B4100D" w:rsidRDefault="00986560" w:rsidP="009C3222">
      <w:pPr>
        <w:pStyle w:val="Sraopastraipa"/>
        <w:numPr>
          <w:ilvl w:val="0"/>
          <w:numId w:val="8"/>
        </w:numPr>
        <w:ind w:left="567" w:hanging="567"/>
        <w:rPr>
          <w:sz w:val="22"/>
          <w:szCs w:val="22"/>
        </w:rPr>
      </w:pPr>
      <w:r w:rsidRPr="00B4100D">
        <w:rPr>
          <w:sz w:val="22"/>
          <w:szCs w:val="22"/>
        </w:rPr>
        <w:t xml:space="preserve">Prieš </w:t>
      </w:r>
      <w:r w:rsidR="00EF654E" w:rsidRPr="00B4100D">
        <w:rPr>
          <w:sz w:val="22"/>
          <w:szCs w:val="22"/>
        </w:rPr>
        <w:t xml:space="preserve">pradedant </w:t>
      </w:r>
      <w:r w:rsidRPr="00B4100D">
        <w:rPr>
          <w:sz w:val="22"/>
          <w:szCs w:val="22"/>
        </w:rPr>
        <w:t>gydymą</w:t>
      </w:r>
      <w:r w:rsidR="00EF654E" w:rsidRPr="00B4100D">
        <w:rPr>
          <w:sz w:val="22"/>
          <w:szCs w:val="22"/>
        </w:rPr>
        <w:t xml:space="preserve"> Hydroxychloroquine sulfate Accord</w:t>
      </w:r>
      <w:r w:rsidRPr="00B4100D">
        <w:rPr>
          <w:sz w:val="22"/>
          <w:szCs w:val="22"/>
        </w:rPr>
        <w:t xml:space="preserve">, </w:t>
      </w:r>
      <w:r w:rsidR="00EF654E" w:rsidRPr="00B4100D">
        <w:rPr>
          <w:sz w:val="22"/>
          <w:szCs w:val="22"/>
        </w:rPr>
        <w:t>visiems pacientam būtin atlikti oftalmologinius tyrimus</w:t>
      </w:r>
      <w:r w:rsidR="008A582B" w:rsidRPr="00B4100D">
        <w:rPr>
          <w:sz w:val="22"/>
          <w:szCs w:val="22"/>
        </w:rPr>
        <w:t xml:space="preserve">. </w:t>
      </w:r>
      <w:r w:rsidRPr="00B4100D">
        <w:rPr>
          <w:sz w:val="22"/>
          <w:szCs w:val="22"/>
        </w:rPr>
        <w:t xml:space="preserve">Vėliau tyrimą reikia kartoti </w:t>
      </w:r>
      <w:r w:rsidR="00EF654E" w:rsidRPr="00B4100D">
        <w:rPr>
          <w:sz w:val="22"/>
          <w:szCs w:val="22"/>
        </w:rPr>
        <w:t>mažiausiai kas 6 mėnesius</w:t>
      </w:r>
      <w:r w:rsidRPr="00B4100D">
        <w:rPr>
          <w:sz w:val="22"/>
          <w:szCs w:val="22"/>
        </w:rPr>
        <w:t xml:space="preserve">. </w:t>
      </w:r>
    </w:p>
    <w:p w14:paraId="0E3D87B8" w14:textId="62A58369" w:rsidR="00986560" w:rsidRPr="00B4100D" w:rsidRDefault="00986560" w:rsidP="009C3222">
      <w:pPr>
        <w:pStyle w:val="Sraopastraipa"/>
        <w:numPr>
          <w:ilvl w:val="0"/>
          <w:numId w:val="8"/>
        </w:numPr>
        <w:ind w:left="567" w:hanging="567"/>
        <w:rPr>
          <w:sz w:val="22"/>
          <w:szCs w:val="22"/>
        </w:rPr>
      </w:pPr>
      <w:r w:rsidRPr="00B4100D">
        <w:rPr>
          <w:sz w:val="22"/>
          <w:szCs w:val="22"/>
        </w:rPr>
        <w:t xml:space="preserve">Toksinis poveikis tinklainei daugiausia priklauso nuo dozės. </w:t>
      </w:r>
      <w:r w:rsidR="00FE5DA8" w:rsidRPr="00B4100D">
        <w:rPr>
          <w:sz w:val="22"/>
          <w:szCs w:val="22"/>
        </w:rPr>
        <w:t xml:space="preserve">Skiriant </w:t>
      </w:r>
      <w:r w:rsidRPr="00B4100D">
        <w:rPr>
          <w:sz w:val="22"/>
          <w:szCs w:val="22"/>
        </w:rPr>
        <w:t>iki 6,5 mg/kg kūno svorio</w:t>
      </w:r>
      <w:r w:rsidR="00FE5DA8" w:rsidRPr="00B4100D">
        <w:rPr>
          <w:sz w:val="22"/>
          <w:szCs w:val="22"/>
        </w:rPr>
        <w:t xml:space="preserve"> per parą</w:t>
      </w:r>
      <w:r w:rsidRPr="00B4100D">
        <w:rPr>
          <w:sz w:val="22"/>
          <w:szCs w:val="22"/>
        </w:rPr>
        <w:t>, tinklainės pažeidimo pavojus mažas. Viršijus rekomenduojamąją dozę, labai padidėja toksinio poveikio tinklainei pavojus.</w:t>
      </w:r>
    </w:p>
    <w:p w14:paraId="698C62DA" w14:textId="77777777" w:rsidR="00EF654E" w:rsidRPr="00B4100D" w:rsidRDefault="00EF654E" w:rsidP="00EF654E">
      <w:pPr>
        <w:rPr>
          <w:sz w:val="22"/>
          <w:szCs w:val="22"/>
        </w:rPr>
      </w:pPr>
    </w:p>
    <w:p w14:paraId="49B92A33" w14:textId="4AF905B5" w:rsidR="00EF654E" w:rsidRPr="00B4100D" w:rsidRDefault="00EF654E" w:rsidP="00EF654E">
      <w:pPr>
        <w:rPr>
          <w:sz w:val="22"/>
          <w:szCs w:val="22"/>
        </w:rPr>
      </w:pPr>
      <w:r w:rsidRPr="00B4100D">
        <w:rPr>
          <w:sz w:val="22"/>
          <w:szCs w:val="22"/>
        </w:rPr>
        <w:t>Tyrimo metu turi būti patikrintas regėjimo aštrumas, spalvų matymas, atlikta nuodugni oftalmoskopiją,</w:t>
      </w:r>
      <w:r w:rsidR="00CB2426" w:rsidRPr="00B4100D">
        <w:rPr>
          <w:sz w:val="22"/>
          <w:szCs w:val="22"/>
        </w:rPr>
        <w:t xml:space="preserve"> akių dugno tyrimą,</w:t>
      </w:r>
      <w:r w:rsidRPr="00B4100D">
        <w:rPr>
          <w:sz w:val="22"/>
          <w:szCs w:val="22"/>
        </w:rPr>
        <w:t xml:space="preserve"> ir centrinio regėjimo lauko tyrimas su raudonu taikiniu.</w:t>
      </w:r>
    </w:p>
    <w:p w14:paraId="5F94BAAC" w14:textId="77777777" w:rsidR="00EF654E" w:rsidRPr="00B4100D" w:rsidRDefault="00EF654E" w:rsidP="00EF654E">
      <w:pPr>
        <w:rPr>
          <w:sz w:val="22"/>
          <w:szCs w:val="22"/>
        </w:rPr>
      </w:pPr>
    </w:p>
    <w:p w14:paraId="67CA31A6" w14:textId="77777777" w:rsidR="00EF654E" w:rsidRPr="00B4100D" w:rsidRDefault="00EF654E" w:rsidP="00EF654E">
      <w:pPr>
        <w:rPr>
          <w:sz w:val="22"/>
          <w:szCs w:val="22"/>
        </w:rPr>
      </w:pPr>
      <w:r w:rsidRPr="00B4100D">
        <w:rPr>
          <w:sz w:val="22"/>
          <w:szCs w:val="22"/>
        </w:rPr>
        <w:t xml:space="preserve">Šis tyrimas turėtų būti dažnesnis ir pritaikytas pacientui esant </w:t>
      </w:r>
      <w:r w:rsidR="00AB2987" w:rsidRPr="00B4100D">
        <w:rPr>
          <w:sz w:val="22"/>
          <w:szCs w:val="22"/>
        </w:rPr>
        <w:t xml:space="preserve">toliau išvardintoms </w:t>
      </w:r>
      <w:r w:rsidRPr="00B4100D">
        <w:rPr>
          <w:sz w:val="22"/>
          <w:szCs w:val="22"/>
        </w:rPr>
        <w:t>situacijomis:</w:t>
      </w:r>
    </w:p>
    <w:p w14:paraId="52DF8CFD" w14:textId="04535ED7" w:rsidR="00986560" w:rsidRPr="00B4100D" w:rsidRDefault="00AB2987" w:rsidP="009C3222">
      <w:pPr>
        <w:numPr>
          <w:ilvl w:val="0"/>
          <w:numId w:val="2"/>
        </w:numPr>
        <w:rPr>
          <w:sz w:val="22"/>
          <w:szCs w:val="22"/>
        </w:rPr>
      </w:pPr>
      <w:r w:rsidRPr="00B4100D">
        <w:rPr>
          <w:sz w:val="22"/>
          <w:szCs w:val="22"/>
        </w:rPr>
        <w:t>p</w:t>
      </w:r>
      <w:r w:rsidR="00986560" w:rsidRPr="00B4100D">
        <w:rPr>
          <w:sz w:val="22"/>
          <w:szCs w:val="22"/>
        </w:rPr>
        <w:t xml:space="preserve">aros dozė </w:t>
      </w:r>
      <w:r w:rsidRPr="00B4100D">
        <w:rPr>
          <w:sz w:val="22"/>
          <w:szCs w:val="22"/>
        </w:rPr>
        <w:t xml:space="preserve">viršija </w:t>
      </w:r>
      <w:r w:rsidR="00986560" w:rsidRPr="00B4100D">
        <w:rPr>
          <w:sz w:val="22"/>
          <w:szCs w:val="22"/>
        </w:rPr>
        <w:t xml:space="preserve">6,5 mg/kg </w:t>
      </w:r>
      <w:r w:rsidR="0065757F" w:rsidRPr="00B4100D">
        <w:rPr>
          <w:sz w:val="22"/>
          <w:szCs w:val="22"/>
        </w:rPr>
        <w:t xml:space="preserve">idealaus </w:t>
      </w:r>
      <w:r w:rsidR="00BE2723" w:rsidRPr="00B4100D">
        <w:rPr>
          <w:sz w:val="22"/>
          <w:szCs w:val="22"/>
        </w:rPr>
        <w:t>(</w:t>
      </w:r>
      <w:r w:rsidR="00986560" w:rsidRPr="00B4100D">
        <w:rPr>
          <w:sz w:val="22"/>
          <w:szCs w:val="22"/>
        </w:rPr>
        <w:t>aktyvaus</w:t>
      </w:r>
      <w:r w:rsidR="00BE2723" w:rsidRPr="00B4100D">
        <w:rPr>
          <w:sz w:val="22"/>
          <w:szCs w:val="22"/>
        </w:rPr>
        <w:t xml:space="preserve">) </w:t>
      </w:r>
      <w:r w:rsidR="00986560" w:rsidRPr="00B4100D">
        <w:rPr>
          <w:sz w:val="22"/>
          <w:szCs w:val="22"/>
        </w:rPr>
        <w:t>kūno svorio</w:t>
      </w:r>
      <w:r w:rsidR="00275771" w:rsidRPr="00B4100D">
        <w:rPr>
          <w:sz w:val="22"/>
          <w:szCs w:val="22"/>
        </w:rPr>
        <w:t>.</w:t>
      </w:r>
      <w:r w:rsidR="00986560" w:rsidRPr="00B4100D">
        <w:rPr>
          <w:sz w:val="22"/>
          <w:szCs w:val="22"/>
        </w:rPr>
        <w:t xml:space="preserve"> </w:t>
      </w:r>
      <w:r w:rsidR="00275771" w:rsidRPr="00B4100D">
        <w:rPr>
          <w:sz w:val="22"/>
          <w:szCs w:val="22"/>
        </w:rPr>
        <w:t>D</w:t>
      </w:r>
      <w:r w:rsidR="00986560" w:rsidRPr="00B4100D">
        <w:rPr>
          <w:sz w:val="22"/>
          <w:szCs w:val="22"/>
        </w:rPr>
        <w:t>ozuojant pagal absoliutų kūno svorį, nutukusiems asmenims vaistinio preparato gali būti perdozuota;</w:t>
      </w:r>
    </w:p>
    <w:p w14:paraId="65309E06" w14:textId="77777777" w:rsidR="00986560" w:rsidRPr="00B4100D" w:rsidRDefault="00986560" w:rsidP="00986560">
      <w:pPr>
        <w:tabs>
          <w:tab w:val="left" w:pos="540"/>
        </w:tabs>
        <w:rPr>
          <w:sz w:val="22"/>
          <w:szCs w:val="22"/>
        </w:rPr>
      </w:pPr>
      <w:r w:rsidRPr="00B4100D">
        <w:rPr>
          <w:sz w:val="22"/>
          <w:szCs w:val="22"/>
        </w:rPr>
        <w:t>-</w:t>
      </w:r>
      <w:r w:rsidRPr="00B4100D">
        <w:rPr>
          <w:sz w:val="22"/>
          <w:szCs w:val="22"/>
        </w:rPr>
        <w:tab/>
        <w:t>inkstų nepakankamum</w:t>
      </w:r>
      <w:r w:rsidR="00AB2987" w:rsidRPr="00B4100D">
        <w:rPr>
          <w:sz w:val="22"/>
          <w:szCs w:val="22"/>
        </w:rPr>
        <w:t>as</w:t>
      </w:r>
      <w:r w:rsidRPr="00B4100D">
        <w:rPr>
          <w:sz w:val="22"/>
          <w:szCs w:val="22"/>
        </w:rPr>
        <w:t>;</w:t>
      </w:r>
    </w:p>
    <w:p w14:paraId="152B3D66" w14:textId="77777777" w:rsidR="00AB2987" w:rsidRPr="00B4100D" w:rsidRDefault="00986560" w:rsidP="00986560">
      <w:pPr>
        <w:tabs>
          <w:tab w:val="left" w:pos="540"/>
        </w:tabs>
        <w:rPr>
          <w:sz w:val="22"/>
          <w:szCs w:val="22"/>
        </w:rPr>
      </w:pPr>
      <w:r w:rsidRPr="00B4100D">
        <w:rPr>
          <w:sz w:val="22"/>
          <w:szCs w:val="22"/>
        </w:rPr>
        <w:t>-</w:t>
      </w:r>
      <w:r w:rsidRPr="00B4100D">
        <w:rPr>
          <w:sz w:val="22"/>
          <w:szCs w:val="22"/>
        </w:rPr>
        <w:tab/>
      </w:r>
      <w:r w:rsidR="00AB2987" w:rsidRPr="00B4100D">
        <w:rPr>
          <w:sz w:val="22"/>
          <w:szCs w:val="22"/>
        </w:rPr>
        <w:t>sumažėjęs regėjimo aštrumas;</w:t>
      </w:r>
    </w:p>
    <w:p w14:paraId="36DF3724" w14:textId="77777777" w:rsidR="00AB2987" w:rsidRPr="00B4100D" w:rsidRDefault="00AB2987" w:rsidP="00986560">
      <w:pPr>
        <w:tabs>
          <w:tab w:val="left" w:pos="540"/>
        </w:tabs>
        <w:rPr>
          <w:sz w:val="22"/>
          <w:szCs w:val="22"/>
        </w:rPr>
      </w:pPr>
      <w:r w:rsidRPr="00B4100D">
        <w:rPr>
          <w:sz w:val="22"/>
          <w:szCs w:val="22"/>
        </w:rPr>
        <w:tab/>
        <w:t>pacientas yra vyresnis nei 65 metų;</w:t>
      </w:r>
    </w:p>
    <w:p w14:paraId="2C5325B0" w14:textId="77777777" w:rsidR="00986560" w:rsidRPr="00B4100D" w:rsidRDefault="00AB2987" w:rsidP="00986560">
      <w:pPr>
        <w:tabs>
          <w:tab w:val="left" w:pos="540"/>
        </w:tabs>
        <w:rPr>
          <w:sz w:val="22"/>
          <w:szCs w:val="22"/>
        </w:rPr>
      </w:pPr>
      <w:r w:rsidRPr="00B4100D">
        <w:rPr>
          <w:sz w:val="22"/>
          <w:szCs w:val="22"/>
        </w:rPr>
        <w:tab/>
      </w:r>
      <w:r w:rsidR="00986560" w:rsidRPr="00B4100D">
        <w:rPr>
          <w:sz w:val="22"/>
          <w:szCs w:val="22"/>
        </w:rPr>
        <w:t xml:space="preserve">suminė (kumuliacinė) dozė </w:t>
      </w:r>
      <w:r w:rsidRPr="00B4100D">
        <w:rPr>
          <w:sz w:val="22"/>
          <w:szCs w:val="22"/>
        </w:rPr>
        <w:t xml:space="preserve">yra daugiau </w:t>
      </w:r>
      <w:r w:rsidR="00986560" w:rsidRPr="00B4100D">
        <w:rPr>
          <w:sz w:val="22"/>
          <w:szCs w:val="22"/>
        </w:rPr>
        <w:t>kaip 200 g</w:t>
      </w:r>
      <w:r w:rsidRPr="00B4100D">
        <w:rPr>
          <w:sz w:val="22"/>
          <w:szCs w:val="22"/>
        </w:rPr>
        <w:t>.</w:t>
      </w:r>
    </w:p>
    <w:p w14:paraId="0CD9A0F7" w14:textId="77777777" w:rsidR="00986560" w:rsidRPr="00B4100D" w:rsidRDefault="00986560" w:rsidP="00986560">
      <w:pPr>
        <w:tabs>
          <w:tab w:val="left" w:pos="540"/>
        </w:tabs>
        <w:rPr>
          <w:sz w:val="22"/>
          <w:szCs w:val="22"/>
        </w:rPr>
      </w:pPr>
    </w:p>
    <w:p w14:paraId="1400D6E9" w14:textId="76E638DA" w:rsidR="00986560" w:rsidRPr="00B4100D" w:rsidRDefault="0076605E" w:rsidP="00986560">
      <w:pPr>
        <w:rPr>
          <w:sz w:val="22"/>
          <w:szCs w:val="22"/>
        </w:rPr>
      </w:pPr>
      <w:r w:rsidRPr="00B4100D">
        <w:rPr>
          <w:sz w:val="22"/>
          <w:szCs w:val="22"/>
        </w:rPr>
        <w:t xml:space="preserve">Hydroxychloroquine sulfate Accord vartojimą reikia nedelsiant nutraukti, jei pacientui pasireiškia pigmentacijos pokyčių, regos lauko defektas ar bet koks kitas sutrikimas, kurio negalima paaiškinti </w:t>
      </w:r>
      <w:r w:rsidRPr="00B4100D">
        <w:rPr>
          <w:sz w:val="22"/>
          <w:szCs w:val="22"/>
        </w:rPr>
        <w:lastRenderedPageBreak/>
        <w:t>pasunkėjusia akomodacija (taip pat žr. 4.8 skyrių). Pacientus reikia nuolat stebėti, nes net nutraukus gydymą gali progresuoti tinklainės pokyčiai ir regėjimo sutrikimai (taip pat žr. 4.8 skyrių).</w:t>
      </w:r>
    </w:p>
    <w:p w14:paraId="7F415E71" w14:textId="77777777" w:rsidR="0076605E" w:rsidRPr="00B4100D" w:rsidRDefault="0076605E" w:rsidP="00986560">
      <w:pPr>
        <w:rPr>
          <w:sz w:val="22"/>
          <w:szCs w:val="22"/>
        </w:rPr>
      </w:pPr>
    </w:p>
    <w:p w14:paraId="09D0FEEE" w14:textId="77777777" w:rsidR="00A47D38" w:rsidRPr="00B4100D" w:rsidRDefault="00A47D38" w:rsidP="00986560">
      <w:pPr>
        <w:rPr>
          <w:sz w:val="22"/>
          <w:szCs w:val="22"/>
        </w:rPr>
      </w:pPr>
      <w:r w:rsidRPr="00B4100D">
        <w:rPr>
          <w:sz w:val="22"/>
          <w:szCs w:val="22"/>
        </w:rPr>
        <w:t xml:space="preserve">Hidroksichlorokvino nerekomenduojama vartoti kartu su </w:t>
      </w:r>
      <w:r w:rsidR="00A1615C" w:rsidRPr="00B4100D">
        <w:rPr>
          <w:sz w:val="22"/>
          <w:szCs w:val="22"/>
        </w:rPr>
        <w:t xml:space="preserve">kitais </w:t>
      </w:r>
      <w:r w:rsidRPr="00B4100D">
        <w:rPr>
          <w:sz w:val="22"/>
          <w:szCs w:val="22"/>
        </w:rPr>
        <w:t>toksinį poveikį tinklainei sukeliančiais vaistiniais preparatais, pvz., tamoksifenu.</w:t>
      </w:r>
    </w:p>
    <w:p w14:paraId="31D096E6" w14:textId="77777777" w:rsidR="00A47D38" w:rsidRPr="00B4100D" w:rsidRDefault="00A47D38" w:rsidP="00986560">
      <w:pPr>
        <w:rPr>
          <w:sz w:val="22"/>
          <w:szCs w:val="22"/>
        </w:rPr>
      </w:pPr>
    </w:p>
    <w:p w14:paraId="2A39D65D" w14:textId="77777777" w:rsidR="008934D9" w:rsidRPr="00B4100D" w:rsidRDefault="008934D9" w:rsidP="008934D9">
      <w:pPr>
        <w:rPr>
          <w:b/>
          <w:bCs/>
          <w:sz w:val="22"/>
          <w:szCs w:val="22"/>
          <w:u w:val="single"/>
        </w:rPr>
      </w:pPr>
      <w:r w:rsidRPr="00B4100D">
        <w:rPr>
          <w:b/>
          <w:bCs/>
          <w:sz w:val="22"/>
          <w:szCs w:val="22"/>
          <w:u w:val="single"/>
        </w:rPr>
        <w:t>Hipoglikemija</w:t>
      </w:r>
    </w:p>
    <w:p w14:paraId="07E17B57" w14:textId="77777777" w:rsidR="008934D9" w:rsidRPr="00B4100D" w:rsidRDefault="008934D9" w:rsidP="008934D9">
      <w:pPr>
        <w:rPr>
          <w:sz w:val="22"/>
          <w:szCs w:val="22"/>
        </w:rPr>
      </w:pPr>
      <w:r w:rsidRPr="00B4100D">
        <w:rPr>
          <w:sz w:val="22"/>
          <w:szCs w:val="22"/>
        </w:rPr>
        <w:t>Nustatyta, kad hidroksichlorokvinas sukelia sunkią hipoglikemiją, įskaitant ir su sąmonės netekimu, kuris gali būti pavojingas gyvybei pacientams, gydomiems ar negydomiems vaistiniais preparatais nuo cukrinio diabeto. Hidroksichlorokvinu gydomi pacientai turi būti perspėti apie hipoglikemijos riziką ir susijusius klinikinius požymius ir simptomus. Pacientai, kuriems gydymo hidroksichlorokvinu metu atsiranda klinikinių simptomų, panašių į hipoglikemijos, turi pasitikrinti gliukozės kiekį kraujyje, ir jei reikia, turi būti peržiūrėtas gydymas.</w:t>
      </w:r>
    </w:p>
    <w:p w14:paraId="70456C01" w14:textId="77777777" w:rsidR="008934D9" w:rsidRPr="00B4100D" w:rsidRDefault="008934D9" w:rsidP="008934D9">
      <w:pPr>
        <w:rPr>
          <w:sz w:val="22"/>
          <w:szCs w:val="22"/>
        </w:rPr>
      </w:pPr>
    </w:p>
    <w:p w14:paraId="4CC136EC" w14:textId="77777777" w:rsidR="00D310F9" w:rsidRPr="003C1C5E" w:rsidRDefault="00D310F9" w:rsidP="00D310F9">
      <w:pPr>
        <w:rPr>
          <w:b/>
          <w:bCs/>
          <w:sz w:val="22"/>
          <w:szCs w:val="22"/>
          <w:u w:val="single"/>
        </w:rPr>
      </w:pPr>
      <w:r w:rsidRPr="003C1C5E">
        <w:rPr>
          <w:b/>
          <w:bCs/>
          <w:sz w:val="22"/>
          <w:szCs w:val="22"/>
          <w:u w:val="single"/>
        </w:rPr>
        <w:t>Ekstrapiramidiniai sutrikimai</w:t>
      </w:r>
    </w:p>
    <w:p w14:paraId="324D536E" w14:textId="77777777" w:rsidR="008934D9" w:rsidRPr="00B4100D" w:rsidRDefault="008934D9" w:rsidP="008934D9">
      <w:pPr>
        <w:rPr>
          <w:sz w:val="22"/>
          <w:szCs w:val="22"/>
        </w:rPr>
      </w:pPr>
      <w:r w:rsidRPr="00B4100D">
        <w:rPr>
          <w:sz w:val="22"/>
          <w:szCs w:val="22"/>
        </w:rPr>
        <w:t>Vartojant hidroksichlorokviną gali pasireikšti ekstrapiramidiniai sutrikimai (žr. 4.8 skyrių).</w:t>
      </w:r>
    </w:p>
    <w:p w14:paraId="5B86808C" w14:textId="77777777" w:rsidR="008934D9" w:rsidRPr="00B4100D" w:rsidRDefault="008934D9" w:rsidP="008934D9">
      <w:pPr>
        <w:rPr>
          <w:sz w:val="22"/>
          <w:szCs w:val="22"/>
          <w:u w:val="single"/>
        </w:rPr>
      </w:pPr>
    </w:p>
    <w:p w14:paraId="51FE4FAD" w14:textId="77777777" w:rsidR="008934D9" w:rsidRPr="00B4100D" w:rsidRDefault="008934D9" w:rsidP="008934D9">
      <w:pPr>
        <w:rPr>
          <w:b/>
          <w:bCs/>
          <w:sz w:val="22"/>
          <w:szCs w:val="22"/>
          <w:u w:val="single"/>
        </w:rPr>
      </w:pPr>
      <w:r w:rsidRPr="00B4100D">
        <w:rPr>
          <w:b/>
          <w:bCs/>
          <w:sz w:val="22"/>
          <w:szCs w:val="22"/>
          <w:u w:val="single"/>
        </w:rPr>
        <w:t>QTc intervalo pailgėjimas</w:t>
      </w:r>
    </w:p>
    <w:p w14:paraId="2443915E" w14:textId="1D2B8FAD" w:rsidR="008934D9" w:rsidRPr="00B4100D" w:rsidRDefault="00D310F9" w:rsidP="008934D9">
      <w:pPr>
        <w:rPr>
          <w:sz w:val="22"/>
          <w:szCs w:val="22"/>
        </w:rPr>
      </w:pPr>
      <w:r>
        <w:rPr>
          <w:sz w:val="22"/>
          <w:szCs w:val="22"/>
        </w:rPr>
        <w:t>P</w:t>
      </w:r>
      <w:r w:rsidR="008934D9" w:rsidRPr="00B4100D">
        <w:rPr>
          <w:sz w:val="22"/>
          <w:szCs w:val="22"/>
        </w:rPr>
        <w:t>acientams</w:t>
      </w:r>
      <w:r w:rsidRPr="000028A1">
        <w:rPr>
          <w:sz w:val="22"/>
          <w:szCs w:val="22"/>
        </w:rPr>
        <w:t>, turintiems specifinių rizikos veiksnių</w:t>
      </w:r>
      <w:r>
        <w:rPr>
          <w:sz w:val="22"/>
          <w:szCs w:val="22"/>
        </w:rPr>
        <w:t>,</w:t>
      </w:r>
      <w:r w:rsidRPr="00B4100D">
        <w:rPr>
          <w:sz w:val="22"/>
          <w:szCs w:val="22"/>
        </w:rPr>
        <w:t xml:space="preserve"> </w:t>
      </w:r>
      <w:r>
        <w:rPr>
          <w:sz w:val="22"/>
          <w:szCs w:val="22"/>
        </w:rPr>
        <w:t>hidroksi</w:t>
      </w:r>
      <w:r w:rsidR="008934D9" w:rsidRPr="00B4100D">
        <w:rPr>
          <w:sz w:val="22"/>
          <w:szCs w:val="22"/>
        </w:rPr>
        <w:t>chlorokvinas gali prailginti QTc intervalą.</w:t>
      </w:r>
    </w:p>
    <w:p w14:paraId="4F2C7DBE" w14:textId="2B33944D" w:rsidR="008934D9" w:rsidRPr="00B4100D" w:rsidRDefault="00D310F9" w:rsidP="008934D9">
      <w:pPr>
        <w:rPr>
          <w:sz w:val="22"/>
          <w:szCs w:val="22"/>
        </w:rPr>
      </w:pPr>
      <w:r w:rsidRPr="00D310F9">
        <w:rPr>
          <w:sz w:val="22"/>
          <w:szCs w:val="22"/>
        </w:rPr>
        <w:t>Hidroksic</w:t>
      </w:r>
      <w:r w:rsidR="008934D9" w:rsidRPr="00B4100D">
        <w:rPr>
          <w:sz w:val="22"/>
          <w:szCs w:val="22"/>
        </w:rPr>
        <w:t xml:space="preserve">hlorokviną reikia atsargiai vartoti pacientams, turintiems įgimtą ar dokumentuotą įgytą QT intervalo pailgėjimą ir (arba) QT intervalo pailgėjimo rizikos veiksnių, tokių kaip: </w:t>
      </w:r>
    </w:p>
    <w:p w14:paraId="78E0BD82" w14:textId="77777777" w:rsidR="008934D9" w:rsidRPr="00B4100D" w:rsidRDefault="008934D9" w:rsidP="009C3222">
      <w:pPr>
        <w:pStyle w:val="ColorfulList-Accent11"/>
        <w:numPr>
          <w:ilvl w:val="0"/>
          <w:numId w:val="2"/>
        </w:numPr>
        <w:rPr>
          <w:sz w:val="22"/>
          <w:szCs w:val="22"/>
        </w:rPr>
      </w:pPr>
      <w:r w:rsidRPr="00B4100D">
        <w:rPr>
          <w:sz w:val="22"/>
          <w:szCs w:val="22"/>
        </w:rPr>
        <w:t>širdies liga, pvz., širdies nepakankamumas, miokardo infarktas;</w:t>
      </w:r>
    </w:p>
    <w:p w14:paraId="60D31C1C" w14:textId="77777777" w:rsidR="008934D9" w:rsidRPr="00B4100D" w:rsidRDefault="008934D9" w:rsidP="009C3222">
      <w:pPr>
        <w:pStyle w:val="ColorfulList-Accent11"/>
        <w:numPr>
          <w:ilvl w:val="0"/>
          <w:numId w:val="2"/>
        </w:numPr>
        <w:rPr>
          <w:sz w:val="22"/>
          <w:szCs w:val="22"/>
        </w:rPr>
      </w:pPr>
      <w:r w:rsidRPr="00B4100D">
        <w:rPr>
          <w:sz w:val="22"/>
          <w:szCs w:val="22"/>
        </w:rPr>
        <w:t>proaritminės būklės, pvz., bradikardija (&lt; 50 kartų per min.);</w:t>
      </w:r>
    </w:p>
    <w:p w14:paraId="1DEA4FFE" w14:textId="77777777" w:rsidR="008934D9" w:rsidRPr="00B4100D" w:rsidRDefault="008934D9" w:rsidP="009C3222">
      <w:pPr>
        <w:pStyle w:val="ColorfulList-Accent11"/>
        <w:numPr>
          <w:ilvl w:val="0"/>
          <w:numId w:val="2"/>
        </w:numPr>
        <w:rPr>
          <w:sz w:val="22"/>
          <w:szCs w:val="22"/>
        </w:rPr>
      </w:pPr>
      <w:r w:rsidRPr="00B4100D">
        <w:rPr>
          <w:sz w:val="22"/>
          <w:szCs w:val="22"/>
        </w:rPr>
        <w:t>buvę skilveliniai ritmo sutrikimai;</w:t>
      </w:r>
    </w:p>
    <w:p w14:paraId="410B7361" w14:textId="77777777" w:rsidR="008934D9" w:rsidRPr="00B4100D" w:rsidRDefault="008934D9" w:rsidP="009C3222">
      <w:pPr>
        <w:pStyle w:val="ColorfulList-Accent11"/>
        <w:numPr>
          <w:ilvl w:val="0"/>
          <w:numId w:val="2"/>
        </w:numPr>
        <w:rPr>
          <w:sz w:val="22"/>
          <w:szCs w:val="22"/>
        </w:rPr>
      </w:pPr>
      <w:r w:rsidRPr="00B4100D">
        <w:rPr>
          <w:sz w:val="22"/>
          <w:szCs w:val="22"/>
        </w:rPr>
        <w:t>nekoreguota hipokalemija ir (arba) hipomagnezemija;</w:t>
      </w:r>
    </w:p>
    <w:p w14:paraId="6F561B3D" w14:textId="74CD0724" w:rsidR="008934D9" w:rsidRPr="00B4100D" w:rsidRDefault="008934D9" w:rsidP="009C3222">
      <w:pPr>
        <w:pStyle w:val="ColorfulList-Accent11"/>
        <w:numPr>
          <w:ilvl w:val="0"/>
          <w:numId w:val="2"/>
        </w:numPr>
        <w:rPr>
          <w:sz w:val="22"/>
          <w:szCs w:val="22"/>
        </w:rPr>
      </w:pPr>
      <w:r w:rsidRPr="00B4100D">
        <w:rPr>
          <w:sz w:val="22"/>
          <w:szCs w:val="22"/>
        </w:rPr>
        <w:t xml:space="preserve">kartu vartojami QT intervalą ilginantys vaistiniai preparatai (žr. 4.5 skyrių), dėl kurių gali padidėti skilvelinės aritmijos rizika. </w:t>
      </w:r>
    </w:p>
    <w:p w14:paraId="555FEC8B" w14:textId="77777777" w:rsidR="008934D9" w:rsidRPr="00B4100D" w:rsidRDefault="008934D9" w:rsidP="008934D9">
      <w:pPr>
        <w:pStyle w:val="ColorfulList-Accent11"/>
        <w:ind w:left="0"/>
        <w:rPr>
          <w:sz w:val="22"/>
          <w:szCs w:val="22"/>
        </w:rPr>
      </w:pPr>
    </w:p>
    <w:p w14:paraId="5C027439" w14:textId="75910701" w:rsidR="008934D9" w:rsidRPr="00B4100D" w:rsidRDefault="008934D9" w:rsidP="008934D9">
      <w:pPr>
        <w:rPr>
          <w:sz w:val="22"/>
          <w:szCs w:val="22"/>
        </w:rPr>
      </w:pPr>
      <w:r w:rsidRPr="00B4100D">
        <w:rPr>
          <w:sz w:val="22"/>
          <w:szCs w:val="22"/>
        </w:rPr>
        <w:t>Didėjant veikliosios medžiagos koncentracijai kraujyje, QT intervalas gali ilgėti. Todėl rekomenduojama dozė neturi būti viršyta (taip pat žr. 4.</w:t>
      </w:r>
      <w:r w:rsidR="00D310F9">
        <w:rPr>
          <w:sz w:val="22"/>
          <w:szCs w:val="22"/>
        </w:rPr>
        <w:t>5</w:t>
      </w:r>
      <w:r w:rsidRPr="00B4100D">
        <w:rPr>
          <w:sz w:val="22"/>
          <w:szCs w:val="22"/>
        </w:rPr>
        <w:t xml:space="preserve"> ir 4.</w:t>
      </w:r>
      <w:r w:rsidR="00D310F9">
        <w:rPr>
          <w:sz w:val="22"/>
          <w:szCs w:val="22"/>
        </w:rPr>
        <w:t>8</w:t>
      </w:r>
      <w:r w:rsidRPr="00B4100D">
        <w:rPr>
          <w:sz w:val="22"/>
          <w:szCs w:val="22"/>
        </w:rPr>
        <w:t> skyrius).</w:t>
      </w:r>
    </w:p>
    <w:p w14:paraId="6531A5D7" w14:textId="1CD06954" w:rsidR="008934D9" w:rsidRPr="00B4100D" w:rsidRDefault="008934D9" w:rsidP="008934D9">
      <w:pPr>
        <w:rPr>
          <w:sz w:val="22"/>
          <w:szCs w:val="22"/>
        </w:rPr>
      </w:pPr>
      <w:r w:rsidRPr="00B4100D">
        <w:rPr>
          <w:sz w:val="22"/>
          <w:szCs w:val="22"/>
        </w:rPr>
        <w:t xml:space="preserve">Jei gydymo </w:t>
      </w:r>
      <w:r w:rsidR="00D310F9" w:rsidRPr="00D310F9">
        <w:rPr>
          <w:sz w:val="22"/>
          <w:szCs w:val="22"/>
        </w:rPr>
        <w:t>hidroksi</w:t>
      </w:r>
      <w:r w:rsidRPr="00B4100D">
        <w:rPr>
          <w:sz w:val="22"/>
          <w:szCs w:val="22"/>
        </w:rPr>
        <w:t>chlorokvinu metu atsiranda širdies aritmijos požymių, gydymą reikia nutraukti ir atlikti elektrokardiografiją (EKG).</w:t>
      </w:r>
    </w:p>
    <w:p w14:paraId="3CB421F7" w14:textId="77777777" w:rsidR="008934D9" w:rsidRPr="00B4100D" w:rsidRDefault="008934D9" w:rsidP="0076605E">
      <w:pPr>
        <w:rPr>
          <w:b/>
          <w:bCs/>
          <w:sz w:val="22"/>
          <w:szCs w:val="22"/>
          <w:u w:val="single"/>
        </w:rPr>
      </w:pPr>
    </w:p>
    <w:p w14:paraId="6587DA0B" w14:textId="57C6AA12" w:rsidR="0076605E" w:rsidRPr="00B4100D" w:rsidRDefault="00D310F9" w:rsidP="0076605E">
      <w:pPr>
        <w:rPr>
          <w:b/>
          <w:bCs/>
          <w:sz w:val="22"/>
          <w:szCs w:val="22"/>
          <w:u w:val="single"/>
        </w:rPr>
      </w:pPr>
      <w:r>
        <w:rPr>
          <w:b/>
          <w:bCs/>
          <w:sz w:val="22"/>
          <w:szCs w:val="22"/>
          <w:u w:val="single"/>
        </w:rPr>
        <w:t>L</w:t>
      </w:r>
      <w:r w:rsidR="0076605E" w:rsidRPr="00B4100D">
        <w:rPr>
          <w:b/>
          <w:bCs/>
          <w:sz w:val="22"/>
          <w:szCs w:val="22"/>
          <w:u w:val="single"/>
        </w:rPr>
        <w:t>ėtinis kardiotoksinis poveikis</w:t>
      </w:r>
    </w:p>
    <w:p w14:paraId="1F151E6D" w14:textId="7B77665A" w:rsidR="00D310F9" w:rsidRDefault="0076605E" w:rsidP="0076605E">
      <w:pPr>
        <w:rPr>
          <w:sz w:val="22"/>
          <w:szCs w:val="22"/>
        </w:rPr>
      </w:pPr>
      <w:r w:rsidRPr="00B4100D">
        <w:rPr>
          <w:sz w:val="22"/>
          <w:szCs w:val="22"/>
        </w:rPr>
        <w:t xml:space="preserve">Buvo pranešta apie atvejus, kai hidroksichlorokvinu gydytiems pacientams pasireiškė kardiomiopatija, sukėlusi širdies nepakankamumą, kai kuriais atvejais pasibaigusį mirtimi (žr. 4.8 ir 4.9 skyrius). Rekomenduojamas klinikinis kardiomiopatijos požymių ir simptomų stebėjimas. Jei gydymo hidroksichlorokvinu metu pasireiškia kardiomiopatijos požymių ir simptomų, gydymą reikia nutraukti. </w:t>
      </w:r>
    </w:p>
    <w:p w14:paraId="45DE0DB7" w14:textId="77777777" w:rsidR="00D310F9" w:rsidRDefault="00D310F9" w:rsidP="0076605E">
      <w:pPr>
        <w:rPr>
          <w:sz w:val="22"/>
          <w:szCs w:val="22"/>
        </w:rPr>
      </w:pPr>
    </w:p>
    <w:p w14:paraId="27C4C59E" w14:textId="66A0E780" w:rsidR="0076605E" w:rsidRPr="00B4100D" w:rsidRDefault="0076605E" w:rsidP="0076605E">
      <w:pPr>
        <w:rPr>
          <w:sz w:val="22"/>
          <w:szCs w:val="22"/>
        </w:rPr>
      </w:pPr>
      <w:r w:rsidRPr="00B4100D">
        <w:rPr>
          <w:sz w:val="22"/>
          <w:szCs w:val="22"/>
        </w:rPr>
        <w:t>Diagnozavus laidumo sutrikimus (Hiso pluošto kojytės blokadą ar atrioventrikulinę blokadą), o taip pat abiejų skilvelių hipertrofiją, reikia pagalvoti apie lėtinio toksinio poveikio galimybę (žr. 4.8 skyrių).</w:t>
      </w:r>
    </w:p>
    <w:p w14:paraId="42DE0E46" w14:textId="77777777" w:rsidR="0076605E" w:rsidRPr="00B4100D" w:rsidRDefault="0076605E" w:rsidP="0076605E">
      <w:pPr>
        <w:rPr>
          <w:sz w:val="22"/>
          <w:szCs w:val="22"/>
        </w:rPr>
      </w:pPr>
    </w:p>
    <w:p w14:paraId="44ADCDF7" w14:textId="66E1AD56" w:rsidR="00361490" w:rsidRPr="00361490" w:rsidRDefault="00361490" w:rsidP="00361490">
      <w:pPr>
        <w:autoSpaceDE w:val="0"/>
        <w:autoSpaceDN w:val="0"/>
        <w:adjustRightInd w:val="0"/>
        <w:rPr>
          <w:rFonts w:ascii="TimesNewRomanPS-BoldMT" w:hAnsi="TimesNewRomanPS-BoldMT" w:cs="TimesNewRomanPS-BoldMT"/>
          <w:b/>
          <w:bCs/>
          <w:sz w:val="22"/>
          <w:szCs w:val="22"/>
          <w:u w:val="single"/>
          <w:lang w:eastAsia="lt-LT"/>
        </w:rPr>
      </w:pPr>
      <w:r w:rsidRPr="00361490">
        <w:rPr>
          <w:rFonts w:ascii="TimesNewRomanPS-BoldMT" w:hAnsi="TimesNewRomanPS-BoldMT" w:cs="TimesNewRomanPS-BoldMT"/>
          <w:b/>
          <w:bCs/>
          <w:sz w:val="22"/>
          <w:szCs w:val="22"/>
          <w:u w:val="single"/>
          <w:lang w:eastAsia="lt-LT"/>
        </w:rPr>
        <w:t>Sunkios nepageidaujamos odos reakcijos (SNOR)</w:t>
      </w:r>
    </w:p>
    <w:p w14:paraId="4A089A4F" w14:textId="0EDB96F9" w:rsidR="0076605E" w:rsidRPr="00361490" w:rsidRDefault="00361490" w:rsidP="00361490">
      <w:pPr>
        <w:autoSpaceDE w:val="0"/>
        <w:autoSpaceDN w:val="0"/>
        <w:adjustRightInd w:val="0"/>
        <w:rPr>
          <w:sz w:val="22"/>
          <w:szCs w:val="22"/>
          <w:u w:val="single"/>
        </w:rPr>
      </w:pPr>
      <w:r w:rsidRPr="00361490">
        <w:rPr>
          <w:rFonts w:ascii="TimesNewRomanPS-BoldMT" w:hAnsi="TimesNewRomanPS-BoldMT" w:cs="TimesNewRomanPS-BoldMT"/>
          <w:sz w:val="22"/>
          <w:szCs w:val="22"/>
          <w:lang w:eastAsia="lt-LT"/>
        </w:rPr>
        <w:t>Pranešta apie hidroksichlorokvino vartojimo metu pasireiškusias sunkias nepageidaujamas odos</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reakcijas (SNOR), įskaitant reakciją į vaistinį preparatą su eozinofilija ir sisteminiais</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 xml:space="preserve">simptomais (angl. </w:t>
      </w:r>
      <w:r w:rsidRPr="00361490">
        <w:rPr>
          <w:rFonts w:ascii="TimesNewRomanPS-BoldItalicMT" w:hAnsi="TimesNewRomanPS-BoldItalicMT" w:cs="TimesNewRomanPS-BoldItalicMT"/>
          <w:i/>
          <w:iCs/>
          <w:sz w:val="22"/>
          <w:szCs w:val="22"/>
          <w:lang w:eastAsia="lt-LT"/>
        </w:rPr>
        <w:t>drug reaction with eosinophilia and systemic symptoms</w:t>
      </w:r>
      <w:r w:rsidRPr="00361490">
        <w:rPr>
          <w:rFonts w:ascii="TimesNewRomanPS-BoldMT" w:hAnsi="TimesNewRomanPS-BoldMT" w:cs="TimesNewRomanPS-BoldMT"/>
          <w:sz w:val="22"/>
          <w:szCs w:val="22"/>
          <w:lang w:eastAsia="lt-LT"/>
        </w:rPr>
        <w:t>, DRESS), ūminę</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 xml:space="preserve">išplitusią egzanteminę pustuliozę (angl. </w:t>
      </w:r>
      <w:r w:rsidRPr="00361490">
        <w:rPr>
          <w:rFonts w:ascii="TimesNewRomanPS-BoldItalicMT" w:hAnsi="TimesNewRomanPS-BoldItalicMT" w:cs="TimesNewRomanPS-BoldItalicMT"/>
          <w:i/>
          <w:iCs/>
          <w:sz w:val="22"/>
          <w:szCs w:val="22"/>
          <w:lang w:eastAsia="lt-LT"/>
        </w:rPr>
        <w:t>acute generalised exanthematous pustulosis</w:t>
      </w:r>
      <w:r w:rsidRPr="00361490">
        <w:rPr>
          <w:rFonts w:ascii="TimesNewRomanPS-BoldMT" w:hAnsi="TimesNewRomanPS-BoldMT" w:cs="TimesNewRomanPS-BoldMT"/>
          <w:sz w:val="22"/>
          <w:szCs w:val="22"/>
          <w:lang w:eastAsia="lt-LT"/>
        </w:rPr>
        <w:t>, AGEP),</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Stivenso-Džonsono (</w:t>
      </w:r>
      <w:r w:rsidRPr="00361490">
        <w:rPr>
          <w:rFonts w:ascii="TimesNewRomanPS-BoldItalicMT" w:hAnsi="TimesNewRomanPS-BoldItalicMT" w:cs="TimesNewRomanPS-BoldItalicMT"/>
          <w:i/>
          <w:iCs/>
          <w:sz w:val="22"/>
          <w:szCs w:val="22"/>
          <w:lang w:eastAsia="lt-LT"/>
        </w:rPr>
        <w:t>Stevens-Johnson</w:t>
      </w:r>
      <w:r w:rsidRPr="00361490">
        <w:rPr>
          <w:rFonts w:ascii="TimesNewRomanPS-BoldMT" w:hAnsi="TimesNewRomanPS-BoldMT" w:cs="TimesNewRomanPS-BoldMT"/>
          <w:sz w:val="22"/>
          <w:szCs w:val="22"/>
          <w:lang w:eastAsia="lt-LT"/>
        </w:rPr>
        <w:t>) sindromą (SJS) ir toksinę epidermio nekrolizę (TEN).</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Pacientus, kuriems pasireiškia sunkios dermatologinės reakcijos, gali tekti hospitalizuoti,</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kadangi tokios būklės gali būti pavojingos gyvybei arba mirtinos. Jeigu atsiranda sunkioms odos</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reakcijoms būdingų požymių ir simptomų, būtina nedelsiant nutraukti hidroksichlorokvino</w:t>
      </w:r>
      <w:r>
        <w:rPr>
          <w:rFonts w:ascii="TimesNewRomanPS-BoldMT" w:hAnsi="TimesNewRomanPS-BoldMT" w:cs="TimesNewRomanPS-BoldMT"/>
          <w:sz w:val="22"/>
          <w:szCs w:val="22"/>
          <w:lang w:eastAsia="lt-LT"/>
        </w:rPr>
        <w:t xml:space="preserve"> </w:t>
      </w:r>
      <w:r w:rsidRPr="00361490">
        <w:rPr>
          <w:rFonts w:ascii="TimesNewRomanPS-BoldMT" w:hAnsi="TimesNewRomanPS-BoldMT" w:cs="TimesNewRomanPS-BoldMT"/>
          <w:sz w:val="22"/>
          <w:szCs w:val="22"/>
          <w:lang w:eastAsia="lt-LT"/>
        </w:rPr>
        <w:t>vartojimą ir apsvarstyti alternatyvų gydymą.</w:t>
      </w:r>
    </w:p>
    <w:p w14:paraId="1543FB4D" w14:textId="77777777" w:rsidR="00361490" w:rsidRDefault="00361490" w:rsidP="009A70DB">
      <w:pPr>
        <w:rPr>
          <w:b/>
          <w:bCs/>
          <w:sz w:val="22"/>
          <w:szCs w:val="22"/>
          <w:u w:val="single"/>
        </w:rPr>
      </w:pPr>
    </w:p>
    <w:p w14:paraId="4714B1D3" w14:textId="48E85CFC" w:rsidR="009A70DB" w:rsidRPr="00B4100D" w:rsidRDefault="009A70DB" w:rsidP="009A70DB">
      <w:pPr>
        <w:rPr>
          <w:b/>
          <w:bCs/>
          <w:sz w:val="22"/>
          <w:szCs w:val="22"/>
          <w:u w:val="single"/>
        </w:rPr>
      </w:pPr>
      <w:r w:rsidRPr="00B4100D">
        <w:rPr>
          <w:b/>
          <w:bCs/>
          <w:sz w:val="22"/>
          <w:szCs w:val="22"/>
          <w:u w:val="single"/>
        </w:rPr>
        <w:t>Kitoks būklės stebėjimas ilgalaikio gydymo atveju</w:t>
      </w:r>
    </w:p>
    <w:p w14:paraId="7FF6BF6B" w14:textId="77777777" w:rsidR="009A70DB" w:rsidRPr="00B4100D" w:rsidRDefault="009A70DB" w:rsidP="009A70DB">
      <w:pPr>
        <w:rPr>
          <w:sz w:val="22"/>
          <w:szCs w:val="22"/>
        </w:rPr>
      </w:pPr>
      <w:r w:rsidRPr="00B4100D">
        <w:rPr>
          <w:sz w:val="22"/>
          <w:szCs w:val="22"/>
        </w:rPr>
        <w:t>Ilgalaikio gydymo metu paros dozė turi būti kuo mažesnė. Viršutinė riba yra 400 mg per parą vienerius metus, o tai atitinka 6 mg/kg.</w:t>
      </w:r>
    </w:p>
    <w:p w14:paraId="381A6EEC" w14:textId="77777777" w:rsidR="009A70DB" w:rsidRPr="00B4100D" w:rsidRDefault="009A70DB" w:rsidP="009A70DB">
      <w:pPr>
        <w:rPr>
          <w:sz w:val="22"/>
          <w:szCs w:val="22"/>
        </w:rPr>
      </w:pPr>
    </w:p>
    <w:p w14:paraId="691E21BC" w14:textId="28C91E7B" w:rsidR="009A70DB" w:rsidRPr="00B4100D" w:rsidRDefault="00D310F9" w:rsidP="009A70DB">
      <w:pPr>
        <w:rPr>
          <w:sz w:val="22"/>
          <w:szCs w:val="22"/>
        </w:rPr>
      </w:pPr>
      <w:r w:rsidRPr="00B4100D">
        <w:rPr>
          <w:sz w:val="22"/>
          <w:szCs w:val="22"/>
        </w:rPr>
        <w:lastRenderedPageBreak/>
        <w:t>Hydroxychloroquine sulfate Accord turi būti skiriamas atsargiai pacientams, vartojantiems vaistinius preparatus, kurie gali sukelti nepageidaujamas akių ar odos reakcijas.</w:t>
      </w:r>
      <w:r>
        <w:rPr>
          <w:sz w:val="22"/>
          <w:szCs w:val="22"/>
        </w:rPr>
        <w:t xml:space="preserve"> </w:t>
      </w:r>
      <w:r w:rsidR="009A70DB" w:rsidRPr="00B4100D">
        <w:rPr>
          <w:sz w:val="22"/>
          <w:szCs w:val="22"/>
        </w:rPr>
        <w:t>Taip pat atsargiai reikia vartoti šiais atvejais:</w:t>
      </w:r>
    </w:p>
    <w:p w14:paraId="44010682" w14:textId="77777777" w:rsidR="004558C8" w:rsidRPr="00B4100D" w:rsidRDefault="004558C8" w:rsidP="009A70DB">
      <w:pPr>
        <w:rPr>
          <w:sz w:val="22"/>
          <w:szCs w:val="22"/>
        </w:rPr>
      </w:pPr>
    </w:p>
    <w:p w14:paraId="76638190" w14:textId="3A1A8C1F" w:rsidR="009A70DB" w:rsidRPr="00B4100D" w:rsidRDefault="009A70DB" w:rsidP="009C3222">
      <w:pPr>
        <w:numPr>
          <w:ilvl w:val="0"/>
          <w:numId w:val="9"/>
        </w:numPr>
        <w:ind w:left="567" w:hanging="567"/>
        <w:rPr>
          <w:sz w:val="22"/>
          <w:szCs w:val="22"/>
        </w:rPr>
      </w:pPr>
      <w:r w:rsidRPr="00B4100D">
        <w:rPr>
          <w:sz w:val="22"/>
          <w:szCs w:val="22"/>
        </w:rPr>
        <w:t>pacientams, sergantiems kepenų ar inkstų ligomis</w:t>
      </w:r>
      <w:r w:rsidR="003A136E" w:rsidRPr="00B4100D">
        <w:rPr>
          <w:sz w:val="22"/>
          <w:szCs w:val="22"/>
        </w:rPr>
        <w:t xml:space="preserve"> </w:t>
      </w:r>
      <w:r w:rsidRPr="00B4100D">
        <w:rPr>
          <w:sz w:val="22"/>
          <w:szCs w:val="22"/>
        </w:rPr>
        <w:t>ir vartoja</w:t>
      </w:r>
      <w:r w:rsidR="003A136E" w:rsidRPr="00B4100D">
        <w:rPr>
          <w:sz w:val="22"/>
          <w:szCs w:val="22"/>
        </w:rPr>
        <w:t>ntiems</w:t>
      </w:r>
      <w:r w:rsidRPr="00B4100D">
        <w:rPr>
          <w:sz w:val="22"/>
          <w:szCs w:val="22"/>
        </w:rPr>
        <w:t xml:space="preserve"> </w:t>
      </w:r>
      <w:r w:rsidR="003A136E" w:rsidRPr="00B4100D">
        <w:rPr>
          <w:sz w:val="22"/>
          <w:szCs w:val="22"/>
        </w:rPr>
        <w:t xml:space="preserve">vaistinius preparatus, kurie gali pažeisti šiuos organus. </w:t>
      </w:r>
      <w:r w:rsidR="008934D9" w:rsidRPr="00B4100D">
        <w:rPr>
          <w:sz w:val="22"/>
          <w:szCs w:val="22"/>
        </w:rPr>
        <w:t>R</w:t>
      </w:r>
      <w:r w:rsidRPr="00B4100D">
        <w:rPr>
          <w:sz w:val="22"/>
          <w:szCs w:val="22"/>
        </w:rPr>
        <w:t>eikia atitinkamai koreguoti dozę.</w:t>
      </w:r>
    </w:p>
    <w:p w14:paraId="626E776F" w14:textId="77777777" w:rsidR="003A136E" w:rsidRPr="00B4100D" w:rsidRDefault="003A136E" w:rsidP="009C3222">
      <w:pPr>
        <w:numPr>
          <w:ilvl w:val="0"/>
          <w:numId w:val="9"/>
        </w:numPr>
        <w:ind w:left="567" w:hanging="567"/>
        <w:rPr>
          <w:sz w:val="22"/>
          <w:szCs w:val="22"/>
        </w:rPr>
      </w:pPr>
      <w:r w:rsidRPr="00B4100D">
        <w:rPr>
          <w:sz w:val="22"/>
          <w:szCs w:val="22"/>
        </w:rPr>
        <w:t>pacientams, sergantiems virškinamojo trakto, nervų sistemos ar kraujo ligomis.</w:t>
      </w:r>
    </w:p>
    <w:p w14:paraId="42E8BC8F" w14:textId="77777777" w:rsidR="009A70DB" w:rsidRPr="00B4100D" w:rsidRDefault="009A70DB" w:rsidP="008934D9"/>
    <w:p w14:paraId="75968E9E" w14:textId="4E5CBD08" w:rsidR="003A136E" w:rsidRPr="00B4100D" w:rsidRDefault="003A136E" w:rsidP="009A70DB">
      <w:pPr>
        <w:rPr>
          <w:sz w:val="22"/>
          <w:szCs w:val="22"/>
        </w:rPr>
      </w:pPr>
      <w:r w:rsidRPr="00B4100D">
        <w:rPr>
          <w:sz w:val="22"/>
          <w:szCs w:val="22"/>
        </w:rPr>
        <w:t>Atsargumo taip pat patariama laikytis skiriant pacientams, jautr</w:t>
      </w:r>
      <w:r w:rsidR="00184202" w:rsidRPr="00B4100D">
        <w:rPr>
          <w:sz w:val="22"/>
          <w:szCs w:val="22"/>
        </w:rPr>
        <w:t>iem</w:t>
      </w:r>
      <w:r w:rsidRPr="00B4100D">
        <w:rPr>
          <w:sz w:val="22"/>
          <w:szCs w:val="22"/>
        </w:rPr>
        <w:t xml:space="preserve">s </w:t>
      </w:r>
      <w:r w:rsidR="00537B28" w:rsidRPr="00B4100D">
        <w:rPr>
          <w:sz w:val="22"/>
          <w:szCs w:val="22"/>
        </w:rPr>
        <w:t>kv</w:t>
      </w:r>
      <w:r w:rsidRPr="00B4100D">
        <w:rPr>
          <w:sz w:val="22"/>
          <w:szCs w:val="22"/>
        </w:rPr>
        <w:t xml:space="preserve">ininui, </w:t>
      </w:r>
      <w:r w:rsidR="00184202" w:rsidRPr="00B4100D">
        <w:rPr>
          <w:sz w:val="22"/>
          <w:szCs w:val="22"/>
        </w:rPr>
        <w:t xml:space="preserve">sergantiems gliukozės-6-fosfatdehidrogenazės trūkumu, </w:t>
      </w:r>
      <w:r w:rsidR="0062279D" w:rsidRPr="00B4100D">
        <w:rPr>
          <w:sz w:val="22"/>
          <w:szCs w:val="22"/>
        </w:rPr>
        <w:t>vėlyvąja odos porfirija (</w:t>
      </w:r>
      <w:r w:rsidRPr="00B4100D">
        <w:rPr>
          <w:i/>
          <w:iCs/>
          <w:sz w:val="22"/>
          <w:szCs w:val="22"/>
        </w:rPr>
        <w:t>porfiri</w:t>
      </w:r>
      <w:r w:rsidR="00537B28" w:rsidRPr="00B4100D">
        <w:rPr>
          <w:i/>
          <w:iCs/>
          <w:sz w:val="22"/>
          <w:szCs w:val="22"/>
        </w:rPr>
        <w:t>a</w:t>
      </w:r>
      <w:r w:rsidRPr="00B4100D">
        <w:rPr>
          <w:i/>
          <w:iCs/>
          <w:sz w:val="22"/>
          <w:szCs w:val="22"/>
        </w:rPr>
        <w:t xml:space="preserve"> cutanea tarda</w:t>
      </w:r>
      <w:r w:rsidR="0062279D" w:rsidRPr="00B4100D">
        <w:rPr>
          <w:sz w:val="22"/>
          <w:szCs w:val="22"/>
        </w:rPr>
        <w:t>)</w:t>
      </w:r>
      <w:r w:rsidRPr="00B4100D">
        <w:rPr>
          <w:sz w:val="22"/>
          <w:szCs w:val="22"/>
        </w:rPr>
        <w:t>, kur</w:t>
      </w:r>
      <w:r w:rsidR="0062279D" w:rsidRPr="00B4100D">
        <w:rPr>
          <w:sz w:val="22"/>
          <w:szCs w:val="22"/>
        </w:rPr>
        <w:t>ią</w:t>
      </w:r>
      <w:r w:rsidRPr="00B4100D">
        <w:rPr>
          <w:sz w:val="22"/>
          <w:szCs w:val="22"/>
        </w:rPr>
        <w:t xml:space="preserve"> gali </w:t>
      </w:r>
      <w:r w:rsidR="00981A4B" w:rsidRPr="00B4100D">
        <w:rPr>
          <w:sz w:val="22"/>
          <w:szCs w:val="22"/>
        </w:rPr>
        <w:t xml:space="preserve">pabloginti </w:t>
      </w:r>
      <w:r w:rsidRPr="00B4100D">
        <w:rPr>
          <w:sz w:val="22"/>
          <w:szCs w:val="22"/>
        </w:rPr>
        <w:t>hidroksichlorokvinas, ir pacientams, sergantiems psoriaze, nes padid</w:t>
      </w:r>
      <w:r w:rsidR="0062279D" w:rsidRPr="00B4100D">
        <w:rPr>
          <w:sz w:val="22"/>
          <w:szCs w:val="22"/>
        </w:rPr>
        <w:t>ėja</w:t>
      </w:r>
      <w:r w:rsidRPr="00B4100D">
        <w:rPr>
          <w:sz w:val="22"/>
          <w:szCs w:val="22"/>
        </w:rPr>
        <w:t xml:space="preserve"> odos reakcijų rizik</w:t>
      </w:r>
      <w:r w:rsidR="0062279D" w:rsidRPr="00B4100D">
        <w:rPr>
          <w:sz w:val="22"/>
          <w:szCs w:val="22"/>
        </w:rPr>
        <w:t>a</w:t>
      </w:r>
      <w:r w:rsidRPr="00B4100D">
        <w:rPr>
          <w:sz w:val="22"/>
          <w:szCs w:val="22"/>
        </w:rPr>
        <w:t xml:space="preserve">. </w:t>
      </w:r>
    </w:p>
    <w:p w14:paraId="2BEA26FB" w14:textId="77777777" w:rsidR="003A136E" w:rsidRPr="00B4100D" w:rsidRDefault="003A136E" w:rsidP="009A70DB">
      <w:pPr>
        <w:rPr>
          <w:sz w:val="22"/>
          <w:szCs w:val="22"/>
        </w:rPr>
      </w:pPr>
    </w:p>
    <w:p w14:paraId="2E8AF340" w14:textId="77777777" w:rsidR="00D310F9" w:rsidRPr="00B4100D" w:rsidRDefault="00D310F9" w:rsidP="00D310F9">
      <w:pPr>
        <w:keepNext/>
        <w:rPr>
          <w:sz w:val="22"/>
          <w:szCs w:val="22"/>
        </w:rPr>
      </w:pPr>
      <w:r w:rsidRPr="00B4100D">
        <w:rPr>
          <w:b/>
          <w:bCs/>
          <w:sz w:val="22"/>
          <w:szCs w:val="22"/>
          <w:u w:val="single"/>
        </w:rPr>
        <w:t>Kitoks būklės stebėjimas ilgalaikio gydymo atveju</w:t>
      </w:r>
    </w:p>
    <w:p w14:paraId="50E62E18" w14:textId="77777777" w:rsidR="009A70DB" w:rsidRPr="00B4100D" w:rsidRDefault="009A70DB" w:rsidP="009A70DB">
      <w:pPr>
        <w:rPr>
          <w:sz w:val="22"/>
          <w:szCs w:val="22"/>
        </w:rPr>
      </w:pPr>
      <w:r w:rsidRPr="00B4100D">
        <w:rPr>
          <w:sz w:val="22"/>
          <w:szCs w:val="22"/>
        </w:rPr>
        <w:t xml:space="preserve">Ilgai gydant </w:t>
      </w:r>
      <w:r w:rsidR="0062279D" w:rsidRPr="00B4100D">
        <w:rPr>
          <w:sz w:val="22"/>
          <w:szCs w:val="22"/>
        </w:rPr>
        <w:t xml:space="preserve">pacientams </w:t>
      </w:r>
      <w:r w:rsidRPr="00B4100D">
        <w:rPr>
          <w:sz w:val="22"/>
          <w:szCs w:val="22"/>
        </w:rPr>
        <w:t xml:space="preserve">reikia reguliariai </w:t>
      </w:r>
      <w:r w:rsidR="0062279D" w:rsidRPr="00B4100D">
        <w:rPr>
          <w:sz w:val="22"/>
          <w:szCs w:val="22"/>
        </w:rPr>
        <w:t>atlikti</w:t>
      </w:r>
      <w:r w:rsidRPr="00B4100D">
        <w:rPr>
          <w:sz w:val="22"/>
          <w:szCs w:val="22"/>
        </w:rPr>
        <w:t xml:space="preserve"> krauj</w:t>
      </w:r>
      <w:r w:rsidR="0062279D" w:rsidRPr="00B4100D">
        <w:rPr>
          <w:sz w:val="22"/>
          <w:szCs w:val="22"/>
        </w:rPr>
        <w:t>o tyrimą (pilną kraujo tyrimą)</w:t>
      </w:r>
      <w:r w:rsidRPr="00B4100D">
        <w:rPr>
          <w:sz w:val="22"/>
          <w:szCs w:val="22"/>
        </w:rPr>
        <w:t>, o nustačius pokyčių, nutraukti gydymą hidroksichlorokvinu (žr. 4.8 skyrių).</w:t>
      </w:r>
    </w:p>
    <w:p w14:paraId="2983306D" w14:textId="77777777" w:rsidR="009A70DB" w:rsidRPr="00B4100D" w:rsidRDefault="009A70DB" w:rsidP="009A70DB">
      <w:pPr>
        <w:rPr>
          <w:sz w:val="22"/>
          <w:szCs w:val="22"/>
        </w:rPr>
      </w:pPr>
    </w:p>
    <w:p w14:paraId="28E59A0B" w14:textId="77777777" w:rsidR="009A70DB" w:rsidRPr="00B4100D" w:rsidRDefault="009A70DB" w:rsidP="009A70DB">
      <w:pPr>
        <w:rPr>
          <w:sz w:val="22"/>
          <w:szCs w:val="22"/>
        </w:rPr>
      </w:pPr>
      <w:r w:rsidRPr="00B4100D">
        <w:rPr>
          <w:sz w:val="22"/>
          <w:szCs w:val="22"/>
        </w:rPr>
        <w:t>Reikia reguliariai tirti visų ilgai gydomų pacientų skeleto raumenų veiklą ir sausgyslių refleksus. Nustačius, kad jie susilpnėję, gydymą šiuo vaistiniu preparatu būtina nutraukti (žr. 4.8 skyrių).</w:t>
      </w:r>
    </w:p>
    <w:p w14:paraId="0B5366AD" w14:textId="77777777" w:rsidR="003A136E" w:rsidRPr="00B4100D" w:rsidRDefault="003A136E" w:rsidP="00507720">
      <w:pPr>
        <w:rPr>
          <w:sz w:val="22"/>
          <w:szCs w:val="22"/>
          <w:u w:val="single"/>
        </w:rPr>
      </w:pPr>
    </w:p>
    <w:p w14:paraId="1996A3B0" w14:textId="77777777" w:rsidR="008934D9" w:rsidRPr="00B4100D" w:rsidRDefault="008934D9" w:rsidP="00507720">
      <w:pPr>
        <w:rPr>
          <w:b/>
          <w:bCs/>
          <w:sz w:val="22"/>
          <w:szCs w:val="22"/>
          <w:u w:val="single"/>
        </w:rPr>
      </w:pPr>
      <w:r w:rsidRPr="00B4100D">
        <w:rPr>
          <w:b/>
          <w:bCs/>
          <w:sz w:val="22"/>
          <w:szCs w:val="22"/>
          <w:u w:val="single"/>
        </w:rPr>
        <w:t>Ototoksinis poveikis</w:t>
      </w:r>
    </w:p>
    <w:p w14:paraId="43124A30" w14:textId="77777777" w:rsidR="00DD43ED" w:rsidRPr="00B4100D" w:rsidRDefault="00D8756E" w:rsidP="00507720">
      <w:pPr>
        <w:rPr>
          <w:sz w:val="22"/>
          <w:szCs w:val="22"/>
        </w:rPr>
      </w:pPr>
      <w:r w:rsidRPr="00B4100D">
        <w:rPr>
          <w:sz w:val="22"/>
          <w:szCs w:val="22"/>
        </w:rPr>
        <w:t>Ototoksinis poveikis dėl hidroksichlorokvino vartojimo yra labai retas, tačiau gali būti negrįžtamas (žr. 4.8 skyrių). Paskirdami gydymą gydytojai turi informuoti visus pacientus apie galimą riziką ir apsvarstyti galimybę stebėti pacientus, kuriems anksčiau yra buvę ar kartu pasireiškia klausos ir vestibulinio aparato pažeidimo požymių.</w:t>
      </w:r>
    </w:p>
    <w:p w14:paraId="2FB4F692" w14:textId="77777777" w:rsidR="00681EB5" w:rsidRPr="00B4100D" w:rsidRDefault="00681EB5" w:rsidP="00681EB5">
      <w:pPr>
        <w:rPr>
          <w:sz w:val="22"/>
          <w:szCs w:val="22"/>
        </w:rPr>
      </w:pPr>
    </w:p>
    <w:p w14:paraId="4C63FE6E" w14:textId="77777777" w:rsidR="00DD43ED" w:rsidRPr="00B4100D" w:rsidRDefault="00DD43ED" w:rsidP="00DD43ED">
      <w:pPr>
        <w:pStyle w:val="Antrat3"/>
        <w:spacing w:before="0" w:after="0"/>
        <w:rPr>
          <w:rFonts w:ascii="Times New Roman" w:hAnsi="Times New Roman"/>
          <w:bCs w:val="0"/>
          <w:sz w:val="22"/>
          <w:szCs w:val="22"/>
          <w:u w:val="single"/>
        </w:rPr>
      </w:pPr>
      <w:r w:rsidRPr="00B4100D">
        <w:rPr>
          <w:rFonts w:ascii="Times New Roman" w:hAnsi="Times New Roman"/>
          <w:bCs w:val="0"/>
          <w:sz w:val="22"/>
          <w:szCs w:val="22"/>
          <w:u w:val="single"/>
        </w:rPr>
        <w:t>Maliarija</w:t>
      </w:r>
    </w:p>
    <w:p w14:paraId="33248F10" w14:textId="77777777" w:rsidR="00D8756E" w:rsidRPr="00B4100D" w:rsidRDefault="00DD43ED" w:rsidP="00DD43ED">
      <w:pPr>
        <w:pStyle w:val="Antrat3"/>
        <w:spacing w:before="0" w:after="0"/>
        <w:rPr>
          <w:rFonts w:ascii="Times New Roman" w:hAnsi="Times New Roman"/>
          <w:b w:val="0"/>
          <w:sz w:val="22"/>
          <w:szCs w:val="22"/>
        </w:rPr>
      </w:pPr>
      <w:r w:rsidRPr="00B4100D">
        <w:rPr>
          <w:rFonts w:ascii="Times New Roman" w:hAnsi="Times New Roman"/>
          <w:b w:val="0"/>
          <w:sz w:val="22"/>
          <w:szCs w:val="22"/>
        </w:rPr>
        <w:t xml:space="preserve">Hidroksichlorokvinas neveikia chlorokvinui atsparių </w:t>
      </w:r>
      <w:r w:rsidRPr="00B4100D">
        <w:rPr>
          <w:rFonts w:ascii="Times New Roman" w:hAnsi="Times New Roman"/>
          <w:b w:val="0"/>
          <w:i/>
          <w:sz w:val="22"/>
          <w:szCs w:val="22"/>
        </w:rPr>
        <w:t>P. falciparum</w:t>
      </w:r>
      <w:r w:rsidRPr="00B4100D">
        <w:rPr>
          <w:rFonts w:ascii="Times New Roman" w:hAnsi="Times New Roman"/>
          <w:b w:val="0"/>
          <w:sz w:val="22"/>
          <w:szCs w:val="22"/>
        </w:rPr>
        <w:t xml:space="preserve"> ir </w:t>
      </w:r>
      <w:r w:rsidRPr="00B4100D">
        <w:rPr>
          <w:rFonts w:ascii="Times New Roman" w:hAnsi="Times New Roman"/>
          <w:b w:val="0"/>
          <w:i/>
          <w:sz w:val="22"/>
          <w:szCs w:val="22"/>
        </w:rPr>
        <w:t xml:space="preserve">P. vivax, </w:t>
      </w:r>
      <w:r w:rsidRPr="00B4100D">
        <w:rPr>
          <w:rFonts w:ascii="Times New Roman" w:hAnsi="Times New Roman"/>
          <w:b w:val="0"/>
          <w:sz w:val="22"/>
          <w:szCs w:val="22"/>
        </w:rPr>
        <w:t xml:space="preserve">padermių, taip pat ne eritrocituose esančių </w:t>
      </w:r>
      <w:r w:rsidRPr="00B4100D">
        <w:rPr>
          <w:rFonts w:ascii="Times New Roman" w:hAnsi="Times New Roman"/>
          <w:b w:val="0"/>
          <w:i/>
          <w:sz w:val="22"/>
          <w:szCs w:val="22"/>
        </w:rPr>
        <w:t xml:space="preserve">P. vivax, P. ovale </w:t>
      </w:r>
      <w:r w:rsidRPr="00B4100D">
        <w:rPr>
          <w:rFonts w:ascii="Times New Roman" w:hAnsi="Times New Roman"/>
          <w:b w:val="0"/>
          <w:sz w:val="22"/>
          <w:szCs w:val="22"/>
        </w:rPr>
        <w:t xml:space="preserve">ir </w:t>
      </w:r>
      <w:r w:rsidRPr="00B4100D">
        <w:rPr>
          <w:rFonts w:ascii="Times New Roman" w:hAnsi="Times New Roman"/>
          <w:b w:val="0"/>
          <w:i/>
          <w:sz w:val="22"/>
          <w:szCs w:val="22"/>
        </w:rPr>
        <w:t>P. malariae</w:t>
      </w:r>
      <w:r w:rsidRPr="00B4100D">
        <w:rPr>
          <w:rFonts w:ascii="Times New Roman" w:hAnsi="Times New Roman"/>
          <w:b w:val="0"/>
          <w:sz w:val="22"/>
          <w:szCs w:val="22"/>
        </w:rPr>
        <w:t xml:space="preserve"> formų. </w:t>
      </w:r>
    </w:p>
    <w:p w14:paraId="1C912F22" w14:textId="77777777" w:rsidR="00FC699C" w:rsidRPr="00B4100D" w:rsidRDefault="00FC699C" w:rsidP="00DD43ED">
      <w:pPr>
        <w:pStyle w:val="Antrat3"/>
        <w:spacing w:before="0" w:after="0"/>
        <w:rPr>
          <w:rFonts w:ascii="Times New Roman" w:hAnsi="Times New Roman"/>
          <w:b w:val="0"/>
          <w:sz w:val="22"/>
          <w:szCs w:val="22"/>
        </w:rPr>
      </w:pPr>
    </w:p>
    <w:p w14:paraId="08C9E86C" w14:textId="77777777" w:rsidR="00D8756E" w:rsidRPr="00B4100D" w:rsidRDefault="00FC699C" w:rsidP="00DD43ED">
      <w:pPr>
        <w:pStyle w:val="Antrat3"/>
        <w:spacing w:before="0" w:after="0"/>
        <w:rPr>
          <w:rFonts w:ascii="Times New Roman" w:hAnsi="Times New Roman"/>
          <w:b w:val="0"/>
          <w:sz w:val="22"/>
          <w:szCs w:val="22"/>
        </w:rPr>
      </w:pPr>
      <w:r w:rsidRPr="00B4100D">
        <w:rPr>
          <w:rFonts w:ascii="Times New Roman" w:hAnsi="Times New Roman"/>
          <w:b w:val="0"/>
          <w:sz w:val="22"/>
          <w:szCs w:val="22"/>
        </w:rPr>
        <w:t>Reikėtų vengti ilgalaikio vartojimo maliarijos profilaktikai vaikams.</w:t>
      </w:r>
    </w:p>
    <w:p w14:paraId="44E62C22" w14:textId="77777777" w:rsidR="00DD43ED" w:rsidRDefault="00DD43ED" w:rsidP="004B01D1">
      <w:pPr>
        <w:rPr>
          <w:sz w:val="22"/>
          <w:szCs w:val="22"/>
          <w:u w:val="single"/>
        </w:rPr>
      </w:pPr>
    </w:p>
    <w:p w14:paraId="5264CF0A" w14:textId="559A6450" w:rsidR="00414D35" w:rsidRPr="00414D35" w:rsidRDefault="00414D35" w:rsidP="00414D35">
      <w:pPr>
        <w:rPr>
          <w:b/>
          <w:bCs/>
          <w:sz w:val="22"/>
          <w:szCs w:val="22"/>
          <w:u w:val="single"/>
        </w:rPr>
      </w:pPr>
      <w:r w:rsidRPr="00414D35">
        <w:rPr>
          <w:b/>
          <w:bCs/>
          <w:sz w:val="22"/>
          <w:szCs w:val="22"/>
          <w:u w:val="single"/>
        </w:rPr>
        <w:t>Hepatotoksinis poveikis</w:t>
      </w:r>
    </w:p>
    <w:p w14:paraId="00678F53" w14:textId="3830C939" w:rsidR="00414D35" w:rsidRPr="00EC50E8" w:rsidRDefault="00414D35" w:rsidP="00414D35">
      <w:pPr>
        <w:rPr>
          <w:sz w:val="22"/>
          <w:szCs w:val="22"/>
        </w:rPr>
      </w:pPr>
      <w:r w:rsidRPr="00EC50E8">
        <w:rPr>
          <w:sz w:val="22"/>
          <w:szCs w:val="22"/>
        </w:rPr>
        <w:t xml:space="preserve">Vartojant Hydroxychloroquine sulfate Accord buvo pranešta apie sunkius vaistinio preparato sukelto kepenų pažeidimo (angl. </w:t>
      </w:r>
      <w:r w:rsidRPr="00DF41AE">
        <w:rPr>
          <w:i/>
          <w:sz w:val="22"/>
        </w:rPr>
        <w:t>drug-induced liver injury</w:t>
      </w:r>
      <w:r w:rsidRPr="00EC50E8">
        <w:rPr>
          <w:i/>
          <w:iCs/>
        </w:rPr>
        <w:t>,</w:t>
      </w:r>
      <w:r w:rsidRPr="00EC50E8">
        <w:t xml:space="preserve"> </w:t>
      </w:r>
      <w:r w:rsidRPr="00EC50E8">
        <w:rPr>
          <w:sz w:val="22"/>
          <w:szCs w:val="22"/>
        </w:rPr>
        <w:t>DILI) atvejus, įskaitant kepenų ląstelių pažeidimą, cholestazinį kepenų pažeidimą, ūminį hepatitą, mišrų kepenų ląstelių ir cholestazinį kepenų pažeidimą ir žaibinį kepenų nepakankamumą (įskaitant mirtinus atvejus).</w:t>
      </w:r>
    </w:p>
    <w:p w14:paraId="1FF20AB7" w14:textId="77777777" w:rsidR="00414D35" w:rsidRPr="00EC50E8" w:rsidRDefault="00414D35" w:rsidP="00414D35">
      <w:pPr>
        <w:rPr>
          <w:sz w:val="22"/>
          <w:szCs w:val="22"/>
        </w:rPr>
      </w:pPr>
    </w:p>
    <w:p w14:paraId="2391E4BA" w14:textId="6950B54C" w:rsidR="00414D35" w:rsidRPr="00EC50E8" w:rsidRDefault="00414D35" w:rsidP="00414D35">
      <w:pPr>
        <w:rPr>
          <w:sz w:val="22"/>
          <w:szCs w:val="22"/>
        </w:rPr>
      </w:pPr>
      <w:r w:rsidRPr="00EC50E8">
        <w:rPr>
          <w:sz w:val="22"/>
          <w:szCs w:val="22"/>
        </w:rPr>
        <w:t>Rizikos veiksniai gali būti esama kepenų liga arba predisponuojančios sąlygos, pvz., uroporfirinogeno dekarboksilazės stoka arba kartu vartojami hepatotoksiniai vaistiniai preparatai.</w:t>
      </w:r>
    </w:p>
    <w:p w14:paraId="2F00780E" w14:textId="719A8C47" w:rsidR="00414D35" w:rsidRPr="00EC50E8" w:rsidRDefault="00414D35" w:rsidP="00414D35">
      <w:pPr>
        <w:rPr>
          <w:sz w:val="22"/>
          <w:szCs w:val="22"/>
        </w:rPr>
      </w:pPr>
      <w:r w:rsidRPr="00EC50E8">
        <w:rPr>
          <w:sz w:val="22"/>
          <w:szCs w:val="22"/>
        </w:rPr>
        <w:t>Pacientams, kurie praneša apie simptomus, kurie gali rodyti kepenų pažeidimą, reikia nedelsiant atlikti klinikinį įvertinimą ir atlikti kepenų funkcijos tyrimus. Pacientams, kuriems yra reikšmingų kepenų funkcijos sutrikimų (žr. 4.8 skyrių), gydytojai turi įvertinti gydymo tęsimo naudą ir riziką.</w:t>
      </w:r>
    </w:p>
    <w:p w14:paraId="400A8BAD" w14:textId="77777777" w:rsidR="00414D35" w:rsidRPr="00EC50E8" w:rsidRDefault="00414D35" w:rsidP="00414D35">
      <w:pPr>
        <w:rPr>
          <w:sz w:val="22"/>
          <w:szCs w:val="22"/>
        </w:rPr>
      </w:pPr>
    </w:p>
    <w:p w14:paraId="6F9D3679" w14:textId="77777777" w:rsidR="00414D35" w:rsidRPr="00414D35" w:rsidRDefault="00414D35" w:rsidP="00414D35">
      <w:pPr>
        <w:rPr>
          <w:b/>
          <w:bCs/>
          <w:sz w:val="22"/>
          <w:szCs w:val="22"/>
          <w:u w:val="single"/>
        </w:rPr>
      </w:pPr>
      <w:r w:rsidRPr="00414D35">
        <w:rPr>
          <w:b/>
          <w:bCs/>
          <w:sz w:val="22"/>
          <w:szCs w:val="22"/>
          <w:u w:val="single"/>
        </w:rPr>
        <w:t>Hepatito B reaktyvacija</w:t>
      </w:r>
    </w:p>
    <w:p w14:paraId="09FF3781" w14:textId="108644DD" w:rsidR="00414D35" w:rsidRPr="00EC50E8" w:rsidRDefault="00414D35" w:rsidP="00414D35">
      <w:pPr>
        <w:rPr>
          <w:sz w:val="22"/>
          <w:szCs w:val="22"/>
        </w:rPr>
      </w:pPr>
      <w:r w:rsidRPr="00EC50E8">
        <w:rPr>
          <w:sz w:val="22"/>
          <w:szCs w:val="22"/>
        </w:rPr>
        <w:t xml:space="preserve">Buvo pranešta apie hepatito B viruso </w:t>
      </w:r>
      <w:r w:rsidR="00EC50E8" w:rsidRPr="00EC50E8">
        <w:rPr>
          <w:sz w:val="22"/>
          <w:szCs w:val="22"/>
        </w:rPr>
        <w:t>reaktyvaciją</w:t>
      </w:r>
      <w:r w:rsidRPr="00EC50E8">
        <w:rPr>
          <w:sz w:val="22"/>
          <w:szCs w:val="22"/>
        </w:rPr>
        <w:t xml:space="preserve"> pacientams, gydytiems hidroksichlorokvinu kartu su kitais imunosupresantais.</w:t>
      </w:r>
    </w:p>
    <w:p w14:paraId="1C85320D" w14:textId="77777777" w:rsidR="00414D35" w:rsidRPr="00EC50E8" w:rsidRDefault="00414D35" w:rsidP="004B01D1">
      <w:pPr>
        <w:rPr>
          <w:b/>
          <w:bCs/>
          <w:sz w:val="22"/>
          <w:szCs w:val="22"/>
        </w:rPr>
      </w:pPr>
    </w:p>
    <w:p w14:paraId="4D37F755" w14:textId="5D1C2A07" w:rsidR="00FC699C" w:rsidRPr="00B4100D" w:rsidRDefault="00FC699C" w:rsidP="004B01D1">
      <w:pPr>
        <w:rPr>
          <w:b/>
          <w:bCs/>
          <w:sz w:val="22"/>
          <w:szCs w:val="22"/>
          <w:u w:val="single"/>
        </w:rPr>
      </w:pPr>
      <w:r w:rsidRPr="00B4100D">
        <w:rPr>
          <w:b/>
          <w:bCs/>
          <w:sz w:val="22"/>
          <w:szCs w:val="22"/>
          <w:u w:val="single"/>
        </w:rPr>
        <w:t>Vaik</w:t>
      </w:r>
      <w:r w:rsidR="00981A4B" w:rsidRPr="00B4100D">
        <w:rPr>
          <w:b/>
          <w:bCs/>
          <w:sz w:val="22"/>
          <w:szCs w:val="22"/>
          <w:u w:val="single"/>
        </w:rPr>
        <w:t xml:space="preserve">ų populiacija </w:t>
      </w:r>
    </w:p>
    <w:p w14:paraId="77184FB1" w14:textId="77777777" w:rsidR="008934D9" w:rsidRPr="00B4100D" w:rsidRDefault="008934D9" w:rsidP="008934D9">
      <w:pPr>
        <w:rPr>
          <w:sz w:val="22"/>
          <w:szCs w:val="22"/>
        </w:rPr>
      </w:pPr>
      <w:r w:rsidRPr="00B4100D">
        <w:rPr>
          <w:sz w:val="22"/>
          <w:szCs w:val="22"/>
        </w:rPr>
        <w:t>Maži vaikai yra ypač jautrūs toksiniam 4-aminokvinolinų poveikiui, todėl pacientus reikia įspėti, kad Hydroxychloroquine sulfate Accord laikytų vaikams nepasiekiamoje vietoje.</w:t>
      </w:r>
    </w:p>
    <w:p w14:paraId="7AB63501" w14:textId="77777777" w:rsidR="008934D9" w:rsidRPr="00B4100D" w:rsidRDefault="008934D9" w:rsidP="008934D9">
      <w:pPr>
        <w:rPr>
          <w:sz w:val="22"/>
          <w:szCs w:val="22"/>
        </w:rPr>
      </w:pPr>
    </w:p>
    <w:p w14:paraId="3B1C635F" w14:textId="358AC874" w:rsidR="008934D9" w:rsidRPr="00B4100D" w:rsidRDefault="003A15FF" w:rsidP="008934D9">
      <w:pPr>
        <w:tabs>
          <w:tab w:val="left" w:pos="540"/>
        </w:tabs>
        <w:rPr>
          <w:iCs/>
          <w:sz w:val="22"/>
          <w:szCs w:val="22"/>
        </w:rPr>
      </w:pPr>
      <w:r w:rsidRPr="00B4100D">
        <w:rPr>
          <w:iCs/>
          <w:sz w:val="22"/>
          <w:szCs w:val="22"/>
        </w:rPr>
        <w:t xml:space="preserve">Šio vaistinio preparato sudėtyje yra laktozės. </w:t>
      </w:r>
      <w:r w:rsidR="008934D9" w:rsidRPr="00B4100D">
        <w:rPr>
          <w:iCs/>
          <w:sz w:val="22"/>
          <w:szCs w:val="22"/>
        </w:rPr>
        <w:t xml:space="preserve">Šio vaistinio preparato negalima vartoti pacientams, kuriems nustatytas retas paveldimas sutrikimas – </w:t>
      </w:r>
      <w:r w:rsidRPr="00B4100D">
        <w:rPr>
          <w:iCs/>
          <w:sz w:val="22"/>
          <w:szCs w:val="22"/>
        </w:rPr>
        <w:t>galaktozės netoleravimas, visiškas</w:t>
      </w:r>
      <w:r w:rsidR="008934D9" w:rsidRPr="00B4100D">
        <w:rPr>
          <w:iCs/>
          <w:sz w:val="22"/>
          <w:szCs w:val="22"/>
        </w:rPr>
        <w:t xml:space="preserve"> laktazės stygius arba gliukozės ir galaktozės malabsorbcija.</w:t>
      </w:r>
    </w:p>
    <w:p w14:paraId="3F7B2AEC" w14:textId="71E86A1A" w:rsidR="00C56814" w:rsidRPr="00B4100D" w:rsidRDefault="00C56814" w:rsidP="00986560">
      <w:pPr>
        <w:tabs>
          <w:tab w:val="left" w:pos="540"/>
        </w:tabs>
        <w:rPr>
          <w:sz w:val="22"/>
          <w:szCs w:val="22"/>
        </w:rPr>
      </w:pPr>
    </w:p>
    <w:p w14:paraId="3262A0B7" w14:textId="77777777" w:rsidR="00986560" w:rsidRPr="00B4100D" w:rsidRDefault="00986560" w:rsidP="0056757C">
      <w:pPr>
        <w:pStyle w:val="PI-2EMEASMCA"/>
      </w:pPr>
      <w:bookmarkStart w:id="22" w:name="_Toc129243106"/>
      <w:bookmarkStart w:id="23" w:name="_Toc129243231"/>
      <w:r w:rsidRPr="00B4100D">
        <w:lastRenderedPageBreak/>
        <w:t>4.5</w:t>
      </w:r>
      <w:r w:rsidRPr="00B4100D">
        <w:tab/>
        <w:t>Sąveika su kitais vaistiniais preparatais ir kitokia sąveika</w:t>
      </w:r>
      <w:bookmarkEnd w:id="22"/>
      <w:bookmarkEnd w:id="23"/>
    </w:p>
    <w:p w14:paraId="0CBC67F9" w14:textId="77777777" w:rsidR="00986560" w:rsidRPr="00B4100D" w:rsidRDefault="00986560" w:rsidP="000874A7">
      <w:pPr>
        <w:pStyle w:val="BTEMEASMCA"/>
        <w:keepNext/>
      </w:pPr>
    </w:p>
    <w:p w14:paraId="32ED669E" w14:textId="77777777" w:rsidR="00585607" w:rsidRPr="00B4100D" w:rsidRDefault="00585607" w:rsidP="000874A7">
      <w:pPr>
        <w:keepNext/>
        <w:rPr>
          <w:sz w:val="22"/>
          <w:szCs w:val="22"/>
        </w:rPr>
      </w:pPr>
      <w:bookmarkStart w:id="24" w:name="OLE_LINK1"/>
      <w:bookmarkStart w:id="25" w:name="OLE_LINK2"/>
      <w:r w:rsidRPr="00B4100D">
        <w:rPr>
          <w:sz w:val="22"/>
          <w:szCs w:val="22"/>
        </w:rPr>
        <w:t>Yra požymių, kad 4-aminokvinolinai, tokie kaip hidroksichlorokvinas, yra farmakologiškai nesuderinami su monoaminooksidazės inhibitoriais.</w:t>
      </w:r>
    </w:p>
    <w:p w14:paraId="588686DA" w14:textId="77777777" w:rsidR="00585607" w:rsidRPr="00B4100D" w:rsidRDefault="00585607" w:rsidP="00986560">
      <w:pPr>
        <w:rPr>
          <w:sz w:val="22"/>
          <w:szCs w:val="22"/>
        </w:rPr>
      </w:pPr>
    </w:p>
    <w:p w14:paraId="3BF02FAA" w14:textId="77777777" w:rsidR="00986560" w:rsidRPr="00B4100D" w:rsidRDefault="00585607" w:rsidP="00986560">
      <w:pPr>
        <w:rPr>
          <w:sz w:val="22"/>
          <w:szCs w:val="22"/>
        </w:rPr>
      </w:pPr>
      <w:r w:rsidRPr="00B4100D">
        <w:rPr>
          <w:sz w:val="22"/>
          <w:szCs w:val="22"/>
        </w:rPr>
        <w:t>Pranešta, kad h</w:t>
      </w:r>
      <w:r w:rsidR="00986560" w:rsidRPr="00B4100D">
        <w:rPr>
          <w:sz w:val="22"/>
          <w:szCs w:val="22"/>
        </w:rPr>
        <w:t>idroksichlorokvin</w:t>
      </w:r>
      <w:r w:rsidRPr="00B4100D">
        <w:rPr>
          <w:sz w:val="22"/>
          <w:szCs w:val="22"/>
        </w:rPr>
        <w:t xml:space="preserve">o sulfatas </w:t>
      </w:r>
      <w:bookmarkEnd w:id="24"/>
      <w:bookmarkEnd w:id="25"/>
      <w:r w:rsidRPr="00B4100D">
        <w:rPr>
          <w:sz w:val="22"/>
          <w:szCs w:val="22"/>
        </w:rPr>
        <w:t xml:space="preserve">padidina digoksino kiekį plazmoje. Pacientams, </w:t>
      </w:r>
      <w:r w:rsidR="00986560" w:rsidRPr="00B4100D">
        <w:rPr>
          <w:sz w:val="22"/>
          <w:szCs w:val="22"/>
        </w:rPr>
        <w:t>vienu metu gyd</w:t>
      </w:r>
      <w:r w:rsidRPr="00B4100D">
        <w:rPr>
          <w:sz w:val="22"/>
          <w:szCs w:val="22"/>
        </w:rPr>
        <w:t>omiems</w:t>
      </w:r>
      <w:r w:rsidR="00986560" w:rsidRPr="00B4100D">
        <w:rPr>
          <w:sz w:val="22"/>
          <w:szCs w:val="22"/>
        </w:rPr>
        <w:t xml:space="preserve"> abiem šiais vaistiniais preparatais, reikia dažnai tirti digoksino koncentracijas serume.</w:t>
      </w:r>
    </w:p>
    <w:p w14:paraId="086157C4" w14:textId="77777777" w:rsidR="00585607" w:rsidRPr="00B4100D" w:rsidRDefault="00585607" w:rsidP="00986560">
      <w:pPr>
        <w:rPr>
          <w:sz w:val="22"/>
          <w:szCs w:val="22"/>
        </w:rPr>
      </w:pPr>
    </w:p>
    <w:p w14:paraId="21175AD2" w14:textId="77777777" w:rsidR="0056757C" w:rsidRDefault="0056757C" w:rsidP="0056757C">
      <w:pPr>
        <w:rPr>
          <w:sz w:val="22"/>
          <w:szCs w:val="22"/>
          <w:u w:val="single"/>
        </w:rPr>
      </w:pPr>
      <w:r w:rsidRPr="0056757C">
        <w:rPr>
          <w:sz w:val="22"/>
          <w:szCs w:val="22"/>
          <w:u w:val="single"/>
        </w:rPr>
        <w:t>Farmakodinaminė sąveika</w:t>
      </w:r>
    </w:p>
    <w:p w14:paraId="65E517B5" w14:textId="77777777" w:rsidR="0056757C" w:rsidRPr="0056757C" w:rsidRDefault="0056757C" w:rsidP="0056757C">
      <w:pPr>
        <w:rPr>
          <w:sz w:val="22"/>
          <w:szCs w:val="22"/>
          <w:u w:val="single"/>
        </w:rPr>
      </w:pPr>
    </w:p>
    <w:p w14:paraId="4750BC71" w14:textId="77777777" w:rsidR="00585607" w:rsidRPr="00B4100D" w:rsidRDefault="00585607" w:rsidP="00585607">
      <w:pPr>
        <w:rPr>
          <w:i/>
          <w:iCs/>
          <w:sz w:val="22"/>
          <w:szCs w:val="22"/>
        </w:rPr>
      </w:pPr>
      <w:r w:rsidRPr="00B4100D">
        <w:rPr>
          <w:i/>
          <w:iCs/>
          <w:sz w:val="22"/>
          <w:szCs w:val="22"/>
        </w:rPr>
        <w:t xml:space="preserve">Vaistiniai preparatai, pailginantys QT intervalą ir (arba) galintys sukelti širdies aritmiją </w:t>
      </w:r>
    </w:p>
    <w:p w14:paraId="7F5A0D8B" w14:textId="774CFA4F" w:rsidR="00585607" w:rsidRPr="00B4100D" w:rsidRDefault="00585607" w:rsidP="00585607">
      <w:pPr>
        <w:rPr>
          <w:sz w:val="22"/>
          <w:szCs w:val="22"/>
        </w:rPr>
      </w:pPr>
      <w:r w:rsidRPr="00B4100D">
        <w:rPr>
          <w:sz w:val="22"/>
          <w:szCs w:val="22"/>
        </w:rPr>
        <w:t>Hidroksichlorokvinas turi būti vartojamas atsargiai pacientams, vartojantiems vaistinius preparatus, galinčius pailginti QT intervalą, pvz., IA ir III klasės antiaritminius vaistinius preparatus, triciklius antidepresantus, antipsichozinius vaistinius preparatus, kai kuriuos vaistinius preparatus infekcijoms gydyti</w:t>
      </w:r>
      <w:r w:rsidR="0056757C">
        <w:rPr>
          <w:sz w:val="22"/>
          <w:szCs w:val="22"/>
        </w:rPr>
        <w:t xml:space="preserve"> (</w:t>
      </w:r>
      <w:r w:rsidR="0056757C" w:rsidRPr="00EA1CA2">
        <w:rPr>
          <w:sz w:val="22"/>
          <w:szCs w:val="22"/>
        </w:rPr>
        <w:t>antibakterini</w:t>
      </w:r>
      <w:r w:rsidR="0056757C">
        <w:rPr>
          <w:sz w:val="22"/>
          <w:szCs w:val="22"/>
        </w:rPr>
        <w:t>us</w:t>
      </w:r>
      <w:r w:rsidR="0056757C" w:rsidRPr="00EA1CA2">
        <w:rPr>
          <w:sz w:val="22"/>
          <w:szCs w:val="22"/>
        </w:rPr>
        <w:t xml:space="preserve"> vaistini</w:t>
      </w:r>
      <w:r w:rsidR="0056757C">
        <w:rPr>
          <w:sz w:val="22"/>
          <w:szCs w:val="22"/>
        </w:rPr>
        <w:t>us</w:t>
      </w:r>
      <w:r w:rsidR="0056757C" w:rsidRPr="00EA1CA2">
        <w:rPr>
          <w:sz w:val="22"/>
          <w:szCs w:val="22"/>
        </w:rPr>
        <w:t xml:space="preserve"> preparat</w:t>
      </w:r>
      <w:r w:rsidR="0056757C">
        <w:rPr>
          <w:sz w:val="22"/>
          <w:szCs w:val="22"/>
        </w:rPr>
        <w:t>us</w:t>
      </w:r>
      <w:r w:rsidR="0056757C" w:rsidRPr="00EA1CA2">
        <w:rPr>
          <w:sz w:val="22"/>
          <w:szCs w:val="22"/>
        </w:rPr>
        <w:t>, toki</w:t>
      </w:r>
      <w:r w:rsidR="0056757C">
        <w:rPr>
          <w:sz w:val="22"/>
          <w:szCs w:val="22"/>
        </w:rPr>
        <w:t>us</w:t>
      </w:r>
      <w:r w:rsidR="0056757C" w:rsidRPr="00EA1CA2">
        <w:rPr>
          <w:sz w:val="22"/>
          <w:szCs w:val="22"/>
        </w:rPr>
        <w:t xml:space="preserve"> kaip fluorochinolonai, pvz., moksifloksacinas, makrolidai, pvz., azitromicinas, antiretrovirusini</w:t>
      </w:r>
      <w:r w:rsidR="0056757C">
        <w:rPr>
          <w:sz w:val="22"/>
          <w:szCs w:val="22"/>
        </w:rPr>
        <w:t>us</w:t>
      </w:r>
      <w:r w:rsidR="0056757C" w:rsidRPr="00EA1CA2">
        <w:rPr>
          <w:sz w:val="22"/>
          <w:szCs w:val="22"/>
        </w:rPr>
        <w:t xml:space="preserve"> vaistini</w:t>
      </w:r>
      <w:r w:rsidR="0056757C">
        <w:rPr>
          <w:sz w:val="22"/>
          <w:szCs w:val="22"/>
        </w:rPr>
        <w:t>us</w:t>
      </w:r>
      <w:r w:rsidR="0056757C" w:rsidRPr="00EA1CA2">
        <w:rPr>
          <w:sz w:val="22"/>
          <w:szCs w:val="22"/>
        </w:rPr>
        <w:t xml:space="preserve"> preparat</w:t>
      </w:r>
      <w:r w:rsidR="0056757C">
        <w:rPr>
          <w:sz w:val="22"/>
          <w:szCs w:val="22"/>
        </w:rPr>
        <w:t>us</w:t>
      </w:r>
      <w:r w:rsidR="0056757C" w:rsidRPr="00EA1CA2">
        <w:rPr>
          <w:sz w:val="22"/>
          <w:szCs w:val="22"/>
        </w:rPr>
        <w:t>, pvz., sakvinaviras, priešgrybelini</w:t>
      </w:r>
      <w:r w:rsidR="0056757C">
        <w:rPr>
          <w:sz w:val="22"/>
          <w:szCs w:val="22"/>
        </w:rPr>
        <w:t xml:space="preserve">us </w:t>
      </w:r>
      <w:r w:rsidR="0056757C" w:rsidRPr="00EA1CA2">
        <w:rPr>
          <w:sz w:val="22"/>
          <w:szCs w:val="22"/>
        </w:rPr>
        <w:t>vaistini</w:t>
      </w:r>
      <w:r w:rsidR="0056757C">
        <w:rPr>
          <w:sz w:val="22"/>
          <w:szCs w:val="22"/>
        </w:rPr>
        <w:t xml:space="preserve">us </w:t>
      </w:r>
      <w:r w:rsidR="0056757C" w:rsidRPr="00EA1CA2">
        <w:rPr>
          <w:sz w:val="22"/>
          <w:szCs w:val="22"/>
        </w:rPr>
        <w:t>preparat</w:t>
      </w:r>
      <w:r w:rsidR="0056757C">
        <w:rPr>
          <w:sz w:val="22"/>
          <w:szCs w:val="22"/>
        </w:rPr>
        <w:t>us</w:t>
      </w:r>
      <w:r w:rsidR="0056757C" w:rsidRPr="00EA1CA2">
        <w:rPr>
          <w:sz w:val="22"/>
          <w:szCs w:val="22"/>
        </w:rPr>
        <w:t>, pvz., flukonazolas, antiparazitini</w:t>
      </w:r>
      <w:r w:rsidR="0056757C">
        <w:rPr>
          <w:sz w:val="22"/>
          <w:szCs w:val="22"/>
        </w:rPr>
        <w:t xml:space="preserve">us </w:t>
      </w:r>
      <w:r w:rsidR="0056757C" w:rsidRPr="00EA1CA2">
        <w:rPr>
          <w:sz w:val="22"/>
          <w:szCs w:val="22"/>
        </w:rPr>
        <w:t>vaistini</w:t>
      </w:r>
      <w:r w:rsidR="0056757C">
        <w:rPr>
          <w:sz w:val="22"/>
          <w:szCs w:val="22"/>
        </w:rPr>
        <w:t>us</w:t>
      </w:r>
      <w:r w:rsidR="0056757C" w:rsidRPr="00EA1CA2">
        <w:rPr>
          <w:sz w:val="22"/>
          <w:szCs w:val="22"/>
        </w:rPr>
        <w:t xml:space="preserve"> preparat</w:t>
      </w:r>
      <w:r w:rsidR="0056757C">
        <w:rPr>
          <w:sz w:val="22"/>
          <w:szCs w:val="22"/>
        </w:rPr>
        <w:t>us</w:t>
      </w:r>
      <w:r w:rsidR="0056757C" w:rsidRPr="00EA1CA2">
        <w:rPr>
          <w:sz w:val="22"/>
          <w:szCs w:val="22"/>
        </w:rPr>
        <w:t>, pvz., pentamidinas)</w:t>
      </w:r>
      <w:r w:rsidRPr="00B4100D">
        <w:rPr>
          <w:sz w:val="22"/>
          <w:szCs w:val="22"/>
        </w:rPr>
        <w:t>, nes padidėja skilvelinės aritmijos rizika (žr. 4.4</w:t>
      </w:r>
      <w:r w:rsidR="0056757C">
        <w:rPr>
          <w:sz w:val="22"/>
          <w:szCs w:val="22"/>
        </w:rPr>
        <w:t>, 4.8</w:t>
      </w:r>
      <w:r w:rsidRPr="00B4100D">
        <w:rPr>
          <w:sz w:val="22"/>
          <w:szCs w:val="22"/>
        </w:rPr>
        <w:t xml:space="preserve"> ir 4.9 skyrius). Halofantrino negalima vartoti kartu su hidroksichlorokvinu.</w:t>
      </w:r>
    </w:p>
    <w:p w14:paraId="3CC68D2D" w14:textId="77777777" w:rsidR="00585607" w:rsidRPr="00B4100D" w:rsidRDefault="00585607" w:rsidP="00986560">
      <w:pPr>
        <w:rPr>
          <w:sz w:val="22"/>
          <w:szCs w:val="22"/>
        </w:rPr>
      </w:pPr>
    </w:p>
    <w:p w14:paraId="2822BE9B" w14:textId="77777777" w:rsidR="00585607" w:rsidRPr="00B4100D" w:rsidRDefault="00585607" w:rsidP="00585607">
      <w:pPr>
        <w:rPr>
          <w:sz w:val="22"/>
          <w:szCs w:val="22"/>
        </w:rPr>
      </w:pPr>
      <w:r w:rsidRPr="00B4100D">
        <w:rPr>
          <w:sz w:val="22"/>
          <w:szCs w:val="22"/>
        </w:rPr>
        <w:t>Buvo pranešta apie ciklosporino koncentracijos plazmoje padidėjimą, ciklosporiną vartojant kartu su hidroksichlorokvinu.</w:t>
      </w:r>
    </w:p>
    <w:p w14:paraId="57F7102E" w14:textId="77777777" w:rsidR="00585607" w:rsidRPr="00B4100D" w:rsidRDefault="00585607" w:rsidP="00986560">
      <w:pPr>
        <w:rPr>
          <w:sz w:val="22"/>
          <w:szCs w:val="22"/>
        </w:rPr>
      </w:pPr>
    </w:p>
    <w:p w14:paraId="3C34A6AD" w14:textId="2C85955E" w:rsidR="00585607" w:rsidRPr="00B4100D" w:rsidRDefault="00585607" w:rsidP="00585607">
      <w:pPr>
        <w:rPr>
          <w:sz w:val="22"/>
          <w:szCs w:val="22"/>
        </w:rPr>
      </w:pPr>
      <w:r w:rsidRPr="00B4100D">
        <w:rPr>
          <w:sz w:val="22"/>
          <w:szCs w:val="22"/>
        </w:rPr>
        <w:t xml:space="preserve">Hidroksichlorokvinas gali padidinti jautrumą epilepsijos </w:t>
      </w:r>
      <w:r w:rsidR="004B47E7" w:rsidRPr="00B4100D">
        <w:rPr>
          <w:sz w:val="22"/>
          <w:szCs w:val="22"/>
        </w:rPr>
        <w:t>priepuoliams</w:t>
      </w:r>
      <w:r w:rsidRPr="00B4100D">
        <w:rPr>
          <w:sz w:val="22"/>
          <w:szCs w:val="22"/>
        </w:rPr>
        <w:t>. Hidroksichlorokviną vartojant kartu su kitais žinomais traukulių slenkstį mažinti galinčiais vaistiniais preparatais nuo maliarijos (pvz., meflokvinu), gali padidėti traukulių rizika</w:t>
      </w:r>
      <w:r w:rsidR="0056757C">
        <w:rPr>
          <w:sz w:val="22"/>
          <w:szCs w:val="22"/>
        </w:rPr>
        <w:t xml:space="preserve"> (žr. 4.8 skyrių)</w:t>
      </w:r>
      <w:r w:rsidRPr="00B4100D">
        <w:rPr>
          <w:sz w:val="22"/>
          <w:szCs w:val="22"/>
        </w:rPr>
        <w:t>.</w:t>
      </w:r>
    </w:p>
    <w:p w14:paraId="4AEB1F40" w14:textId="77777777" w:rsidR="00585607" w:rsidRPr="00B4100D" w:rsidRDefault="00585607" w:rsidP="00585607">
      <w:pPr>
        <w:rPr>
          <w:sz w:val="22"/>
          <w:szCs w:val="22"/>
        </w:rPr>
      </w:pPr>
    </w:p>
    <w:p w14:paraId="391AC360" w14:textId="77777777" w:rsidR="00585607" w:rsidRPr="00B4100D" w:rsidRDefault="004B47E7" w:rsidP="00585607">
      <w:pPr>
        <w:rPr>
          <w:sz w:val="22"/>
          <w:szCs w:val="22"/>
        </w:rPr>
      </w:pPr>
      <w:r w:rsidRPr="00B4100D">
        <w:rPr>
          <w:sz w:val="22"/>
          <w:szCs w:val="22"/>
        </w:rPr>
        <w:t>G</w:t>
      </w:r>
      <w:r w:rsidR="00585607" w:rsidRPr="00B4100D">
        <w:rPr>
          <w:sz w:val="22"/>
          <w:szCs w:val="22"/>
        </w:rPr>
        <w:t>ali sumažėti kartu su hidroksichlorokvinu vartojamų antiepilepsinių vaistinių preparatų veiksmingumas.</w:t>
      </w:r>
    </w:p>
    <w:p w14:paraId="52C60DA5" w14:textId="77777777" w:rsidR="00585607" w:rsidRDefault="00585607" w:rsidP="00986560">
      <w:pPr>
        <w:rPr>
          <w:sz w:val="22"/>
          <w:szCs w:val="22"/>
        </w:rPr>
      </w:pPr>
    </w:p>
    <w:p w14:paraId="008D7445" w14:textId="09F144D2" w:rsidR="0056757C" w:rsidRDefault="0056757C" w:rsidP="0056757C">
      <w:pPr>
        <w:rPr>
          <w:sz w:val="22"/>
          <w:szCs w:val="22"/>
        </w:rPr>
      </w:pPr>
      <w:r w:rsidRPr="00662D98">
        <w:rPr>
          <w:sz w:val="22"/>
          <w:szCs w:val="22"/>
        </w:rPr>
        <w:t>Jei įmanoma, reikėtų vengti vartoti kartu su vaistiniais preparatais, kurie gali sukelti okulotoksinį poveikį</w:t>
      </w:r>
      <w:r>
        <w:rPr>
          <w:sz w:val="22"/>
          <w:szCs w:val="22"/>
        </w:rPr>
        <w:t>,</w:t>
      </w:r>
      <w:r w:rsidRPr="00662D98">
        <w:rPr>
          <w:sz w:val="22"/>
          <w:szCs w:val="22"/>
        </w:rPr>
        <w:t xml:space="preserve"> dėl galimo </w:t>
      </w:r>
      <w:r>
        <w:rPr>
          <w:sz w:val="22"/>
          <w:szCs w:val="22"/>
        </w:rPr>
        <w:t>suminio</w:t>
      </w:r>
      <w:r w:rsidRPr="00662D98">
        <w:rPr>
          <w:sz w:val="22"/>
          <w:szCs w:val="22"/>
        </w:rPr>
        <w:t xml:space="preserve"> poveikio (</w:t>
      </w:r>
      <w:r>
        <w:rPr>
          <w:sz w:val="22"/>
          <w:szCs w:val="22"/>
        </w:rPr>
        <w:t xml:space="preserve">taip pat </w:t>
      </w:r>
      <w:r w:rsidRPr="00662D98">
        <w:rPr>
          <w:sz w:val="22"/>
          <w:szCs w:val="22"/>
        </w:rPr>
        <w:t xml:space="preserve">žr. </w:t>
      </w:r>
      <w:r>
        <w:rPr>
          <w:sz w:val="22"/>
          <w:szCs w:val="22"/>
        </w:rPr>
        <w:t xml:space="preserve">4.4 ir </w:t>
      </w:r>
      <w:r w:rsidRPr="00662D98">
        <w:rPr>
          <w:sz w:val="22"/>
          <w:szCs w:val="22"/>
        </w:rPr>
        <w:t>4.8 skyri</w:t>
      </w:r>
      <w:r>
        <w:rPr>
          <w:sz w:val="22"/>
          <w:szCs w:val="22"/>
        </w:rPr>
        <w:t>us</w:t>
      </w:r>
      <w:r w:rsidRPr="00662D98">
        <w:rPr>
          <w:sz w:val="22"/>
          <w:szCs w:val="22"/>
        </w:rPr>
        <w:t>).</w:t>
      </w:r>
    </w:p>
    <w:p w14:paraId="4DB23BE1" w14:textId="77777777" w:rsidR="0056757C" w:rsidRPr="00B4100D" w:rsidRDefault="0056757C" w:rsidP="0056757C">
      <w:pPr>
        <w:rPr>
          <w:sz w:val="22"/>
          <w:szCs w:val="22"/>
        </w:rPr>
      </w:pPr>
    </w:p>
    <w:p w14:paraId="49B00526" w14:textId="77777777" w:rsidR="0056757C" w:rsidRPr="00C92FCF" w:rsidRDefault="0056757C" w:rsidP="0056757C">
      <w:pPr>
        <w:rPr>
          <w:sz w:val="22"/>
        </w:rPr>
      </w:pPr>
      <w:r w:rsidRPr="00EA1CA2">
        <w:rPr>
          <w:sz w:val="22"/>
          <w:szCs w:val="22"/>
        </w:rPr>
        <w:t>Yra teorinė viduląstelinės alfa galaktozidazės aktyvumo slopinimo rizika hidroksichlorokvin</w:t>
      </w:r>
      <w:r>
        <w:rPr>
          <w:sz w:val="22"/>
          <w:szCs w:val="22"/>
        </w:rPr>
        <w:t>o</w:t>
      </w:r>
      <w:r w:rsidRPr="00EA1CA2">
        <w:rPr>
          <w:sz w:val="22"/>
          <w:szCs w:val="22"/>
        </w:rPr>
        <w:t xml:space="preserve"> vartojant kartu su agalzidaze.</w:t>
      </w:r>
    </w:p>
    <w:p w14:paraId="00C26304" w14:textId="77777777" w:rsidR="0056757C" w:rsidRDefault="0056757C" w:rsidP="0056757C">
      <w:pPr>
        <w:rPr>
          <w:sz w:val="22"/>
          <w:szCs w:val="22"/>
        </w:rPr>
      </w:pPr>
    </w:p>
    <w:p w14:paraId="3C5D4C9F" w14:textId="2FD2C090" w:rsidR="0056757C" w:rsidRDefault="0056757C" w:rsidP="0056757C">
      <w:pPr>
        <w:rPr>
          <w:sz w:val="22"/>
          <w:szCs w:val="22"/>
        </w:rPr>
      </w:pPr>
      <w:r>
        <w:rPr>
          <w:sz w:val="22"/>
          <w:szCs w:val="22"/>
        </w:rPr>
        <w:t>Vartojant h</w:t>
      </w:r>
      <w:r w:rsidRPr="00AB4F81">
        <w:rPr>
          <w:sz w:val="22"/>
          <w:szCs w:val="22"/>
        </w:rPr>
        <w:t>idroksichlorokvino sulfat</w:t>
      </w:r>
      <w:r>
        <w:rPr>
          <w:sz w:val="22"/>
          <w:szCs w:val="22"/>
        </w:rPr>
        <w:t>ą</w:t>
      </w:r>
      <w:r w:rsidRPr="00AB4F81">
        <w:rPr>
          <w:sz w:val="22"/>
          <w:szCs w:val="22"/>
        </w:rPr>
        <w:t xml:space="preserve"> taip pat gali </w:t>
      </w:r>
      <w:r>
        <w:rPr>
          <w:sz w:val="22"/>
          <w:szCs w:val="22"/>
        </w:rPr>
        <w:t>pasireikšti</w:t>
      </w:r>
      <w:r w:rsidRPr="00AB4F81">
        <w:rPr>
          <w:sz w:val="22"/>
          <w:szCs w:val="22"/>
        </w:rPr>
        <w:t xml:space="preserve"> </w:t>
      </w:r>
      <w:r>
        <w:rPr>
          <w:sz w:val="22"/>
          <w:szCs w:val="22"/>
        </w:rPr>
        <w:t xml:space="preserve">kelių rūšių </w:t>
      </w:r>
      <w:r w:rsidRPr="00AB4F81">
        <w:rPr>
          <w:sz w:val="22"/>
          <w:szCs w:val="22"/>
        </w:rPr>
        <w:t>žinom</w:t>
      </w:r>
      <w:r>
        <w:rPr>
          <w:sz w:val="22"/>
          <w:szCs w:val="22"/>
        </w:rPr>
        <w:t>a</w:t>
      </w:r>
      <w:r w:rsidRPr="00AB4F81">
        <w:rPr>
          <w:sz w:val="22"/>
          <w:szCs w:val="22"/>
        </w:rPr>
        <w:t xml:space="preserve"> sąveik</w:t>
      </w:r>
      <w:r>
        <w:rPr>
          <w:sz w:val="22"/>
          <w:szCs w:val="22"/>
        </w:rPr>
        <w:t>a</w:t>
      </w:r>
      <w:r w:rsidRPr="00AB4F81">
        <w:rPr>
          <w:sz w:val="22"/>
          <w:szCs w:val="22"/>
        </w:rPr>
        <w:t xml:space="preserve">, </w:t>
      </w:r>
      <w:r>
        <w:rPr>
          <w:sz w:val="22"/>
          <w:szCs w:val="22"/>
        </w:rPr>
        <w:t>būdinga</w:t>
      </w:r>
      <w:r w:rsidRPr="00AB4F81">
        <w:rPr>
          <w:sz w:val="22"/>
          <w:szCs w:val="22"/>
        </w:rPr>
        <w:t xml:space="preserve"> chlorokvin</w:t>
      </w:r>
      <w:r>
        <w:rPr>
          <w:sz w:val="22"/>
          <w:szCs w:val="22"/>
        </w:rPr>
        <w:t xml:space="preserve">ui, </w:t>
      </w:r>
      <w:r w:rsidRPr="00AB4F81">
        <w:rPr>
          <w:sz w:val="22"/>
          <w:szCs w:val="22"/>
        </w:rPr>
        <w:t xml:space="preserve">net jei konkrečių pranešimų </w:t>
      </w:r>
      <w:r>
        <w:rPr>
          <w:sz w:val="22"/>
          <w:szCs w:val="22"/>
        </w:rPr>
        <w:t>negauta</w:t>
      </w:r>
      <w:r w:rsidRPr="00AB4F81">
        <w:rPr>
          <w:sz w:val="22"/>
          <w:szCs w:val="22"/>
        </w:rPr>
        <w:t xml:space="preserve">. Tai </w:t>
      </w:r>
      <w:r>
        <w:rPr>
          <w:sz w:val="22"/>
          <w:szCs w:val="22"/>
        </w:rPr>
        <w:t>gali būti</w:t>
      </w:r>
      <w:r w:rsidRPr="00AB4F81">
        <w:rPr>
          <w:sz w:val="22"/>
          <w:szCs w:val="22"/>
        </w:rPr>
        <w:t>: neostigmino ir piridostigmino poveikio antagonizmas; antikūnų atsak</w:t>
      </w:r>
      <w:r>
        <w:rPr>
          <w:sz w:val="22"/>
          <w:szCs w:val="22"/>
        </w:rPr>
        <w:t>o</w:t>
      </w:r>
      <w:r w:rsidRPr="00AB4F81">
        <w:rPr>
          <w:sz w:val="22"/>
          <w:szCs w:val="22"/>
        </w:rPr>
        <w:t xml:space="preserve"> į pirminę imunizaciją intradermine žmogaus diploidinių ląstelių pasiutligės vakcina</w:t>
      </w:r>
      <w:r>
        <w:rPr>
          <w:sz w:val="22"/>
          <w:szCs w:val="22"/>
        </w:rPr>
        <w:t xml:space="preserve"> sumažėjimas;</w:t>
      </w:r>
      <w:r w:rsidR="00495E31" w:rsidRPr="00495E31">
        <w:t xml:space="preserve"> </w:t>
      </w:r>
      <w:r w:rsidR="00495E31">
        <w:rPr>
          <w:sz w:val="22"/>
          <w:szCs w:val="22"/>
        </w:rPr>
        <w:t>t</w:t>
      </w:r>
      <w:r w:rsidR="00495E31" w:rsidRPr="00495E31">
        <w:rPr>
          <w:sz w:val="22"/>
          <w:szCs w:val="22"/>
        </w:rPr>
        <w:t>iek chloro</w:t>
      </w:r>
      <w:r w:rsidR="00495E31">
        <w:rPr>
          <w:sz w:val="22"/>
          <w:szCs w:val="22"/>
        </w:rPr>
        <w:t>kv</w:t>
      </w:r>
      <w:r w:rsidR="00495E31" w:rsidRPr="00495E31">
        <w:rPr>
          <w:sz w:val="22"/>
          <w:szCs w:val="22"/>
        </w:rPr>
        <w:t>ino dariniai, tiek aminoglikozid</w:t>
      </w:r>
      <w:r w:rsidR="00495E31">
        <w:rPr>
          <w:sz w:val="22"/>
          <w:szCs w:val="22"/>
        </w:rPr>
        <w:t>iniai</w:t>
      </w:r>
      <w:r w:rsidR="00495E31" w:rsidRPr="00495E31">
        <w:rPr>
          <w:sz w:val="22"/>
          <w:szCs w:val="22"/>
        </w:rPr>
        <w:t xml:space="preserve"> antibiotikai gali turėti poveikį nerv</w:t>
      </w:r>
      <w:r w:rsidR="00495E31">
        <w:rPr>
          <w:sz w:val="22"/>
          <w:szCs w:val="22"/>
        </w:rPr>
        <w:t>o</w:t>
      </w:r>
      <w:r w:rsidR="00495E31" w:rsidRPr="00495E31">
        <w:rPr>
          <w:sz w:val="22"/>
          <w:szCs w:val="22"/>
        </w:rPr>
        <w:t xml:space="preserve"> ir raumen</w:t>
      </w:r>
      <w:r w:rsidR="00495E31">
        <w:rPr>
          <w:sz w:val="22"/>
          <w:szCs w:val="22"/>
        </w:rPr>
        <w:t>s</w:t>
      </w:r>
      <w:r w:rsidR="00495E31" w:rsidRPr="00495E31">
        <w:rPr>
          <w:sz w:val="22"/>
          <w:szCs w:val="22"/>
        </w:rPr>
        <w:t xml:space="preserve"> jungčiai; negalima atmesti galimo </w:t>
      </w:r>
      <w:r w:rsidR="00495E31">
        <w:rPr>
          <w:sz w:val="22"/>
          <w:szCs w:val="22"/>
        </w:rPr>
        <w:t>sumini</w:t>
      </w:r>
      <w:r w:rsidR="00495E31" w:rsidRPr="00495E31">
        <w:rPr>
          <w:sz w:val="22"/>
          <w:szCs w:val="22"/>
        </w:rPr>
        <w:t>o poveikio.</w:t>
      </w:r>
    </w:p>
    <w:p w14:paraId="62514421" w14:textId="77777777" w:rsidR="0056757C" w:rsidRDefault="0056757C" w:rsidP="0056757C">
      <w:pPr>
        <w:rPr>
          <w:sz w:val="22"/>
          <w:szCs w:val="22"/>
        </w:rPr>
      </w:pPr>
    </w:p>
    <w:p w14:paraId="62AF9F85" w14:textId="77777777" w:rsidR="0056757C" w:rsidRPr="003C1C5E" w:rsidRDefault="0056757C" w:rsidP="0056757C">
      <w:pPr>
        <w:pStyle w:val="BTEMEASMCA"/>
        <w:rPr>
          <w:u w:val="single"/>
        </w:rPr>
      </w:pPr>
      <w:r w:rsidRPr="003C1C5E">
        <w:rPr>
          <w:u w:val="single"/>
        </w:rPr>
        <w:t>Farmakokinetinė sąveika</w:t>
      </w:r>
    </w:p>
    <w:p w14:paraId="0687A2FD" w14:textId="77777777" w:rsidR="0056757C" w:rsidRPr="003C1C5E" w:rsidRDefault="0056757C" w:rsidP="0056757C">
      <w:pPr>
        <w:pStyle w:val="BTEMEASMCA"/>
      </w:pPr>
    </w:p>
    <w:p w14:paraId="1C846614" w14:textId="77777777" w:rsidR="0056757C" w:rsidRPr="003C1C5E" w:rsidRDefault="0056757C" w:rsidP="0056757C">
      <w:pPr>
        <w:pStyle w:val="BTEMEASMCA"/>
        <w:rPr>
          <w:u w:val="single"/>
        </w:rPr>
      </w:pPr>
      <w:r w:rsidRPr="003C1C5E">
        <w:rPr>
          <w:u w:val="single"/>
        </w:rPr>
        <w:t>Kitų vaistinių preparatų poveikis hidroksichlorokvinui</w:t>
      </w:r>
    </w:p>
    <w:p w14:paraId="1E4CE083" w14:textId="77777777" w:rsidR="0056757C" w:rsidRPr="00EA1CA2" w:rsidRDefault="0056757C" w:rsidP="0056757C">
      <w:pPr>
        <w:pStyle w:val="BTEMEASMCA"/>
        <w:rPr>
          <w:i/>
          <w:iCs/>
        </w:rPr>
      </w:pPr>
    </w:p>
    <w:p w14:paraId="064DD3DD" w14:textId="77777777" w:rsidR="0056757C" w:rsidRPr="00AF1E60" w:rsidRDefault="0056757C" w:rsidP="0056757C">
      <w:pPr>
        <w:rPr>
          <w:sz w:val="22"/>
        </w:rPr>
      </w:pPr>
      <w:r w:rsidRPr="003C1C5E">
        <w:rPr>
          <w:sz w:val="22"/>
          <w:szCs w:val="22"/>
        </w:rPr>
        <w:t>Antacidiniai vaistiniai preparatai ir kaolinas</w:t>
      </w:r>
    </w:p>
    <w:p w14:paraId="72C589B1" w14:textId="62AFDD88" w:rsidR="0056757C" w:rsidRPr="00C92FCF" w:rsidRDefault="0056757C" w:rsidP="0056757C">
      <w:pPr>
        <w:rPr>
          <w:sz w:val="22"/>
        </w:rPr>
      </w:pPr>
      <w:r w:rsidRPr="00EA1CA2">
        <w:rPr>
          <w:sz w:val="22"/>
          <w:szCs w:val="22"/>
        </w:rPr>
        <w:t xml:space="preserve">Kartu vartojant </w:t>
      </w:r>
      <w:r>
        <w:rPr>
          <w:sz w:val="22"/>
          <w:szCs w:val="22"/>
        </w:rPr>
        <w:t>a</w:t>
      </w:r>
      <w:r w:rsidRPr="00AF1E60">
        <w:rPr>
          <w:sz w:val="22"/>
          <w:szCs w:val="22"/>
        </w:rPr>
        <w:t>ntacidini</w:t>
      </w:r>
      <w:r>
        <w:rPr>
          <w:sz w:val="22"/>
          <w:szCs w:val="22"/>
        </w:rPr>
        <w:t>ų</w:t>
      </w:r>
      <w:r w:rsidRPr="00AF1E60">
        <w:rPr>
          <w:sz w:val="22"/>
          <w:szCs w:val="22"/>
        </w:rPr>
        <w:t xml:space="preserve"> </w:t>
      </w:r>
      <w:r w:rsidRPr="00EA1CA2">
        <w:rPr>
          <w:sz w:val="22"/>
          <w:szCs w:val="22"/>
        </w:rPr>
        <w:t>vaistinių preparatų, kurių sudėtyje yra magnio</w:t>
      </w:r>
      <w:r w:rsidR="00495E31">
        <w:rPr>
          <w:sz w:val="22"/>
          <w:szCs w:val="22"/>
        </w:rPr>
        <w:t>,</w:t>
      </w:r>
      <w:r w:rsidRPr="00EA1CA2">
        <w:rPr>
          <w:sz w:val="22"/>
          <w:szCs w:val="22"/>
        </w:rPr>
        <w:t xml:space="preserve"> ar kaolino, gali sumažėti chlorokvino </w:t>
      </w:r>
      <w:r>
        <w:rPr>
          <w:sz w:val="22"/>
          <w:szCs w:val="22"/>
        </w:rPr>
        <w:t>absorbcija</w:t>
      </w:r>
      <w:r w:rsidRPr="00EA1CA2">
        <w:rPr>
          <w:sz w:val="22"/>
          <w:szCs w:val="22"/>
        </w:rPr>
        <w:t xml:space="preserve">. </w:t>
      </w:r>
      <w:r w:rsidR="00B40F58" w:rsidRPr="00B40F58">
        <w:rPr>
          <w:sz w:val="22"/>
          <w:szCs w:val="22"/>
        </w:rPr>
        <w:t>Ekstrapoliuojant duomenis</w:t>
      </w:r>
      <w:r w:rsidRPr="00EA1CA2">
        <w:rPr>
          <w:sz w:val="22"/>
          <w:szCs w:val="22"/>
        </w:rPr>
        <w:t>, tarp hidrochlorokvino ir antacidinių vaistinių preparatų ar kaolino vartojimo turi būti ne trumpesnė kaip dviejų valandų pertrauka.</w:t>
      </w:r>
    </w:p>
    <w:p w14:paraId="1F404549" w14:textId="77777777" w:rsidR="0056757C" w:rsidRPr="00EA1CA2" w:rsidRDefault="0056757C" w:rsidP="0056757C">
      <w:pPr>
        <w:rPr>
          <w:sz w:val="22"/>
          <w:szCs w:val="22"/>
        </w:rPr>
      </w:pPr>
    </w:p>
    <w:p w14:paraId="7FAED044" w14:textId="77777777" w:rsidR="0056757C" w:rsidRPr="00AF1E60" w:rsidRDefault="0056757C" w:rsidP="0056757C">
      <w:pPr>
        <w:rPr>
          <w:sz w:val="22"/>
        </w:rPr>
      </w:pPr>
      <w:r w:rsidRPr="003C1C5E">
        <w:rPr>
          <w:sz w:val="22"/>
          <w:szCs w:val="22"/>
        </w:rPr>
        <w:t>CYP inhibitoriai ar induktoriai</w:t>
      </w:r>
    </w:p>
    <w:p w14:paraId="7078BD3B" w14:textId="77777777" w:rsidR="0056757C" w:rsidRPr="00C92FCF" w:rsidRDefault="0056757C" w:rsidP="0056757C">
      <w:pPr>
        <w:rPr>
          <w:sz w:val="22"/>
        </w:rPr>
      </w:pPr>
      <w:r w:rsidRPr="003C1C5E">
        <w:rPr>
          <w:i/>
          <w:iCs/>
          <w:sz w:val="22"/>
          <w:szCs w:val="22"/>
        </w:rPr>
        <w:t>In vitro</w:t>
      </w:r>
      <w:r w:rsidRPr="00015E5A">
        <w:rPr>
          <w:sz w:val="22"/>
          <w:szCs w:val="22"/>
        </w:rPr>
        <w:t xml:space="preserve"> hidroksichlorokviną daugiausia metabolizuoja CYP2C8, CYP3A4 ir CYP2D6, </w:t>
      </w:r>
      <w:r>
        <w:rPr>
          <w:sz w:val="22"/>
          <w:szCs w:val="22"/>
        </w:rPr>
        <w:t>nė vienas</w:t>
      </w:r>
      <w:r w:rsidRPr="00962EED">
        <w:rPr>
          <w:sz w:val="22"/>
          <w:szCs w:val="22"/>
        </w:rPr>
        <w:t xml:space="preserve"> </w:t>
      </w:r>
      <w:r>
        <w:rPr>
          <w:sz w:val="22"/>
          <w:szCs w:val="22"/>
        </w:rPr>
        <w:t xml:space="preserve">konkretus </w:t>
      </w:r>
      <w:r w:rsidRPr="00962EED">
        <w:rPr>
          <w:sz w:val="22"/>
          <w:szCs w:val="22"/>
        </w:rPr>
        <w:t>CYP</w:t>
      </w:r>
      <w:r>
        <w:rPr>
          <w:sz w:val="22"/>
          <w:szCs w:val="22"/>
        </w:rPr>
        <w:t xml:space="preserve"> nedominuoja. </w:t>
      </w:r>
      <w:r w:rsidRPr="00015E5A">
        <w:rPr>
          <w:sz w:val="22"/>
          <w:szCs w:val="22"/>
        </w:rPr>
        <w:t>.</w:t>
      </w:r>
      <w:r>
        <w:rPr>
          <w:sz w:val="22"/>
          <w:szCs w:val="22"/>
        </w:rPr>
        <w:t>Kartu vartojant</w:t>
      </w:r>
      <w:r w:rsidRPr="00962EED">
        <w:rPr>
          <w:sz w:val="22"/>
          <w:szCs w:val="22"/>
        </w:rPr>
        <w:t xml:space="preserve"> cimetidin</w:t>
      </w:r>
      <w:r>
        <w:rPr>
          <w:sz w:val="22"/>
          <w:szCs w:val="22"/>
        </w:rPr>
        <w:t>o (visų</w:t>
      </w:r>
      <w:r w:rsidRPr="00AF1E60">
        <w:rPr>
          <w:i/>
          <w:iCs/>
          <w:sz w:val="22"/>
          <w:szCs w:val="22"/>
        </w:rPr>
        <w:t xml:space="preserve"> </w:t>
      </w:r>
      <w:r w:rsidRPr="00962EED">
        <w:rPr>
          <w:sz w:val="22"/>
          <w:szCs w:val="22"/>
        </w:rPr>
        <w:t>CYP</w:t>
      </w:r>
      <w:r w:rsidRPr="00045E0B">
        <w:rPr>
          <w:sz w:val="22"/>
          <w:szCs w:val="22"/>
        </w:rPr>
        <w:t xml:space="preserve"> </w:t>
      </w:r>
      <w:r w:rsidRPr="00962EED">
        <w:rPr>
          <w:sz w:val="22"/>
          <w:szCs w:val="22"/>
        </w:rPr>
        <w:t>inhibitor</w:t>
      </w:r>
      <w:r>
        <w:rPr>
          <w:sz w:val="22"/>
          <w:szCs w:val="22"/>
        </w:rPr>
        <w:t>iaus)</w:t>
      </w:r>
      <w:r w:rsidRPr="00962EED">
        <w:rPr>
          <w:sz w:val="22"/>
          <w:szCs w:val="22"/>
        </w:rPr>
        <w:t xml:space="preserve">, </w:t>
      </w:r>
      <w:r>
        <w:rPr>
          <w:sz w:val="22"/>
          <w:szCs w:val="22"/>
        </w:rPr>
        <w:t xml:space="preserve">chlorokvino ekspozicija padidėjo 2 kartus. </w:t>
      </w:r>
      <w:r w:rsidRPr="00015E5A">
        <w:rPr>
          <w:sz w:val="22"/>
          <w:szCs w:val="22"/>
        </w:rPr>
        <w:t xml:space="preserve">Vaistinių preparatų sąveikos tyrimų </w:t>
      </w:r>
      <w:r w:rsidRPr="003C1C5E">
        <w:rPr>
          <w:i/>
          <w:iCs/>
          <w:sz w:val="22"/>
          <w:szCs w:val="22"/>
        </w:rPr>
        <w:t>in vivo</w:t>
      </w:r>
      <w:r w:rsidRPr="00015E5A">
        <w:rPr>
          <w:sz w:val="22"/>
          <w:szCs w:val="22"/>
        </w:rPr>
        <w:t xml:space="preserve"> neatlikta, todėl kai kartu vartojama cimetidino ar stiprių CYP2C8 ir (arba) CYP3A4 ar CYP2D6 inhibitorių (tokių kaip gemfibrozilis, klopidogrelis, ritonaviras, itrakonazolas, klaritromicinas, greipfrutų sultys, fluoksetinas, </w:t>
      </w:r>
      <w:r w:rsidRPr="00015E5A">
        <w:rPr>
          <w:sz w:val="22"/>
          <w:szCs w:val="22"/>
        </w:rPr>
        <w:lastRenderedPageBreak/>
        <w:t>paroksetinas, kvinidinas), rekomenduojama imtis atsargumo priemonių (pvz., stebėti, ar neatsiranda nepageidaujamų reakcijų).</w:t>
      </w:r>
    </w:p>
    <w:p w14:paraId="63007C70" w14:textId="77777777" w:rsidR="0056757C" w:rsidRDefault="0056757C" w:rsidP="0056757C">
      <w:pPr>
        <w:rPr>
          <w:sz w:val="22"/>
          <w:szCs w:val="22"/>
        </w:rPr>
      </w:pPr>
    </w:p>
    <w:p w14:paraId="24B2C635" w14:textId="77777777" w:rsidR="0056757C" w:rsidRDefault="0056757C" w:rsidP="0056757C">
      <w:pPr>
        <w:rPr>
          <w:sz w:val="22"/>
          <w:szCs w:val="22"/>
        </w:rPr>
      </w:pPr>
      <w:r w:rsidRPr="00045E0B">
        <w:rPr>
          <w:sz w:val="22"/>
          <w:szCs w:val="22"/>
        </w:rPr>
        <w:t>Buvo pranešta apie hidroksichlorokvino neveiksmingumą, kai kartu buvo vartojamas rifampicinas</w:t>
      </w:r>
      <w:r>
        <w:rPr>
          <w:sz w:val="22"/>
          <w:szCs w:val="22"/>
        </w:rPr>
        <w:t xml:space="preserve"> (</w:t>
      </w:r>
      <w:r w:rsidRPr="00045E0B">
        <w:rPr>
          <w:sz w:val="22"/>
          <w:szCs w:val="22"/>
        </w:rPr>
        <w:t>stiprus CYP2C8 ir CYP3A4 induktorius</w:t>
      </w:r>
      <w:r>
        <w:rPr>
          <w:sz w:val="22"/>
          <w:szCs w:val="22"/>
        </w:rPr>
        <w:t>)</w:t>
      </w:r>
      <w:r w:rsidRPr="00045E0B">
        <w:rPr>
          <w:sz w:val="22"/>
          <w:szCs w:val="22"/>
        </w:rPr>
        <w:t>. Patartina būti atsargiems (pvz., stebėti veiksmingumą), kai kartu vartojami stiprūs CYP2C8 ir</w:t>
      </w:r>
      <w:r>
        <w:rPr>
          <w:sz w:val="22"/>
          <w:szCs w:val="22"/>
        </w:rPr>
        <w:t xml:space="preserve"> (arba)</w:t>
      </w:r>
      <w:r w:rsidRPr="00045E0B">
        <w:rPr>
          <w:sz w:val="22"/>
          <w:szCs w:val="22"/>
        </w:rPr>
        <w:t xml:space="preserve"> CYP3A4 induktoriai (pvz., rifampicinas, jonažolė, karbamazepinas, fenobarbitalis, fenitoinas).</w:t>
      </w:r>
    </w:p>
    <w:p w14:paraId="796A99D8" w14:textId="77777777" w:rsidR="0056757C" w:rsidRDefault="0056757C" w:rsidP="0056757C">
      <w:pPr>
        <w:rPr>
          <w:sz w:val="22"/>
          <w:szCs w:val="22"/>
        </w:rPr>
      </w:pPr>
    </w:p>
    <w:p w14:paraId="129FC13D" w14:textId="0776267E" w:rsidR="00FD66E5" w:rsidRDefault="00FD66E5" w:rsidP="00FD66E5">
      <w:pPr>
        <w:pStyle w:val="BTEMEASMCA"/>
      </w:pPr>
      <w:r w:rsidRPr="003D6F9D">
        <w:rPr>
          <w:i/>
          <w:iCs/>
        </w:rPr>
        <w:t>In vitro</w:t>
      </w:r>
      <w:r>
        <w:t xml:space="preserve"> galimo CYP1A2, CYP2B6, CYP2C8, CYP2C9 ir CYP2C9 slopinančio</w:t>
      </w:r>
      <w:r w:rsidRPr="00C93AB3">
        <w:t xml:space="preserve"> </w:t>
      </w:r>
      <w:r>
        <w:t>h</w:t>
      </w:r>
      <w:r w:rsidRPr="00F22A80">
        <w:t>idroksichlorokvin</w:t>
      </w:r>
      <w:r>
        <w:t xml:space="preserve">o poveikio nenustatyta. </w:t>
      </w:r>
      <w:r w:rsidRPr="00F22A80">
        <w:t>Hidroksichlorokvin</w:t>
      </w:r>
      <w:r>
        <w:t xml:space="preserve">as </w:t>
      </w:r>
      <w:r w:rsidRPr="003D6F9D">
        <w:rPr>
          <w:i/>
          <w:iCs/>
        </w:rPr>
        <w:t>in vitro</w:t>
      </w:r>
      <w:r>
        <w:t xml:space="preserve"> slopina CYP2D6 ir CYP3A4. Sąveikos tyrimas parodė, kad</w:t>
      </w:r>
      <w:r w:rsidRPr="00F22A80">
        <w:t xml:space="preserve"> </w:t>
      </w:r>
      <w:r>
        <w:t>h</w:t>
      </w:r>
      <w:r w:rsidRPr="00F22A80">
        <w:t>idroksichlorokvin</w:t>
      </w:r>
      <w:r>
        <w:t>as yra silpnas CYP2D6 inhibitorius.</w:t>
      </w:r>
    </w:p>
    <w:p w14:paraId="15C4F503" w14:textId="77777777" w:rsidR="00FD66E5" w:rsidRDefault="00FD66E5" w:rsidP="00FD66E5">
      <w:pPr>
        <w:pStyle w:val="BTEMEASMCA"/>
      </w:pPr>
      <w:r w:rsidRPr="003D6F9D">
        <w:rPr>
          <w:i/>
          <w:iCs/>
        </w:rPr>
        <w:t>In vitro</w:t>
      </w:r>
      <w:r>
        <w:t xml:space="preserve"> reikšmingo galimo CYP1A2, CYP2B6 ir CYP3A4 sužadinančio</w:t>
      </w:r>
      <w:r w:rsidRPr="00C93AB3">
        <w:t xml:space="preserve"> </w:t>
      </w:r>
      <w:r>
        <w:t>h</w:t>
      </w:r>
      <w:r w:rsidRPr="00F22A80">
        <w:t>idroksichlorokvin</w:t>
      </w:r>
      <w:r>
        <w:t>o poveikio nenustatyta.</w:t>
      </w:r>
    </w:p>
    <w:p w14:paraId="3FF8423E" w14:textId="692F70D8" w:rsidR="00FD66E5" w:rsidRDefault="00FD66E5" w:rsidP="00FD66E5">
      <w:pPr>
        <w:pStyle w:val="BTEMEASMCA"/>
      </w:pPr>
      <w:r w:rsidRPr="003D6F9D">
        <w:rPr>
          <w:i/>
          <w:iCs/>
        </w:rPr>
        <w:t>In vitro</w:t>
      </w:r>
      <w:r>
        <w:t xml:space="preserve"> hidroksichlorokvinas reikšmingai neslopino pagrindinių pernešiklių BCRP, OATP1B1, OATP1B3, OAT1 ir OAT3. Hidroksichlorokvinas didelėmis koncentracijomis slopino P-gp (žr. 4.5 skyrių). </w:t>
      </w:r>
      <w:r w:rsidRPr="003D6F9D">
        <w:rPr>
          <w:i/>
          <w:iCs/>
        </w:rPr>
        <w:t>In vitro</w:t>
      </w:r>
      <w:r>
        <w:t xml:space="preserve"> nustatytas galimas OCT1, OCT2, MATE1 ir MATE2-K pernešiklius slopinantis hidroksichlorokvino poveikis.</w:t>
      </w:r>
    </w:p>
    <w:p w14:paraId="09CF1D62" w14:textId="77777777" w:rsidR="00FD66E5" w:rsidRPr="00EA1CA2" w:rsidRDefault="00FD66E5" w:rsidP="0056757C">
      <w:pPr>
        <w:rPr>
          <w:sz w:val="22"/>
          <w:szCs w:val="22"/>
        </w:rPr>
      </w:pPr>
    </w:p>
    <w:p w14:paraId="099CF553" w14:textId="77777777" w:rsidR="0056757C" w:rsidRPr="003C1C5E" w:rsidRDefault="0056757C" w:rsidP="0056757C">
      <w:pPr>
        <w:rPr>
          <w:sz w:val="22"/>
          <w:u w:val="single"/>
        </w:rPr>
      </w:pPr>
      <w:r w:rsidRPr="003C1C5E">
        <w:rPr>
          <w:sz w:val="22"/>
          <w:szCs w:val="22"/>
          <w:u w:val="single"/>
        </w:rPr>
        <w:t>Hidroksichlorokvino poveikis kitiems vaistiniams preparatams</w:t>
      </w:r>
    </w:p>
    <w:p w14:paraId="657C1C62" w14:textId="77777777" w:rsidR="0056757C" w:rsidRPr="00EA1CA2" w:rsidRDefault="0056757C" w:rsidP="0056757C">
      <w:pPr>
        <w:rPr>
          <w:i/>
          <w:iCs/>
          <w:sz w:val="22"/>
          <w:szCs w:val="22"/>
          <w:u w:val="single"/>
        </w:rPr>
      </w:pPr>
    </w:p>
    <w:p w14:paraId="6559D462" w14:textId="77777777" w:rsidR="0056757C" w:rsidRPr="00C92FCF" w:rsidRDefault="0056757C" w:rsidP="0056757C">
      <w:pPr>
        <w:rPr>
          <w:sz w:val="22"/>
        </w:rPr>
      </w:pPr>
      <w:r w:rsidRPr="00EA1CA2">
        <w:rPr>
          <w:sz w:val="22"/>
          <w:szCs w:val="22"/>
        </w:rPr>
        <w:t xml:space="preserve">P-glikoproteino substratai </w:t>
      </w:r>
    </w:p>
    <w:p w14:paraId="4235AC50" w14:textId="63006C1B" w:rsidR="0056757C" w:rsidRDefault="0056757C" w:rsidP="0056757C">
      <w:pPr>
        <w:rPr>
          <w:sz w:val="22"/>
          <w:szCs w:val="22"/>
        </w:rPr>
      </w:pPr>
      <w:r w:rsidRPr="008E652D">
        <w:rPr>
          <w:sz w:val="22"/>
          <w:szCs w:val="22"/>
        </w:rPr>
        <w:t xml:space="preserve">Hidroksichlorokvinas didelėmis koncentracijomis </w:t>
      </w:r>
      <w:r w:rsidRPr="003C1C5E">
        <w:rPr>
          <w:i/>
          <w:iCs/>
          <w:sz w:val="22"/>
          <w:szCs w:val="22"/>
        </w:rPr>
        <w:t>in vitro</w:t>
      </w:r>
      <w:r w:rsidRPr="008E652D">
        <w:rPr>
          <w:sz w:val="22"/>
          <w:szCs w:val="22"/>
        </w:rPr>
        <w:t xml:space="preserve"> slopina P-gp. </w:t>
      </w:r>
      <w:r w:rsidRPr="00045E0B">
        <w:rPr>
          <w:sz w:val="22"/>
          <w:szCs w:val="22"/>
        </w:rPr>
        <w:t>Todėl, vartojant kartu su hidroksichlorokvinu, gali padidėti P-gp substratų koncentracija. Buvo pranešta apie padidėjus</w:t>
      </w:r>
      <w:r>
        <w:rPr>
          <w:sz w:val="22"/>
          <w:szCs w:val="22"/>
        </w:rPr>
        <w:t>ią</w:t>
      </w:r>
      <w:r w:rsidRPr="00045E0B">
        <w:rPr>
          <w:sz w:val="22"/>
          <w:szCs w:val="22"/>
        </w:rPr>
        <w:t xml:space="preserve"> digoksino </w:t>
      </w:r>
      <w:r>
        <w:rPr>
          <w:sz w:val="22"/>
          <w:szCs w:val="22"/>
        </w:rPr>
        <w:t xml:space="preserve">koncentraciją </w:t>
      </w:r>
      <w:r w:rsidRPr="00045E0B">
        <w:rPr>
          <w:sz w:val="22"/>
          <w:szCs w:val="22"/>
        </w:rPr>
        <w:t>serume, kai kartu buvo vartojamas digoksinas ir hidroksichlorokvinas. Patartina būti atsargiems (pvz., stebėti, ar neatsiranda nepageidaujamų reakcijų arba, jei reikia, koncentraciją plazmoje), kai kartu vartojami siauro terapinio indekso P-gp substratai (pvz., digoksinas, dabigatranas).</w:t>
      </w:r>
    </w:p>
    <w:p w14:paraId="20204471" w14:textId="77777777" w:rsidR="0056757C" w:rsidRPr="00EA1CA2" w:rsidRDefault="0056757C" w:rsidP="0056757C">
      <w:pPr>
        <w:rPr>
          <w:sz w:val="22"/>
          <w:szCs w:val="22"/>
        </w:rPr>
      </w:pPr>
    </w:p>
    <w:p w14:paraId="10EE728E" w14:textId="77777777" w:rsidR="0056757C" w:rsidRPr="00C92FCF" w:rsidRDefault="0056757C" w:rsidP="0056757C">
      <w:pPr>
        <w:keepNext/>
        <w:keepLines/>
        <w:rPr>
          <w:sz w:val="22"/>
        </w:rPr>
      </w:pPr>
      <w:r w:rsidRPr="00EA1CA2">
        <w:rPr>
          <w:sz w:val="22"/>
          <w:szCs w:val="22"/>
        </w:rPr>
        <w:t>CYP2D6 substratai</w:t>
      </w:r>
    </w:p>
    <w:p w14:paraId="26AD5A59" w14:textId="77777777" w:rsidR="0056757C" w:rsidRPr="00C92FCF" w:rsidRDefault="0056757C" w:rsidP="0056757C">
      <w:pPr>
        <w:keepNext/>
        <w:keepLines/>
        <w:rPr>
          <w:sz w:val="22"/>
        </w:rPr>
      </w:pPr>
      <w:r w:rsidRPr="008E652D">
        <w:rPr>
          <w:sz w:val="22"/>
          <w:szCs w:val="22"/>
        </w:rPr>
        <w:t xml:space="preserve">Hidroksichlorokvinas </w:t>
      </w:r>
      <w:r w:rsidRPr="008E652D">
        <w:rPr>
          <w:i/>
          <w:iCs/>
          <w:sz w:val="22"/>
          <w:szCs w:val="22"/>
        </w:rPr>
        <w:t>in vitro</w:t>
      </w:r>
      <w:r w:rsidRPr="008E652D">
        <w:rPr>
          <w:sz w:val="22"/>
          <w:szCs w:val="22"/>
        </w:rPr>
        <w:t xml:space="preserve"> slopina CYP2D6</w:t>
      </w:r>
      <w:r>
        <w:rPr>
          <w:sz w:val="22"/>
          <w:szCs w:val="22"/>
        </w:rPr>
        <w:t xml:space="preserve">. </w:t>
      </w:r>
      <w:r w:rsidRPr="00EA1CA2">
        <w:rPr>
          <w:sz w:val="22"/>
          <w:szCs w:val="22"/>
        </w:rPr>
        <w:t>Pacientams, kurie vartojo hidroksichlorokvino ir vienkartinę metoprololio (CYP2D6 mėginio) dozę, metaprololio C</w:t>
      </w:r>
      <w:r w:rsidRPr="00EA1CA2">
        <w:rPr>
          <w:sz w:val="22"/>
          <w:szCs w:val="22"/>
          <w:vertAlign w:val="subscript"/>
        </w:rPr>
        <w:t>max</w:t>
      </w:r>
      <w:r w:rsidRPr="00EA1CA2">
        <w:rPr>
          <w:sz w:val="22"/>
          <w:szCs w:val="22"/>
        </w:rPr>
        <w:t xml:space="preserve"> ir AUC padidėjo 1,7 karto; tai rodo, kad hidroksichlorokvinas yra silpnas CYP2D6 inhibitorius. Kai kartu vartojama CYP2D6 substratų, kurių terapinis indeksas yra mažas (tokių kaip flekainidas, propafenonas), rekomenduojama imtis atsargumo priemonių (pvz., stebėti, ar neatsiranda nepageidaujamų reakcijų, arba</w:t>
      </w:r>
      <w:r>
        <w:rPr>
          <w:sz w:val="22"/>
          <w:szCs w:val="22"/>
        </w:rPr>
        <w:t>,</w:t>
      </w:r>
      <w:r w:rsidRPr="00A57A17">
        <w:t xml:space="preserve"> </w:t>
      </w:r>
      <w:r w:rsidRPr="00A57A17">
        <w:rPr>
          <w:sz w:val="22"/>
          <w:szCs w:val="22"/>
        </w:rPr>
        <w:t xml:space="preserve">jei reikia, </w:t>
      </w:r>
      <w:r w:rsidRPr="00EA1CA2">
        <w:rPr>
          <w:sz w:val="22"/>
          <w:szCs w:val="22"/>
        </w:rPr>
        <w:t>koncentraciją kraujo plazmoje).</w:t>
      </w:r>
    </w:p>
    <w:p w14:paraId="636FDAFA" w14:textId="77777777" w:rsidR="0056757C" w:rsidRDefault="0056757C" w:rsidP="0056757C">
      <w:pPr>
        <w:rPr>
          <w:sz w:val="22"/>
          <w:szCs w:val="22"/>
        </w:rPr>
      </w:pPr>
    </w:p>
    <w:p w14:paraId="55309012" w14:textId="77777777" w:rsidR="0056757C" w:rsidRPr="008E652D" w:rsidRDefault="0056757C" w:rsidP="0056757C">
      <w:pPr>
        <w:rPr>
          <w:sz w:val="22"/>
          <w:szCs w:val="22"/>
        </w:rPr>
      </w:pPr>
      <w:r w:rsidRPr="008E652D">
        <w:rPr>
          <w:sz w:val="22"/>
          <w:szCs w:val="22"/>
        </w:rPr>
        <w:t>CYP3A4 substratai</w:t>
      </w:r>
    </w:p>
    <w:p w14:paraId="4313E7EB" w14:textId="23BEE5D7" w:rsidR="0056757C" w:rsidRPr="008E652D" w:rsidRDefault="0056757C" w:rsidP="0056757C">
      <w:pPr>
        <w:rPr>
          <w:sz w:val="22"/>
          <w:szCs w:val="22"/>
        </w:rPr>
      </w:pPr>
      <w:r w:rsidRPr="008E652D">
        <w:rPr>
          <w:sz w:val="22"/>
          <w:szCs w:val="22"/>
        </w:rPr>
        <w:t xml:space="preserve">Hidroksichlorokvinas </w:t>
      </w:r>
      <w:r w:rsidRPr="008E652D">
        <w:rPr>
          <w:i/>
          <w:iCs/>
          <w:sz w:val="22"/>
          <w:szCs w:val="22"/>
        </w:rPr>
        <w:t>in vitro</w:t>
      </w:r>
      <w:r w:rsidRPr="008E652D">
        <w:rPr>
          <w:sz w:val="22"/>
          <w:szCs w:val="22"/>
        </w:rPr>
        <w:t xml:space="preserve"> slopina CYP3A4. Buvo pranešta apie ciklosporino (CYP3A4 ir p-gp substrato) k</w:t>
      </w:r>
      <w:r w:rsidR="00B40F58">
        <w:rPr>
          <w:sz w:val="22"/>
          <w:szCs w:val="22"/>
        </w:rPr>
        <w:t xml:space="preserve">oncentracijos </w:t>
      </w:r>
      <w:r w:rsidRPr="008E652D">
        <w:rPr>
          <w:sz w:val="22"/>
          <w:szCs w:val="22"/>
        </w:rPr>
        <w:t xml:space="preserve">kraujo plazmoje padidėjimą ciklosporino vartojant kartu su hidroksichlorokvinu. Sąveikos su jautriais CYP3A4 substratais tyrimų </w:t>
      </w:r>
      <w:r w:rsidRPr="008E652D">
        <w:rPr>
          <w:i/>
          <w:iCs/>
          <w:sz w:val="22"/>
          <w:szCs w:val="22"/>
        </w:rPr>
        <w:t>in vivo</w:t>
      </w:r>
      <w:r w:rsidRPr="008E652D">
        <w:rPr>
          <w:sz w:val="22"/>
          <w:szCs w:val="22"/>
        </w:rPr>
        <w:t xml:space="preserve"> neatlikta, todėl kai kartu su hidroksichlorokvinu vartojama CYP3A4 substratų (tokių kaip ciklosporinas, statinai), rekomenduojama imtis atsargumo priemonių (pvz., stebėti, ar neatsiranda nepageidaujamų reakcijų).</w:t>
      </w:r>
    </w:p>
    <w:p w14:paraId="6DB4F2FE" w14:textId="77777777" w:rsidR="0056757C" w:rsidRDefault="0056757C" w:rsidP="0056757C">
      <w:pPr>
        <w:rPr>
          <w:sz w:val="22"/>
          <w:szCs w:val="22"/>
        </w:rPr>
      </w:pPr>
    </w:p>
    <w:p w14:paraId="51DAE532" w14:textId="77777777" w:rsidR="0056757C" w:rsidRPr="00A57A17" w:rsidRDefault="0056757C" w:rsidP="0056757C">
      <w:pPr>
        <w:rPr>
          <w:sz w:val="22"/>
        </w:rPr>
      </w:pPr>
      <w:r w:rsidRPr="00A57A17">
        <w:rPr>
          <w:sz w:val="22"/>
          <w:szCs w:val="22"/>
        </w:rPr>
        <w:t>Prazikvantelis</w:t>
      </w:r>
    </w:p>
    <w:p w14:paraId="559790CB" w14:textId="555D2012" w:rsidR="0056757C" w:rsidRPr="00C92FCF" w:rsidRDefault="00B40F58" w:rsidP="0056757C">
      <w:pPr>
        <w:rPr>
          <w:sz w:val="22"/>
        </w:rPr>
      </w:pPr>
      <w:r>
        <w:rPr>
          <w:sz w:val="22"/>
          <w:szCs w:val="22"/>
        </w:rPr>
        <w:t>V</w:t>
      </w:r>
      <w:r w:rsidR="0056757C" w:rsidRPr="00EA1CA2">
        <w:rPr>
          <w:sz w:val="22"/>
          <w:szCs w:val="22"/>
        </w:rPr>
        <w:t xml:space="preserve">ienkartinės dozės sąveikos tyrimo </w:t>
      </w:r>
      <w:r>
        <w:rPr>
          <w:sz w:val="22"/>
          <w:szCs w:val="22"/>
        </w:rPr>
        <w:t>metu</w:t>
      </w:r>
      <w:r w:rsidR="0056757C" w:rsidRPr="00EA1CA2">
        <w:rPr>
          <w:sz w:val="22"/>
          <w:szCs w:val="22"/>
        </w:rPr>
        <w:t xml:space="preserve"> buvo </w:t>
      </w:r>
      <w:r>
        <w:rPr>
          <w:sz w:val="22"/>
          <w:szCs w:val="22"/>
        </w:rPr>
        <w:t>nustatyta</w:t>
      </w:r>
      <w:r w:rsidR="0056757C" w:rsidRPr="00EA1CA2">
        <w:rPr>
          <w:sz w:val="22"/>
          <w:szCs w:val="22"/>
        </w:rPr>
        <w:t>, kad chlorokvinas mažina prazikvantelio biologinį prieinamumą. Nežinoma, ar hidroksichlorokvin</w:t>
      </w:r>
      <w:r w:rsidR="0056757C">
        <w:rPr>
          <w:sz w:val="22"/>
          <w:szCs w:val="22"/>
        </w:rPr>
        <w:t>o</w:t>
      </w:r>
      <w:r w:rsidR="0056757C" w:rsidRPr="00EA1CA2">
        <w:rPr>
          <w:sz w:val="22"/>
          <w:szCs w:val="22"/>
        </w:rPr>
        <w:t xml:space="preserve"> vartojant kartu su prazikvanteliu pasireiškia panašus poveikis. Ekstrapoliuojant duomenis, dėl panašios hidroksichlorokvino ir chlorokvino struktūros ir farmakokinetikos parametrų, vartojant hidroksichlorokvin</w:t>
      </w:r>
      <w:r w:rsidR="0056757C">
        <w:rPr>
          <w:sz w:val="22"/>
          <w:szCs w:val="22"/>
        </w:rPr>
        <w:t>o</w:t>
      </w:r>
      <w:r w:rsidR="0056757C" w:rsidRPr="00EA1CA2">
        <w:rPr>
          <w:sz w:val="22"/>
          <w:szCs w:val="22"/>
        </w:rPr>
        <w:t>, galima tikėtis panašaus poveikio.</w:t>
      </w:r>
    </w:p>
    <w:p w14:paraId="153827CF" w14:textId="77777777" w:rsidR="0056757C" w:rsidRPr="00B4100D" w:rsidRDefault="0056757C" w:rsidP="00986560">
      <w:pPr>
        <w:rPr>
          <w:sz w:val="22"/>
          <w:szCs w:val="22"/>
        </w:rPr>
      </w:pPr>
    </w:p>
    <w:p w14:paraId="13064FA1" w14:textId="7DB8148B" w:rsidR="004B47E7" w:rsidRPr="00B4100D" w:rsidRDefault="004B47E7" w:rsidP="004B47E7">
      <w:pPr>
        <w:rPr>
          <w:sz w:val="22"/>
          <w:szCs w:val="22"/>
        </w:rPr>
      </w:pPr>
      <w:r w:rsidRPr="00B4100D">
        <w:rPr>
          <w:sz w:val="22"/>
          <w:szCs w:val="22"/>
        </w:rPr>
        <w:t>Hidroksichlorokvinas gali stiprinti hipoglikeminio gydymo poveikį, todėl gali prireikti mažinti insulino ar kitų vaistinių preparatų nuo cukrinio diabeto dozes</w:t>
      </w:r>
      <w:r w:rsidR="00B40F58">
        <w:rPr>
          <w:sz w:val="22"/>
          <w:szCs w:val="22"/>
        </w:rPr>
        <w:t xml:space="preserve"> </w:t>
      </w:r>
      <w:r w:rsidR="00B40F58" w:rsidRPr="00B40F58">
        <w:rPr>
          <w:sz w:val="22"/>
          <w:szCs w:val="22"/>
        </w:rPr>
        <w:t>(taip pat žr. skyrelį „Hipoglikemija“ 4.4</w:t>
      </w:r>
      <w:r w:rsidR="00B40F58">
        <w:rPr>
          <w:sz w:val="22"/>
          <w:szCs w:val="22"/>
        </w:rPr>
        <w:t> </w:t>
      </w:r>
      <w:r w:rsidR="00B40F58" w:rsidRPr="00B40F58">
        <w:rPr>
          <w:sz w:val="22"/>
          <w:szCs w:val="22"/>
        </w:rPr>
        <w:t>skyriuje ir 4.8 skyrių)</w:t>
      </w:r>
      <w:r w:rsidRPr="00B4100D">
        <w:rPr>
          <w:sz w:val="22"/>
          <w:szCs w:val="22"/>
        </w:rPr>
        <w:t>.</w:t>
      </w:r>
    </w:p>
    <w:p w14:paraId="7429A169" w14:textId="77777777" w:rsidR="004B47E7" w:rsidRPr="00B4100D" w:rsidRDefault="004B47E7" w:rsidP="004B47E7">
      <w:pPr>
        <w:rPr>
          <w:sz w:val="22"/>
          <w:szCs w:val="22"/>
        </w:rPr>
      </w:pPr>
    </w:p>
    <w:p w14:paraId="6A404DF2" w14:textId="77777777" w:rsidR="00986560" w:rsidRPr="00B4100D" w:rsidRDefault="00986560" w:rsidP="00B24230">
      <w:pPr>
        <w:pStyle w:val="PI-2EMEASMCA"/>
      </w:pPr>
      <w:bookmarkStart w:id="26" w:name="_Toc129243107"/>
      <w:bookmarkStart w:id="27" w:name="_Toc129243232"/>
      <w:r w:rsidRPr="00B4100D">
        <w:lastRenderedPageBreak/>
        <w:t>4.6</w:t>
      </w:r>
      <w:r w:rsidRPr="00B4100D">
        <w:tab/>
        <w:t>Vaisingumas, nėštumo ir žindymo laikotarpis</w:t>
      </w:r>
      <w:bookmarkEnd w:id="26"/>
      <w:bookmarkEnd w:id="27"/>
    </w:p>
    <w:p w14:paraId="3FFB225E" w14:textId="77777777" w:rsidR="00986560" w:rsidRPr="00B4100D" w:rsidRDefault="00986560" w:rsidP="000874A7">
      <w:pPr>
        <w:pStyle w:val="BTEMEASMCA"/>
        <w:keepNext/>
      </w:pPr>
    </w:p>
    <w:p w14:paraId="206247BE" w14:textId="77777777" w:rsidR="00986560" w:rsidRPr="00B4100D" w:rsidRDefault="00986560" w:rsidP="000874A7">
      <w:pPr>
        <w:keepNext/>
        <w:rPr>
          <w:sz w:val="22"/>
          <w:szCs w:val="22"/>
          <w:u w:val="single"/>
        </w:rPr>
      </w:pPr>
      <w:r w:rsidRPr="00B4100D">
        <w:rPr>
          <w:sz w:val="22"/>
          <w:szCs w:val="22"/>
          <w:u w:val="single"/>
        </w:rPr>
        <w:t>Nėštumas</w:t>
      </w:r>
    </w:p>
    <w:p w14:paraId="36EB63FA" w14:textId="2FC4F71A" w:rsidR="00EC50E8" w:rsidRDefault="00EC50E8" w:rsidP="000874A7">
      <w:pPr>
        <w:keepNext/>
        <w:rPr>
          <w:sz w:val="22"/>
          <w:szCs w:val="22"/>
        </w:rPr>
      </w:pPr>
      <w:r w:rsidRPr="00EC50E8">
        <w:rPr>
          <w:sz w:val="22"/>
          <w:szCs w:val="22"/>
        </w:rPr>
        <w:t>Duomenys</w:t>
      </w:r>
      <w:r>
        <w:rPr>
          <w:sz w:val="22"/>
          <w:szCs w:val="22"/>
        </w:rPr>
        <w:t>, gauti</w:t>
      </w:r>
      <w:r w:rsidRPr="00EC50E8">
        <w:rPr>
          <w:sz w:val="22"/>
          <w:szCs w:val="22"/>
        </w:rPr>
        <w:t xml:space="preserve"> iš populiacijos </w:t>
      </w:r>
      <w:r>
        <w:rPr>
          <w:sz w:val="22"/>
          <w:szCs w:val="22"/>
        </w:rPr>
        <w:t xml:space="preserve">duomenimis pagrįsto </w:t>
      </w:r>
      <w:r w:rsidRPr="00EC50E8">
        <w:rPr>
          <w:sz w:val="22"/>
          <w:szCs w:val="22"/>
        </w:rPr>
        <w:t>kohort</w:t>
      </w:r>
      <w:r>
        <w:rPr>
          <w:sz w:val="22"/>
          <w:szCs w:val="22"/>
        </w:rPr>
        <w:t>ų</w:t>
      </w:r>
      <w:r w:rsidRPr="00EC50E8">
        <w:rPr>
          <w:sz w:val="22"/>
          <w:szCs w:val="22"/>
        </w:rPr>
        <w:t xml:space="preserve"> tyrimo, kuriame </w:t>
      </w:r>
      <w:r w:rsidR="000612F5">
        <w:rPr>
          <w:sz w:val="22"/>
          <w:szCs w:val="22"/>
        </w:rPr>
        <w:t>vertinti</w:t>
      </w:r>
      <w:r w:rsidRPr="00EC50E8">
        <w:rPr>
          <w:sz w:val="22"/>
          <w:szCs w:val="22"/>
        </w:rPr>
        <w:t xml:space="preserve"> 2</w:t>
      </w:r>
      <w:r w:rsidR="000612F5">
        <w:rPr>
          <w:sz w:val="22"/>
          <w:szCs w:val="22"/>
        </w:rPr>
        <w:t> </w:t>
      </w:r>
      <w:r w:rsidRPr="00EC50E8">
        <w:rPr>
          <w:sz w:val="22"/>
          <w:szCs w:val="22"/>
        </w:rPr>
        <w:t xml:space="preserve">045 </w:t>
      </w:r>
      <w:r w:rsidR="000612F5" w:rsidRPr="00EC50E8">
        <w:rPr>
          <w:sz w:val="22"/>
          <w:szCs w:val="22"/>
        </w:rPr>
        <w:t>nėštum</w:t>
      </w:r>
      <w:r w:rsidR="000612F5">
        <w:rPr>
          <w:sz w:val="22"/>
          <w:szCs w:val="22"/>
        </w:rPr>
        <w:t xml:space="preserve">ai, kurių metu </w:t>
      </w:r>
      <w:r w:rsidR="000612F5" w:rsidRPr="00EC50E8">
        <w:rPr>
          <w:sz w:val="22"/>
          <w:szCs w:val="22"/>
        </w:rPr>
        <w:t>varto</w:t>
      </w:r>
      <w:r w:rsidR="000612F5">
        <w:rPr>
          <w:sz w:val="22"/>
          <w:szCs w:val="22"/>
        </w:rPr>
        <w:t>ta</w:t>
      </w:r>
      <w:r w:rsidR="000612F5" w:rsidRPr="00EC50E8">
        <w:rPr>
          <w:sz w:val="22"/>
          <w:szCs w:val="22"/>
        </w:rPr>
        <w:t xml:space="preserve"> </w:t>
      </w:r>
      <w:r w:rsidRPr="00EC50E8">
        <w:rPr>
          <w:sz w:val="22"/>
          <w:szCs w:val="22"/>
        </w:rPr>
        <w:t xml:space="preserve">hidroksichlorokvino, rodo, kad santykinė įgimtų </w:t>
      </w:r>
      <w:r w:rsidR="000F4D86">
        <w:rPr>
          <w:sz w:val="22"/>
          <w:szCs w:val="22"/>
        </w:rPr>
        <w:t>formavimosi ydų</w:t>
      </w:r>
      <w:r w:rsidRPr="00EC50E8">
        <w:rPr>
          <w:sz w:val="22"/>
          <w:szCs w:val="22"/>
        </w:rPr>
        <w:t xml:space="preserve"> rizika (</w:t>
      </w:r>
      <w:r w:rsidR="000612F5">
        <w:rPr>
          <w:sz w:val="22"/>
          <w:szCs w:val="22"/>
        </w:rPr>
        <w:t>S</w:t>
      </w:r>
      <w:r w:rsidRPr="00EC50E8">
        <w:rPr>
          <w:sz w:val="22"/>
          <w:szCs w:val="22"/>
        </w:rPr>
        <w:t>R), susijusi su hidroksichlorokvino ekspozicija pirmąjį trimestrą, šiek tiek padidėja (n</w:t>
      </w:r>
      <w:r w:rsidR="000612F5">
        <w:rPr>
          <w:sz w:val="22"/>
          <w:szCs w:val="22"/>
        </w:rPr>
        <w:t> </w:t>
      </w:r>
      <w:r w:rsidRPr="00EC50E8">
        <w:rPr>
          <w:sz w:val="22"/>
          <w:szCs w:val="22"/>
        </w:rPr>
        <w:t>=</w:t>
      </w:r>
      <w:r w:rsidR="000612F5">
        <w:rPr>
          <w:sz w:val="22"/>
          <w:szCs w:val="22"/>
        </w:rPr>
        <w:t> 1</w:t>
      </w:r>
      <w:r w:rsidRPr="00EC50E8">
        <w:rPr>
          <w:sz w:val="22"/>
          <w:szCs w:val="22"/>
        </w:rPr>
        <w:t>12 atvejų). Vartojant ≥</w:t>
      </w:r>
      <w:r w:rsidR="000612F5">
        <w:rPr>
          <w:sz w:val="22"/>
          <w:szCs w:val="22"/>
        </w:rPr>
        <w:t> </w:t>
      </w:r>
      <w:r w:rsidRPr="00EC50E8">
        <w:rPr>
          <w:sz w:val="22"/>
          <w:szCs w:val="22"/>
        </w:rPr>
        <w:t>400</w:t>
      </w:r>
      <w:r w:rsidR="000612F5">
        <w:rPr>
          <w:sz w:val="22"/>
          <w:szCs w:val="22"/>
        </w:rPr>
        <w:t> </w:t>
      </w:r>
      <w:r w:rsidRPr="00EC50E8">
        <w:rPr>
          <w:sz w:val="22"/>
          <w:szCs w:val="22"/>
        </w:rPr>
        <w:t xml:space="preserve">mg paros dozę, </w:t>
      </w:r>
      <w:r w:rsidR="000612F5">
        <w:rPr>
          <w:sz w:val="22"/>
          <w:szCs w:val="22"/>
        </w:rPr>
        <w:t>S</w:t>
      </w:r>
      <w:r w:rsidRPr="00EC50E8">
        <w:rPr>
          <w:sz w:val="22"/>
          <w:szCs w:val="22"/>
        </w:rPr>
        <w:t>R buvo 1,33 (95</w:t>
      </w:r>
      <w:r w:rsidR="000612F5">
        <w:rPr>
          <w:sz w:val="22"/>
          <w:szCs w:val="22"/>
        </w:rPr>
        <w:t> </w:t>
      </w:r>
      <w:r w:rsidRPr="00EC50E8">
        <w:rPr>
          <w:sz w:val="22"/>
          <w:szCs w:val="22"/>
        </w:rPr>
        <w:t>% PI, 1,08–1,65). Vartojant &lt;</w:t>
      </w:r>
      <w:r w:rsidR="000612F5">
        <w:rPr>
          <w:sz w:val="22"/>
          <w:szCs w:val="22"/>
        </w:rPr>
        <w:t> </w:t>
      </w:r>
      <w:r w:rsidRPr="00EC50E8">
        <w:rPr>
          <w:sz w:val="22"/>
          <w:szCs w:val="22"/>
        </w:rPr>
        <w:t xml:space="preserve">400 mg paros dozę, </w:t>
      </w:r>
      <w:r w:rsidR="000612F5">
        <w:rPr>
          <w:sz w:val="22"/>
          <w:szCs w:val="22"/>
        </w:rPr>
        <w:t>S</w:t>
      </w:r>
      <w:r w:rsidRPr="00EC50E8">
        <w:rPr>
          <w:sz w:val="22"/>
          <w:szCs w:val="22"/>
        </w:rPr>
        <w:t>R buvo 0,95 (95</w:t>
      </w:r>
      <w:r w:rsidR="000612F5">
        <w:rPr>
          <w:sz w:val="22"/>
          <w:szCs w:val="22"/>
        </w:rPr>
        <w:t> </w:t>
      </w:r>
      <w:r w:rsidRPr="00EC50E8">
        <w:rPr>
          <w:sz w:val="22"/>
          <w:szCs w:val="22"/>
        </w:rPr>
        <w:t>% PI, 0,60–1,50).</w:t>
      </w:r>
      <w:r w:rsidR="000612F5">
        <w:rPr>
          <w:sz w:val="22"/>
          <w:szCs w:val="22"/>
        </w:rPr>
        <w:t xml:space="preserve"> </w:t>
      </w:r>
    </w:p>
    <w:p w14:paraId="2C1445F4" w14:textId="77777777" w:rsidR="00B40F58" w:rsidRDefault="00B40F58" w:rsidP="004B47E7">
      <w:pPr>
        <w:rPr>
          <w:sz w:val="22"/>
          <w:szCs w:val="22"/>
        </w:rPr>
      </w:pPr>
    </w:p>
    <w:p w14:paraId="57E5B60E" w14:textId="60868474" w:rsidR="004A2770" w:rsidRPr="000874A7" w:rsidRDefault="004A2770" w:rsidP="004B47E7">
      <w:pPr>
        <w:rPr>
          <w:i/>
          <w:iCs/>
          <w:sz w:val="22"/>
          <w:szCs w:val="22"/>
        </w:rPr>
      </w:pPr>
      <w:r w:rsidRPr="000874A7">
        <w:rPr>
          <w:i/>
          <w:iCs/>
          <w:sz w:val="22"/>
          <w:szCs w:val="22"/>
        </w:rPr>
        <w:t>Reumatoidinis artritas, raudonoji vilkligė, fotodermatozės</w:t>
      </w:r>
    </w:p>
    <w:p w14:paraId="47B5F491" w14:textId="27604648" w:rsidR="004A2770" w:rsidRPr="004A2770" w:rsidRDefault="004A2770" w:rsidP="004A2770">
      <w:pPr>
        <w:rPr>
          <w:sz w:val="22"/>
          <w:szCs w:val="22"/>
        </w:rPr>
      </w:pPr>
      <w:r w:rsidRPr="004A2770">
        <w:rPr>
          <w:sz w:val="22"/>
          <w:szCs w:val="22"/>
        </w:rPr>
        <w:t>Hidroksichloro</w:t>
      </w:r>
      <w:r>
        <w:rPr>
          <w:sz w:val="22"/>
          <w:szCs w:val="22"/>
        </w:rPr>
        <w:t>kv</w:t>
      </w:r>
      <w:r w:rsidRPr="004A2770">
        <w:rPr>
          <w:sz w:val="22"/>
          <w:szCs w:val="22"/>
        </w:rPr>
        <w:t xml:space="preserve">ino sulfato reikia vengti vartoti nėštumo metu, išskyrus atvejus, kai, gydytojo </w:t>
      </w:r>
      <w:r>
        <w:rPr>
          <w:sz w:val="22"/>
          <w:szCs w:val="22"/>
        </w:rPr>
        <w:t>vertinimu</w:t>
      </w:r>
      <w:r w:rsidRPr="004A2770">
        <w:rPr>
          <w:sz w:val="22"/>
          <w:szCs w:val="22"/>
        </w:rPr>
        <w:t>, galima nauda yra didesnė už galimą pavojų. Jei nėštumo metu būtina gydyti hidroksichloro</w:t>
      </w:r>
      <w:r>
        <w:rPr>
          <w:sz w:val="22"/>
          <w:szCs w:val="22"/>
        </w:rPr>
        <w:t>kv</w:t>
      </w:r>
      <w:r w:rsidRPr="004A2770">
        <w:rPr>
          <w:sz w:val="22"/>
          <w:szCs w:val="22"/>
        </w:rPr>
        <w:t>inu, reikia vartoti mažiausią veiksmingą dozę.</w:t>
      </w:r>
    </w:p>
    <w:p w14:paraId="3EBDF954" w14:textId="4C9BDD61" w:rsidR="004A2770" w:rsidRDefault="004A2770" w:rsidP="004A2770">
      <w:pPr>
        <w:rPr>
          <w:sz w:val="22"/>
          <w:szCs w:val="22"/>
        </w:rPr>
      </w:pPr>
      <w:r w:rsidRPr="004A2770">
        <w:rPr>
          <w:sz w:val="22"/>
          <w:szCs w:val="22"/>
        </w:rPr>
        <w:t xml:space="preserve">Jei gydymas nėštumo metu užsitęsia, stebint </w:t>
      </w:r>
      <w:r>
        <w:rPr>
          <w:sz w:val="22"/>
          <w:szCs w:val="22"/>
        </w:rPr>
        <w:t>vaisių</w:t>
      </w:r>
      <w:r w:rsidRPr="004A2770">
        <w:rPr>
          <w:sz w:val="22"/>
          <w:szCs w:val="22"/>
        </w:rPr>
        <w:t xml:space="preserve"> reikia atsižvelgti į hidroksichloro</w:t>
      </w:r>
      <w:r>
        <w:rPr>
          <w:sz w:val="22"/>
          <w:szCs w:val="22"/>
        </w:rPr>
        <w:t>kvi</w:t>
      </w:r>
      <w:r w:rsidRPr="004A2770">
        <w:rPr>
          <w:sz w:val="22"/>
          <w:szCs w:val="22"/>
        </w:rPr>
        <w:t>no saugumo profilį, ypač į oftalmologinį šalutinį poveikį.</w:t>
      </w:r>
    </w:p>
    <w:p w14:paraId="16FAFABB" w14:textId="77777777" w:rsidR="004A2770" w:rsidRDefault="004A2770" w:rsidP="004A2770">
      <w:pPr>
        <w:rPr>
          <w:sz w:val="22"/>
          <w:szCs w:val="22"/>
        </w:rPr>
      </w:pPr>
    </w:p>
    <w:p w14:paraId="35E567AE" w14:textId="67CF09BF" w:rsidR="004A2770" w:rsidRPr="000874A7" w:rsidRDefault="004A2770" w:rsidP="004A2770">
      <w:pPr>
        <w:rPr>
          <w:i/>
          <w:iCs/>
          <w:sz w:val="22"/>
          <w:szCs w:val="22"/>
        </w:rPr>
      </w:pPr>
      <w:r w:rsidRPr="000874A7">
        <w:rPr>
          <w:i/>
          <w:iCs/>
          <w:sz w:val="22"/>
          <w:szCs w:val="22"/>
        </w:rPr>
        <w:t>Maliarijos profilaktika</w:t>
      </w:r>
    </w:p>
    <w:p w14:paraId="7FF0D2EC" w14:textId="09111183" w:rsidR="004B47E7" w:rsidRPr="00B4100D" w:rsidRDefault="004B47E7" w:rsidP="004B47E7">
      <w:pPr>
        <w:rPr>
          <w:sz w:val="22"/>
          <w:szCs w:val="22"/>
        </w:rPr>
      </w:pPr>
      <w:r w:rsidRPr="00B4100D">
        <w:rPr>
          <w:sz w:val="22"/>
          <w:szCs w:val="22"/>
        </w:rPr>
        <w:t xml:space="preserve">Hidroksichlorokvinas gali būti </w:t>
      </w:r>
      <w:r w:rsidR="0078348D" w:rsidRPr="00B4100D">
        <w:rPr>
          <w:sz w:val="22"/>
          <w:szCs w:val="22"/>
        </w:rPr>
        <w:t>vart</w:t>
      </w:r>
      <w:r w:rsidRPr="00B4100D">
        <w:rPr>
          <w:sz w:val="22"/>
          <w:szCs w:val="22"/>
        </w:rPr>
        <w:t>ojamas maliarijos profilaktikai nėštumo metu, nes</w:t>
      </w:r>
      <w:r w:rsidR="004A2770" w:rsidRPr="004A2770">
        <w:t xml:space="preserve"> </w:t>
      </w:r>
      <w:r w:rsidR="004A2770" w:rsidRPr="004A2770">
        <w:rPr>
          <w:sz w:val="22"/>
          <w:szCs w:val="22"/>
        </w:rPr>
        <w:t>pati maliarija gali pakenkti vaisiui</w:t>
      </w:r>
      <w:r w:rsidRPr="00B4100D">
        <w:rPr>
          <w:sz w:val="22"/>
          <w:szCs w:val="22"/>
        </w:rPr>
        <w:t>.</w:t>
      </w:r>
    </w:p>
    <w:p w14:paraId="54D89D85" w14:textId="77777777" w:rsidR="00D40308" w:rsidRPr="00B4100D" w:rsidRDefault="00D40308" w:rsidP="00986560">
      <w:pPr>
        <w:rPr>
          <w:sz w:val="22"/>
          <w:szCs w:val="22"/>
        </w:rPr>
      </w:pPr>
    </w:p>
    <w:p w14:paraId="151FE5D7" w14:textId="77777777" w:rsidR="00446C89" w:rsidRPr="00B4100D" w:rsidRDefault="00986560" w:rsidP="001318FE">
      <w:pPr>
        <w:keepNext/>
        <w:rPr>
          <w:sz w:val="22"/>
          <w:szCs w:val="22"/>
        </w:rPr>
      </w:pPr>
      <w:r w:rsidRPr="00B4100D">
        <w:rPr>
          <w:sz w:val="22"/>
          <w:szCs w:val="22"/>
          <w:u w:val="single"/>
        </w:rPr>
        <w:t>Žindymas</w:t>
      </w:r>
    </w:p>
    <w:p w14:paraId="03C11983" w14:textId="2790CCAC" w:rsidR="0078348D" w:rsidRPr="00B4100D" w:rsidRDefault="00446C89" w:rsidP="0078348D">
      <w:pPr>
        <w:rPr>
          <w:sz w:val="22"/>
          <w:szCs w:val="22"/>
        </w:rPr>
      </w:pPr>
      <w:r w:rsidRPr="00B4100D">
        <w:rPr>
          <w:sz w:val="22"/>
          <w:szCs w:val="22"/>
        </w:rPr>
        <w:t>Hidroksichlorok</w:t>
      </w:r>
      <w:r w:rsidR="00FC4964" w:rsidRPr="00B4100D">
        <w:rPr>
          <w:sz w:val="22"/>
          <w:szCs w:val="22"/>
        </w:rPr>
        <w:t>v</w:t>
      </w:r>
      <w:r w:rsidRPr="00B4100D">
        <w:rPr>
          <w:sz w:val="22"/>
          <w:szCs w:val="22"/>
        </w:rPr>
        <w:t xml:space="preserve">inas išsiskiria </w:t>
      </w:r>
      <w:r w:rsidR="00EE2C72" w:rsidRPr="00B4100D">
        <w:rPr>
          <w:sz w:val="22"/>
          <w:szCs w:val="22"/>
        </w:rPr>
        <w:t>į</w:t>
      </w:r>
      <w:r w:rsidRPr="00B4100D">
        <w:rPr>
          <w:sz w:val="22"/>
          <w:szCs w:val="22"/>
        </w:rPr>
        <w:t xml:space="preserve"> motinos </w:t>
      </w:r>
      <w:r w:rsidR="0078348D" w:rsidRPr="00B4100D">
        <w:rPr>
          <w:sz w:val="22"/>
          <w:szCs w:val="22"/>
        </w:rPr>
        <w:t xml:space="preserve">pieną. </w:t>
      </w:r>
      <w:r w:rsidR="004A2770">
        <w:rPr>
          <w:sz w:val="22"/>
          <w:szCs w:val="22"/>
        </w:rPr>
        <w:t>Nustatyta</w:t>
      </w:r>
      <w:r w:rsidR="004A2770" w:rsidRPr="004A2770">
        <w:rPr>
          <w:sz w:val="22"/>
          <w:szCs w:val="22"/>
        </w:rPr>
        <w:t>, kad kūdikių per žindymą gaunama dozė atitinka 2</w:t>
      </w:r>
      <w:r w:rsidR="004A2770">
        <w:rPr>
          <w:sz w:val="22"/>
          <w:szCs w:val="22"/>
        </w:rPr>
        <w:t>–</w:t>
      </w:r>
      <w:r w:rsidR="004A2770" w:rsidRPr="004A2770">
        <w:rPr>
          <w:sz w:val="22"/>
          <w:szCs w:val="22"/>
        </w:rPr>
        <w:t>3</w:t>
      </w:r>
      <w:r w:rsidR="004A2770">
        <w:rPr>
          <w:sz w:val="22"/>
          <w:szCs w:val="22"/>
        </w:rPr>
        <w:t> </w:t>
      </w:r>
      <w:r w:rsidR="004A2770" w:rsidRPr="004A2770">
        <w:rPr>
          <w:sz w:val="22"/>
          <w:szCs w:val="22"/>
        </w:rPr>
        <w:t xml:space="preserve">% motinos gaunamos dozės (pakoreguotos pagal kūno svorį). </w:t>
      </w:r>
      <w:r w:rsidR="00B24230" w:rsidRPr="00B24230">
        <w:rPr>
          <w:sz w:val="22"/>
          <w:szCs w:val="22"/>
        </w:rPr>
        <w:t>Tačiau šiuo metu nepranešta apie jokį poveikį vystymuisi ar motorikos, regos ir klausos sutrikimams kūdikiams, kurie buvo veikiami hidroksichloro</w:t>
      </w:r>
      <w:r w:rsidR="00B24230">
        <w:rPr>
          <w:sz w:val="22"/>
          <w:szCs w:val="22"/>
        </w:rPr>
        <w:t>kvi</w:t>
      </w:r>
      <w:r w:rsidR="00B24230" w:rsidRPr="00B24230">
        <w:rPr>
          <w:sz w:val="22"/>
          <w:szCs w:val="22"/>
        </w:rPr>
        <w:t>no per žindymą ir stebimi iki 2 metų.</w:t>
      </w:r>
      <w:r w:rsidR="00B24230">
        <w:rPr>
          <w:sz w:val="22"/>
          <w:szCs w:val="22"/>
        </w:rPr>
        <w:t xml:space="preserve"> </w:t>
      </w:r>
      <w:r w:rsidR="0078348D" w:rsidRPr="00B4100D">
        <w:rPr>
          <w:sz w:val="22"/>
          <w:szCs w:val="22"/>
        </w:rPr>
        <w:t xml:space="preserve">Gydytojas turi įvertinti galimą vartojimo riziką ir naudą žindymo laikotarpiu, atsižvelgiant į gydymo indikaciją ir trukmę. </w:t>
      </w:r>
    </w:p>
    <w:p w14:paraId="21FC771B" w14:textId="77777777" w:rsidR="0078348D" w:rsidRPr="00B4100D" w:rsidRDefault="0078348D" w:rsidP="0078348D">
      <w:pPr>
        <w:rPr>
          <w:sz w:val="22"/>
          <w:szCs w:val="22"/>
        </w:rPr>
      </w:pPr>
    </w:p>
    <w:p w14:paraId="589800A3" w14:textId="77777777" w:rsidR="00B24230" w:rsidRPr="003C1C5E" w:rsidRDefault="00B24230" w:rsidP="00B24230">
      <w:pPr>
        <w:rPr>
          <w:i/>
          <w:iCs/>
          <w:sz w:val="22"/>
          <w:szCs w:val="22"/>
        </w:rPr>
      </w:pPr>
      <w:r w:rsidRPr="003C1C5E">
        <w:rPr>
          <w:i/>
          <w:iCs/>
          <w:sz w:val="22"/>
          <w:szCs w:val="22"/>
        </w:rPr>
        <w:t>Maliarijos profilaktika</w:t>
      </w:r>
    </w:p>
    <w:p w14:paraId="6D720958" w14:textId="0DB362C7" w:rsidR="0078348D" w:rsidRPr="00B4100D" w:rsidRDefault="00E32459" w:rsidP="0078348D">
      <w:pPr>
        <w:rPr>
          <w:sz w:val="22"/>
          <w:szCs w:val="22"/>
        </w:rPr>
      </w:pPr>
      <w:r w:rsidRPr="00B4100D">
        <w:rPr>
          <w:sz w:val="22"/>
          <w:szCs w:val="22"/>
        </w:rPr>
        <w:t xml:space="preserve">Vartojant </w:t>
      </w:r>
      <w:r w:rsidR="0078348D" w:rsidRPr="00B4100D">
        <w:rPr>
          <w:sz w:val="22"/>
          <w:szCs w:val="22"/>
        </w:rPr>
        <w:t>maliarijos profilaktika</w:t>
      </w:r>
      <w:r w:rsidRPr="00B4100D">
        <w:rPr>
          <w:sz w:val="22"/>
          <w:szCs w:val="22"/>
        </w:rPr>
        <w:t>i</w:t>
      </w:r>
      <w:r w:rsidR="0078348D" w:rsidRPr="00B4100D">
        <w:rPr>
          <w:sz w:val="22"/>
          <w:szCs w:val="22"/>
        </w:rPr>
        <w:t xml:space="preserve">, hidroksichlorokvinas gali būti </w:t>
      </w:r>
      <w:r w:rsidRPr="00B4100D">
        <w:rPr>
          <w:sz w:val="22"/>
          <w:szCs w:val="22"/>
        </w:rPr>
        <w:t>vartojamas</w:t>
      </w:r>
      <w:r w:rsidR="0078348D" w:rsidRPr="00B4100D">
        <w:rPr>
          <w:sz w:val="22"/>
          <w:szCs w:val="22"/>
        </w:rPr>
        <w:t xml:space="preserve"> žindymo metu. </w:t>
      </w:r>
      <w:r w:rsidR="00B24230">
        <w:rPr>
          <w:sz w:val="22"/>
          <w:szCs w:val="22"/>
        </w:rPr>
        <w:t>Tačiau</w:t>
      </w:r>
      <w:r w:rsidR="0078348D" w:rsidRPr="00B4100D">
        <w:rPr>
          <w:sz w:val="22"/>
          <w:szCs w:val="22"/>
        </w:rPr>
        <w:t xml:space="preserve"> išskiriamo kiekio nepakanka, kad būtų pasiektas profilaktinis poveikis vaikui.</w:t>
      </w:r>
    </w:p>
    <w:p w14:paraId="4ADD5A32" w14:textId="77777777" w:rsidR="0078348D" w:rsidRPr="00B4100D" w:rsidRDefault="0078348D" w:rsidP="0078348D">
      <w:pPr>
        <w:rPr>
          <w:sz w:val="22"/>
          <w:szCs w:val="22"/>
        </w:rPr>
      </w:pPr>
    </w:p>
    <w:p w14:paraId="28DA194A" w14:textId="77777777" w:rsidR="0078348D" w:rsidRPr="00B4100D" w:rsidRDefault="00E32459" w:rsidP="0078348D">
      <w:pPr>
        <w:rPr>
          <w:sz w:val="22"/>
          <w:szCs w:val="22"/>
          <w:u w:val="single"/>
        </w:rPr>
      </w:pPr>
      <w:r w:rsidRPr="00B4100D">
        <w:rPr>
          <w:sz w:val="22"/>
          <w:szCs w:val="22"/>
          <w:u w:val="single"/>
        </w:rPr>
        <w:t>Vaisingumas</w:t>
      </w:r>
    </w:p>
    <w:p w14:paraId="5208FFA7" w14:textId="1A5E454A" w:rsidR="00E32459" w:rsidRPr="00B4100D" w:rsidRDefault="00B24230" w:rsidP="0078348D">
      <w:pPr>
        <w:rPr>
          <w:sz w:val="22"/>
          <w:szCs w:val="22"/>
        </w:rPr>
      </w:pPr>
      <w:r>
        <w:rPr>
          <w:sz w:val="22"/>
          <w:szCs w:val="22"/>
        </w:rPr>
        <w:t>Duomenų</w:t>
      </w:r>
      <w:r w:rsidRPr="00B4100D">
        <w:rPr>
          <w:sz w:val="22"/>
          <w:szCs w:val="22"/>
        </w:rPr>
        <w:t xml:space="preserve"> </w:t>
      </w:r>
      <w:r w:rsidR="00E32459" w:rsidRPr="00B4100D">
        <w:rPr>
          <w:sz w:val="22"/>
          <w:szCs w:val="22"/>
        </w:rPr>
        <w:t>apie hidroksichlorokvino sulfato poveikį žmogaus vaisingumui nėra</w:t>
      </w:r>
      <w:r>
        <w:rPr>
          <w:sz w:val="22"/>
          <w:szCs w:val="22"/>
        </w:rPr>
        <w:t>.</w:t>
      </w:r>
      <w:r w:rsidRPr="00B24230">
        <w:t xml:space="preserve"> </w:t>
      </w:r>
      <w:r w:rsidRPr="00B24230">
        <w:rPr>
          <w:sz w:val="22"/>
          <w:szCs w:val="22"/>
        </w:rPr>
        <w:t xml:space="preserve">Tyrimai su gyvūnais parodė, kad chlorokvinas sutrikdo patinų vaisingumą </w:t>
      </w:r>
      <w:r w:rsidR="00E32459" w:rsidRPr="00B4100D">
        <w:rPr>
          <w:sz w:val="22"/>
          <w:szCs w:val="22"/>
        </w:rPr>
        <w:t>(žr. 5.3 skyrių).</w:t>
      </w:r>
    </w:p>
    <w:p w14:paraId="3E44865B" w14:textId="77777777" w:rsidR="00986560" w:rsidRPr="00B4100D" w:rsidRDefault="00986560" w:rsidP="00446C89">
      <w:pPr>
        <w:rPr>
          <w:sz w:val="22"/>
          <w:szCs w:val="22"/>
        </w:rPr>
      </w:pPr>
    </w:p>
    <w:p w14:paraId="65E31EFB" w14:textId="77777777" w:rsidR="00986560" w:rsidRPr="00B4100D" w:rsidRDefault="00986560" w:rsidP="0056757C">
      <w:pPr>
        <w:pStyle w:val="PI-2EMEASMCA"/>
      </w:pPr>
      <w:bookmarkStart w:id="28" w:name="_Toc129243108"/>
      <w:bookmarkStart w:id="29" w:name="_Toc129243233"/>
      <w:r w:rsidRPr="00B4100D">
        <w:t>4.7</w:t>
      </w:r>
      <w:r w:rsidRPr="00B4100D">
        <w:tab/>
        <w:t>Poveikis gebėjimui vairuoti ir valdyti mechanizmus</w:t>
      </w:r>
      <w:bookmarkEnd w:id="28"/>
      <w:bookmarkEnd w:id="29"/>
    </w:p>
    <w:p w14:paraId="55287FCA" w14:textId="77777777" w:rsidR="00986560" w:rsidRPr="00B4100D" w:rsidRDefault="00986560" w:rsidP="006E671E">
      <w:pPr>
        <w:pStyle w:val="BTEMEASMCA"/>
      </w:pPr>
    </w:p>
    <w:p w14:paraId="0DBB44D9" w14:textId="2D94F1D7" w:rsidR="00E32459" w:rsidRPr="00B4100D" w:rsidRDefault="00E32459" w:rsidP="00986560">
      <w:pPr>
        <w:pStyle w:val="Pagrindiniotekstotrauka"/>
        <w:ind w:firstLine="0"/>
        <w:jc w:val="left"/>
        <w:rPr>
          <w:sz w:val="22"/>
          <w:szCs w:val="22"/>
        </w:rPr>
      </w:pPr>
      <w:r w:rsidRPr="00B4100D">
        <w:rPr>
          <w:sz w:val="22"/>
          <w:szCs w:val="22"/>
        </w:rPr>
        <w:t>Gauta pranešimų apie netrukus po gydymo pablogėjusią akomodaciją, dėl kurios gali pablogėti regėjimas, todėl pacientus reikia įspėti apie galimą poveikį gebėjimui vairuoti ir valdyti mechanizmus. Jei būklė nėra savaiminė, ji praeis sumažinus dozę arba nutraukus gydymą.</w:t>
      </w:r>
    </w:p>
    <w:p w14:paraId="644CF1DA" w14:textId="77777777" w:rsidR="00986560" w:rsidRPr="00B4100D" w:rsidRDefault="00986560" w:rsidP="006E671E">
      <w:pPr>
        <w:pStyle w:val="BTEMEASMCA"/>
      </w:pPr>
    </w:p>
    <w:p w14:paraId="76E71ACC" w14:textId="77777777" w:rsidR="00986560" w:rsidRPr="00B4100D" w:rsidRDefault="00986560" w:rsidP="0056757C">
      <w:pPr>
        <w:pStyle w:val="PI-2EMEASMCA"/>
      </w:pPr>
      <w:bookmarkStart w:id="30" w:name="_Toc129243109"/>
      <w:bookmarkStart w:id="31" w:name="_Toc129243234"/>
      <w:r w:rsidRPr="00B4100D">
        <w:t>4.8</w:t>
      </w:r>
      <w:r w:rsidRPr="00B4100D">
        <w:tab/>
        <w:t>Nepageidaujamas poveikis</w:t>
      </w:r>
      <w:bookmarkEnd w:id="30"/>
      <w:bookmarkEnd w:id="31"/>
    </w:p>
    <w:p w14:paraId="1AFC05D0" w14:textId="77777777" w:rsidR="00986560" w:rsidRPr="00B4100D" w:rsidRDefault="00986560" w:rsidP="006E671E">
      <w:pPr>
        <w:pStyle w:val="BTEMEASMCA"/>
        <w:rPr>
          <w:lang w:eastAsia="lt-LT"/>
        </w:rPr>
      </w:pPr>
    </w:p>
    <w:p w14:paraId="5177C039" w14:textId="77777777" w:rsidR="00497B22" w:rsidRPr="00B4100D" w:rsidRDefault="00497B22" w:rsidP="00986560">
      <w:pPr>
        <w:keepNext/>
        <w:keepLines/>
        <w:rPr>
          <w:sz w:val="22"/>
          <w:szCs w:val="22"/>
          <w:lang w:eastAsia="lt-LT"/>
        </w:rPr>
      </w:pPr>
      <w:r w:rsidRPr="00B4100D">
        <w:rPr>
          <w:sz w:val="22"/>
          <w:szCs w:val="22"/>
          <w:lang w:eastAsia="lt-LT"/>
        </w:rPr>
        <w:t>Nepageidaujamos reakcijos yra išvardytos pagal MedDRA organų sistemų klases ir dažnį.</w:t>
      </w:r>
    </w:p>
    <w:p w14:paraId="7A16255E" w14:textId="77777777" w:rsidR="00986560" w:rsidRPr="00B4100D" w:rsidRDefault="00986560" w:rsidP="00986560">
      <w:pPr>
        <w:keepNext/>
        <w:keepLines/>
        <w:rPr>
          <w:i/>
          <w:iCs/>
          <w:sz w:val="22"/>
          <w:szCs w:val="22"/>
        </w:rPr>
      </w:pPr>
      <w:r w:rsidRPr="00B4100D">
        <w:rPr>
          <w:sz w:val="22"/>
          <w:szCs w:val="22"/>
        </w:rPr>
        <w:t>Nepageidaujamo poveikio dažnis apibūdinamas taip:</w:t>
      </w:r>
      <w:r w:rsidR="00497B22" w:rsidRPr="00B4100D">
        <w:rPr>
          <w:iCs/>
          <w:sz w:val="22"/>
          <w:szCs w:val="22"/>
        </w:rPr>
        <w:t xml:space="preserve"> </w:t>
      </w:r>
      <w:r w:rsidRPr="00B4100D">
        <w:rPr>
          <w:iCs/>
          <w:sz w:val="22"/>
          <w:szCs w:val="22"/>
        </w:rPr>
        <w:t>labai dažnas (≥ 1/10), dažnas (nuo ≥ 1/100 iki &lt; 1/10), nedažnas (nuo ≥ 1/1000 iki &lt; 1/100), retas (nuo ≥ 1/10000 iki &lt; 1/1000), labai retas (&lt; 1/10000)</w:t>
      </w:r>
      <w:r w:rsidR="00A5620D" w:rsidRPr="00B4100D">
        <w:rPr>
          <w:iCs/>
          <w:sz w:val="22"/>
          <w:szCs w:val="22"/>
        </w:rPr>
        <w:t xml:space="preserve"> ir</w:t>
      </w:r>
      <w:r w:rsidRPr="00B4100D">
        <w:rPr>
          <w:iCs/>
          <w:sz w:val="22"/>
          <w:szCs w:val="22"/>
        </w:rPr>
        <w:t xml:space="preserve"> nežinomas (negali būti apskaičiuotas pagal turimus duomenis).</w:t>
      </w:r>
    </w:p>
    <w:p w14:paraId="3EA47F1C" w14:textId="77777777" w:rsidR="00986560" w:rsidRPr="00B4100D" w:rsidRDefault="00986560" w:rsidP="00986560">
      <w:pPr>
        <w:rPr>
          <w:i/>
          <w:sz w:val="22"/>
          <w:szCs w:val="22"/>
        </w:rPr>
      </w:pPr>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826"/>
        <w:gridCol w:w="1094"/>
        <w:gridCol w:w="1294"/>
        <w:gridCol w:w="1649"/>
        <w:gridCol w:w="1524"/>
        <w:gridCol w:w="1905"/>
      </w:tblGrid>
      <w:tr w:rsidR="00823227" w:rsidRPr="00B4100D" w14:paraId="6D26C32F" w14:textId="77777777" w:rsidTr="0053168E">
        <w:tc>
          <w:tcPr>
            <w:tcW w:w="754" w:type="pct"/>
            <w:shd w:val="clear" w:color="auto" w:fill="auto"/>
          </w:tcPr>
          <w:p w14:paraId="47AD27AB" w14:textId="77777777" w:rsidR="00E32459" w:rsidRPr="00B4100D" w:rsidRDefault="00A47E10" w:rsidP="000E3D61">
            <w:pPr>
              <w:rPr>
                <w:b/>
                <w:iCs/>
                <w:sz w:val="20"/>
              </w:rPr>
            </w:pPr>
            <w:r w:rsidRPr="00B4100D">
              <w:rPr>
                <w:rFonts w:eastAsia="SimSun"/>
                <w:b/>
                <w:bCs/>
                <w:sz w:val="20"/>
                <w:lang w:eastAsia="nl-NL"/>
              </w:rPr>
              <w:t>Organų sistemų klases</w:t>
            </w:r>
          </w:p>
        </w:tc>
        <w:tc>
          <w:tcPr>
            <w:tcW w:w="489" w:type="pct"/>
            <w:shd w:val="clear" w:color="auto" w:fill="auto"/>
          </w:tcPr>
          <w:p w14:paraId="58D7A46F" w14:textId="77777777" w:rsidR="00E32459" w:rsidRPr="00B4100D" w:rsidRDefault="00A47E10" w:rsidP="000E3D61">
            <w:pPr>
              <w:rPr>
                <w:b/>
                <w:iCs/>
                <w:sz w:val="20"/>
              </w:rPr>
            </w:pPr>
            <w:r w:rsidRPr="00B4100D">
              <w:rPr>
                <w:rFonts w:eastAsia="SimSun"/>
                <w:b/>
                <w:bCs/>
                <w:sz w:val="20"/>
                <w:lang w:eastAsia="nl-NL"/>
              </w:rPr>
              <w:t>Labai dažnas</w:t>
            </w:r>
          </w:p>
        </w:tc>
        <w:tc>
          <w:tcPr>
            <w:tcW w:w="568" w:type="pct"/>
            <w:shd w:val="clear" w:color="auto" w:fill="auto"/>
          </w:tcPr>
          <w:p w14:paraId="63CC23F1" w14:textId="77777777" w:rsidR="00E32459" w:rsidRPr="00B4100D" w:rsidRDefault="00A47E10" w:rsidP="000E3D61">
            <w:pPr>
              <w:rPr>
                <w:b/>
                <w:iCs/>
                <w:sz w:val="20"/>
              </w:rPr>
            </w:pPr>
            <w:r w:rsidRPr="00B4100D">
              <w:rPr>
                <w:b/>
                <w:iCs/>
                <w:sz w:val="20"/>
              </w:rPr>
              <w:t>Dažnas</w:t>
            </w:r>
          </w:p>
        </w:tc>
        <w:tc>
          <w:tcPr>
            <w:tcW w:w="590" w:type="pct"/>
            <w:shd w:val="clear" w:color="auto" w:fill="auto"/>
          </w:tcPr>
          <w:p w14:paraId="298BCACA" w14:textId="77777777" w:rsidR="00E32459" w:rsidRPr="00B4100D" w:rsidRDefault="00A47E10" w:rsidP="000E3D61">
            <w:pPr>
              <w:rPr>
                <w:b/>
                <w:iCs/>
                <w:sz w:val="20"/>
              </w:rPr>
            </w:pPr>
            <w:r w:rsidRPr="00B4100D">
              <w:rPr>
                <w:b/>
                <w:iCs/>
                <w:sz w:val="20"/>
              </w:rPr>
              <w:t>Nedažnas</w:t>
            </w:r>
          </w:p>
        </w:tc>
        <w:tc>
          <w:tcPr>
            <w:tcW w:w="856" w:type="pct"/>
            <w:shd w:val="clear" w:color="auto" w:fill="auto"/>
          </w:tcPr>
          <w:p w14:paraId="72EF72FC" w14:textId="77777777" w:rsidR="00E32459" w:rsidRPr="00B4100D" w:rsidRDefault="00E32459" w:rsidP="000E3D61">
            <w:pPr>
              <w:rPr>
                <w:b/>
                <w:iCs/>
                <w:sz w:val="20"/>
              </w:rPr>
            </w:pPr>
            <w:r w:rsidRPr="00B4100D">
              <w:rPr>
                <w:b/>
                <w:iCs/>
                <w:sz w:val="20"/>
              </w:rPr>
              <w:t>R</w:t>
            </w:r>
            <w:r w:rsidR="00A47E10" w:rsidRPr="00B4100D">
              <w:rPr>
                <w:b/>
                <w:iCs/>
                <w:sz w:val="20"/>
              </w:rPr>
              <w:t>etas</w:t>
            </w:r>
          </w:p>
        </w:tc>
        <w:tc>
          <w:tcPr>
            <w:tcW w:w="852" w:type="pct"/>
            <w:shd w:val="clear" w:color="auto" w:fill="auto"/>
          </w:tcPr>
          <w:p w14:paraId="671B11F3" w14:textId="77777777" w:rsidR="00E32459" w:rsidRPr="00B4100D" w:rsidRDefault="00A47E10" w:rsidP="000E3D61">
            <w:pPr>
              <w:rPr>
                <w:b/>
                <w:iCs/>
                <w:sz w:val="20"/>
              </w:rPr>
            </w:pPr>
            <w:r w:rsidRPr="00B4100D">
              <w:rPr>
                <w:b/>
                <w:iCs/>
                <w:sz w:val="20"/>
              </w:rPr>
              <w:t>Labai retas</w:t>
            </w:r>
          </w:p>
        </w:tc>
        <w:tc>
          <w:tcPr>
            <w:tcW w:w="890" w:type="pct"/>
            <w:shd w:val="clear" w:color="auto" w:fill="auto"/>
          </w:tcPr>
          <w:p w14:paraId="148C8068" w14:textId="77777777" w:rsidR="00E32459" w:rsidRPr="00B4100D" w:rsidRDefault="00E32459" w:rsidP="000E3D61">
            <w:pPr>
              <w:rPr>
                <w:b/>
                <w:iCs/>
                <w:sz w:val="20"/>
              </w:rPr>
            </w:pPr>
            <w:r w:rsidRPr="00B4100D">
              <w:rPr>
                <w:b/>
                <w:iCs/>
                <w:sz w:val="20"/>
              </w:rPr>
              <w:t>N</w:t>
            </w:r>
            <w:r w:rsidR="00A47E10" w:rsidRPr="00B4100D">
              <w:rPr>
                <w:b/>
                <w:iCs/>
                <w:sz w:val="20"/>
              </w:rPr>
              <w:t>ežinomas</w:t>
            </w:r>
          </w:p>
        </w:tc>
      </w:tr>
      <w:tr w:rsidR="00823227" w:rsidRPr="00B4100D" w14:paraId="100A00BF" w14:textId="77777777" w:rsidTr="0053168E">
        <w:tc>
          <w:tcPr>
            <w:tcW w:w="754" w:type="pct"/>
            <w:shd w:val="clear" w:color="auto" w:fill="auto"/>
          </w:tcPr>
          <w:p w14:paraId="031AE521" w14:textId="77777777" w:rsidR="00E32459" w:rsidRPr="00B4100D" w:rsidRDefault="00A47E10" w:rsidP="000E3D61">
            <w:pPr>
              <w:autoSpaceDE w:val="0"/>
              <w:autoSpaceDN w:val="0"/>
              <w:adjustRightInd w:val="0"/>
              <w:rPr>
                <w:iCs/>
                <w:sz w:val="20"/>
              </w:rPr>
            </w:pPr>
            <w:r w:rsidRPr="00B4100D">
              <w:rPr>
                <w:rFonts w:eastAsia="SimSun"/>
                <w:sz w:val="20"/>
                <w:lang w:eastAsia="nl-NL"/>
              </w:rPr>
              <w:t>Kraujo ir limfinės sistemos sutrikimai</w:t>
            </w:r>
          </w:p>
        </w:tc>
        <w:tc>
          <w:tcPr>
            <w:tcW w:w="489" w:type="pct"/>
            <w:shd w:val="clear" w:color="auto" w:fill="auto"/>
          </w:tcPr>
          <w:p w14:paraId="39D4CAA0" w14:textId="77777777" w:rsidR="00E32459" w:rsidRPr="00B4100D" w:rsidRDefault="00E32459" w:rsidP="000E3D61">
            <w:pPr>
              <w:rPr>
                <w:iCs/>
                <w:sz w:val="20"/>
              </w:rPr>
            </w:pPr>
          </w:p>
        </w:tc>
        <w:tc>
          <w:tcPr>
            <w:tcW w:w="568" w:type="pct"/>
            <w:shd w:val="clear" w:color="auto" w:fill="auto"/>
          </w:tcPr>
          <w:p w14:paraId="336E3957" w14:textId="77777777" w:rsidR="00E32459" w:rsidRPr="00B4100D" w:rsidRDefault="00E32459" w:rsidP="000E3D61">
            <w:pPr>
              <w:rPr>
                <w:iCs/>
                <w:sz w:val="20"/>
              </w:rPr>
            </w:pPr>
          </w:p>
        </w:tc>
        <w:tc>
          <w:tcPr>
            <w:tcW w:w="590" w:type="pct"/>
            <w:shd w:val="clear" w:color="auto" w:fill="auto"/>
          </w:tcPr>
          <w:p w14:paraId="269A8796" w14:textId="77777777" w:rsidR="00E32459" w:rsidRPr="00B4100D" w:rsidRDefault="00E32459" w:rsidP="000E3D61">
            <w:pPr>
              <w:rPr>
                <w:iCs/>
                <w:sz w:val="20"/>
              </w:rPr>
            </w:pPr>
          </w:p>
        </w:tc>
        <w:tc>
          <w:tcPr>
            <w:tcW w:w="856" w:type="pct"/>
            <w:shd w:val="clear" w:color="auto" w:fill="auto"/>
          </w:tcPr>
          <w:p w14:paraId="11505C30" w14:textId="77777777" w:rsidR="00E32459" w:rsidRPr="00B4100D" w:rsidRDefault="00A47E10" w:rsidP="000E3D61">
            <w:pPr>
              <w:rPr>
                <w:iCs/>
                <w:sz w:val="20"/>
              </w:rPr>
            </w:pPr>
            <w:r w:rsidRPr="00B4100D">
              <w:rPr>
                <w:rFonts w:eastAsia="SimSun"/>
                <w:sz w:val="20"/>
                <w:lang w:eastAsia="nl-NL"/>
              </w:rPr>
              <w:t>Kaulų čiulpų slopinimas</w:t>
            </w:r>
          </w:p>
        </w:tc>
        <w:tc>
          <w:tcPr>
            <w:tcW w:w="852" w:type="pct"/>
            <w:shd w:val="clear" w:color="auto" w:fill="auto"/>
          </w:tcPr>
          <w:p w14:paraId="52ED56FB" w14:textId="77777777" w:rsidR="00E32459" w:rsidRPr="00B4100D" w:rsidRDefault="00E32459" w:rsidP="000E3D61">
            <w:pPr>
              <w:rPr>
                <w:iCs/>
                <w:sz w:val="20"/>
              </w:rPr>
            </w:pPr>
          </w:p>
        </w:tc>
        <w:tc>
          <w:tcPr>
            <w:tcW w:w="890" w:type="pct"/>
            <w:shd w:val="clear" w:color="auto" w:fill="auto"/>
          </w:tcPr>
          <w:p w14:paraId="762EC834" w14:textId="77777777" w:rsidR="00A47E10" w:rsidRPr="00B4100D" w:rsidRDefault="00A47E10" w:rsidP="00A47E10">
            <w:pPr>
              <w:autoSpaceDE w:val="0"/>
              <w:autoSpaceDN w:val="0"/>
              <w:adjustRightInd w:val="0"/>
              <w:rPr>
                <w:rFonts w:eastAsia="SimSun"/>
                <w:sz w:val="20"/>
                <w:lang w:eastAsia="nl-NL"/>
              </w:rPr>
            </w:pPr>
            <w:r w:rsidRPr="00B4100D">
              <w:rPr>
                <w:rFonts w:eastAsia="SimSun"/>
                <w:sz w:val="20"/>
                <w:lang w:eastAsia="nl-NL"/>
              </w:rPr>
              <w:t>Anemija, aplazinė anemija, granulocitozė, leukopenija, trombocitopenija,</w:t>
            </w:r>
          </w:p>
          <w:p w14:paraId="7BC357BE" w14:textId="77777777" w:rsidR="00E32459" w:rsidRPr="00B4100D" w:rsidRDefault="00A47E10" w:rsidP="000E3D61">
            <w:pPr>
              <w:rPr>
                <w:iCs/>
                <w:sz w:val="20"/>
              </w:rPr>
            </w:pPr>
            <w:r w:rsidRPr="00B4100D">
              <w:rPr>
                <w:rFonts w:eastAsia="SimSun"/>
                <w:sz w:val="20"/>
                <w:lang w:eastAsia="nl-NL"/>
              </w:rPr>
              <w:lastRenderedPageBreak/>
              <w:t>porfirijos paūmėjimas ar pasunkėjimas</w:t>
            </w:r>
          </w:p>
        </w:tc>
      </w:tr>
      <w:tr w:rsidR="00823227" w:rsidRPr="00B4100D" w14:paraId="37BD9C6D" w14:textId="77777777" w:rsidTr="0053168E">
        <w:tc>
          <w:tcPr>
            <w:tcW w:w="754" w:type="pct"/>
            <w:shd w:val="clear" w:color="auto" w:fill="auto"/>
          </w:tcPr>
          <w:p w14:paraId="6ACB6871" w14:textId="77777777" w:rsidR="00E32459" w:rsidRPr="00B4100D" w:rsidRDefault="00A47E10" w:rsidP="000E3D61">
            <w:pPr>
              <w:rPr>
                <w:iCs/>
                <w:sz w:val="20"/>
              </w:rPr>
            </w:pPr>
            <w:r w:rsidRPr="00B4100D">
              <w:rPr>
                <w:rFonts w:eastAsia="SimSun"/>
                <w:sz w:val="20"/>
                <w:lang w:eastAsia="nl-NL"/>
              </w:rPr>
              <w:lastRenderedPageBreak/>
              <w:t>Metabolizmo ir mitybos sutrikimai</w:t>
            </w:r>
          </w:p>
        </w:tc>
        <w:tc>
          <w:tcPr>
            <w:tcW w:w="489" w:type="pct"/>
            <w:shd w:val="clear" w:color="auto" w:fill="auto"/>
          </w:tcPr>
          <w:p w14:paraId="187294B7" w14:textId="77777777" w:rsidR="00E32459" w:rsidRPr="00B4100D" w:rsidRDefault="00E32459" w:rsidP="000E3D61">
            <w:pPr>
              <w:rPr>
                <w:iCs/>
                <w:sz w:val="20"/>
              </w:rPr>
            </w:pPr>
          </w:p>
        </w:tc>
        <w:tc>
          <w:tcPr>
            <w:tcW w:w="568" w:type="pct"/>
            <w:shd w:val="clear" w:color="auto" w:fill="auto"/>
          </w:tcPr>
          <w:p w14:paraId="7EBFE60D" w14:textId="77777777" w:rsidR="00E32459" w:rsidRPr="00B4100D" w:rsidRDefault="00A47E10" w:rsidP="000E3D61">
            <w:pPr>
              <w:rPr>
                <w:iCs/>
                <w:sz w:val="20"/>
              </w:rPr>
            </w:pPr>
            <w:r w:rsidRPr="00B4100D">
              <w:rPr>
                <w:rFonts w:eastAsia="SimSun"/>
                <w:sz w:val="20"/>
                <w:lang w:eastAsia="nl-NL"/>
              </w:rPr>
              <w:t>Anoreksija</w:t>
            </w:r>
          </w:p>
        </w:tc>
        <w:tc>
          <w:tcPr>
            <w:tcW w:w="590" w:type="pct"/>
            <w:shd w:val="clear" w:color="auto" w:fill="auto"/>
          </w:tcPr>
          <w:p w14:paraId="22E97C0F" w14:textId="77777777" w:rsidR="00E32459" w:rsidRPr="00B4100D" w:rsidRDefault="00E32459" w:rsidP="000E3D61">
            <w:pPr>
              <w:rPr>
                <w:iCs/>
                <w:sz w:val="20"/>
              </w:rPr>
            </w:pPr>
          </w:p>
        </w:tc>
        <w:tc>
          <w:tcPr>
            <w:tcW w:w="856" w:type="pct"/>
            <w:shd w:val="clear" w:color="auto" w:fill="auto"/>
          </w:tcPr>
          <w:p w14:paraId="7248FE53" w14:textId="77777777" w:rsidR="00E32459" w:rsidRPr="00B4100D" w:rsidRDefault="00E32459" w:rsidP="000E3D61">
            <w:pPr>
              <w:rPr>
                <w:iCs/>
                <w:sz w:val="20"/>
              </w:rPr>
            </w:pPr>
          </w:p>
        </w:tc>
        <w:tc>
          <w:tcPr>
            <w:tcW w:w="852" w:type="pct"/>
            <w:shd w:val="clear" w:color="auto" w:fill="auto"/>
          </w:tcPr>
          <w:p w14:paraId="75519CCD" w14:textId="77777777" w:rsidR="00E32459" w:rsidRPr="00B4100D" w:rsidRDefault="00E32459" w:rsidP="000E3D61">
            <w:pPr>
              <w:rPr>
                <w:iCs/>
                <w:sz w:val="20"/>
              </w:rPr>
            </w:pPr>
          </w:p>
        </w:tc>
        <w:tc>
          <w:tcPr>
            <w:tcW w:w="890" w:type="pct"/>
            <w:shd w:val="clear" w:color="auto" w:fill="auto"/>
          </w:tcPr>
          <w:p w14:paraId="56F95EFB" w14:textId="77777777" w:rsidR="00E32459" w:rsidRPr="00B4100D" w:rsidRDefault="00A47E10" w:rsidP="000E3D61">
            <w:pPr>
              <w:autoSpaceDE w:val="0"/>
              <w:autoSpaceDN w:val="0"/>
              <w:adjustRightInd w:val="0"/>
              <w:rPr>
                <w:iCs/>
                <w:sz w:val="20"/>
              </w:rPr>
            </w:pPr>
            <w:r w:rsidRPr="00B4100D">
              <w:rPr>
                <w:rFonts w:eastAsia="SimSun"/>
                <w:sz w:val="20"/>
                <w:lang w:eastAsia="nl-NL"/>
              </w:rPr>
              <w:t>Hipoglikemija (žr. 4.4 skyrių)</w:t>
            </w:r>
          </w:p>
        </w:tc>
      </w:tr>
      <w:tr w:rsidR="00823227" w:rsidRPr="00B4100D" w14:paraId="5C24C171" w14:textId="77777777" w:rsidTr="0053168E">
        <w:tc>
          <w:tcPr>
            <w:tcW w:w="754" w:type="pct"/>
            <w:shd w:val="clear" w:color="auto" w:fill="auto"/>
          </w:tcPr>
          <w:p w14:paraId="0026C1E4" w14:textId="77777777" w:rsidR="00E32459" w:rsidRPr="00B4100D" w:rsidRDefault="00A47E10" w:rsidP="000E3D61">
            <w:pPr>
              <w:rPr>
                <w:iCs/>
                <w:sz w:val="20"/>
              </w:rPr>
            </w:pPr>
            <w:r w:rsidRPr="00B4100D">
              <w:rPr>
                <w:rFonts w:eastAsia="SimSun"/>
                <w:sz w:val="20"/>
                <w:lang w:eastAsia="nl-NL"/>
              </w:rPr>
              <w:t>Psichikos sutrikimai</w:t>
            </w:r>
          </w:p>
        </w:tc>
        <w:tc>
          <w:tcPr>
            <w:tcW w:w="489" w:type="pct"/>
            <w:shd w:val="clear" w:color="auto" w:fill="auto"/>
          </w:tcPr>
          <w:p w14:paraId="69E8F575" w14:textId="77777777" w:rsidR="00E32459" w:rsidRPr="00B4100D" w:rsidRDefault="00E32459" w:rsidP="000E3D61">
            <w:pPr>
              <w:rPr>
                <w:iCs/>
                <w:sz w:val="20"/>
              </w:rPr>
            </w:pPr>
          </w:p>
        </w:tc>
        <w:tc>
          <w:tcPr>
            <w:tcW w:w="568" w:type="pct"/>
            <w:shd w:val="clear" w:color="auto" w:fill="auto"/>
          </w:tcPr>
          <w:p w14:paraId="291D7B19" w14:textId="7A424CDE" w:rsidR="00E32459" w:rsidRPr="00B4100D" w:rsidRDefault="00B4100D" w:rsidP="000E3D61">
            <w:pPr>
              <w:rPr>
                <w:iCs/>
                <w:sz w:val="20"/>
              </w:rPr>
            </w:pPr>
            <w:r>
              <w:rPr>
                <w:iCs/>
                <w:sz w:val="20"/>
              </w:rPr>
              <w:t>Nuotaikų kaita</w:t>
            </w:r>
          </w:p>
        </w:tc>
        <w:tc>
          <w:tcPr>
            <w:tcW w:w="590" w:type="pct"/>
            <w:shd w:val="clear" w:color="auto" w:fill="auto"/>
          </w:tcPr>
          <w:p w14:paraId="6B083E07" w14:textId="3DAFC81A" w:rsidR="00E32459" w:rsidRPr="00B4100D" w:rsidRDefault="00B4100D" w:rsidP="000E3D61">
            <w:pPr>
              <w:rPr>
                <w:iCs/>
                <w:sz w:val="20"/>
              </w:rPr>
            </w:pPr>
            <w:r>
              <w:rPr>
                <w:iCs/>
                <w:sz w:val="20"/>
              </w:rPr>
              <w:t>Nervingumas</w:t>
            </w:r>
          </w:p>
        </w:tc>
        <w:tc>
          <w:tcPr>
            <w:tcW w:w="856" w:type="pct"/>
            <w:shd w:val="clear" w:color="auto" w:fill="auto"/>
          </w:tcPr>
          <w:p w14:paraId="36408B7A" w14:textId="6058BE97" w:rsidR="00E32459" w:rsidRPr="00B4100D" w:rsidRDefault="00E32459" w:rsidP="000E3D61">
            <w:pPr>
              <w:rPr>
                <w:iCs/>
                <w:sz w:val="20"/>
              </w:rPr>
            </w:pPr>
          </w:p>
        </w:tc>
        <w:tc>
          <w:tcPr>
            <w:tcW w:w="852" w:type="pct"/>
            <w:shd w:val="clear" w:color="auto" w:fill="auto"/>
          </w:tcPr>
          <w:p w14:paraId="6533A7C0" w14:textId="77777777" w:rsidR="00E32459" w:rsidRPr="00B4100D" w:rsidRDefault="00E32459" w:rsidP="000E3D61">
            <w:pPr>
              <w:rPr>
                <w:iCs/>
                <w:sz w:val="20"/>
              </w:rPr>
            </w:pPr>
          </w:p>
        </w:tc>
        <w:tc>
          <w:tcPr>
            <w:tcW w:w="890" w:type="pct"/>
            <w:shd w:val="clear" w:color="auto" w:fill="auto"/>
          </w:tcPr>
          <w:p w14:paraId="09B76830" w14:textId="2C222725" w:rsidR="00E32459" w:rsidRPr="00B4100D" w:rsidRDefault="00C05546" w:rsidP="00A47E10">
            <w:pPr>
              <w:rPr>
                <w:iCs/>
                <w:sz w:val="20"/>
              </w:rPr>
            </w:pPr>
            <w:r>
              <w:rPr>
                <w:rFonts w:eastAsia="SimSun"/>
                <w:sz w:val="20"/>
                <w:lang w:eastAsia="nl-NL"/>
              </w:rPr>
              <w:t>Mieguistumas</w:t>
            </w:r>
            <w:r w:rsidR="00A47E10" w:rsidRPr="00B4100D">
              <w:rPr>
                <w:rFonts w:eastAsia="SimSun"/>
                <w:sz w:val="20"/>
                <w:lang w:eastAsia="nl-NL"/>
              </w:rPr>
              <w:t>,</w:t>
            </w:r>
            <w:r w:rsidR="00AE7A5E" w:rsidRPr="00B4100D">
              <w:rPr>
                <w:rFonts w:eastAsia="SimSun"/>
                <w:sz w:val="20"/>
                <w:lang w:eastAsia="nl-NL"/>
              </w:rPr>
              <w:t xml:space="preserve"> </w:t>
            </w:r>
            <w:r w:rsidR="00B4100D">
              <w:rPr>
                <w:rFonts w:eastAsia="SimSun"/>
                <w:sz w:val="20"/>
                <w:lang w:eastAsia="nl-NL"/>
              </w:rPr>
              <w:t>s</w:t>
            </w:r>
            <w:r w:rsidR="00296DE1">
              <w:rPr>
                <w:rFonts w:eastAsia="SimSun"/>
                <w:sz w:val="20"/>
                <w:lang w:eastAsia="nl-NL"/>
              </w:rPr>
              <w:t>avižudiškas</w:t>
            </w:r>
            <w:r w:rsidR="00586425">
              <w:rPr>
                <w:rFonts w:eastAsia="SimSun"/>
                <w:sz w:val="20"/>
                <w:lang w:eastAsia="nl-NL"/>
              </w:rPr>
              <w:t xml:space="preserve"> e</w:t>
            </w:r>
            <w:r w:rsidR="00B4100D">
              <w:rPr>
                <w:rFonts w:eastAsia="SimSun"/>
                <w:sz w:val="20"/>
                <w:lang w:eastAsia="nl-NL"/>
              </w:rPr>
              <w:t xml:space="preserve">lgesys, psichozė, depresija, haliucinacijos, </w:t>
            </w:r>
            <w:r w:rsidR="00586425">
              <w:rPr>
                <w:rFonts w:eastAsia="SimSun"/>
                <w:sz w:val="20"/>
                <w:lang w:eastAsia="nl-NL"/>
              </w:rPr>
              <w:t>nerimavimas</w:t>
            </w:r>
            <w:r w:rsidR="00B4100D">
              <w:rPr>
                <w:rFonts w:eastAsia="SimSun"/>
                <w:sz w:val="20"/>
                <w:lang w:eastAsia="nl-NL"/>
              </w:rPr>
              <w:t xml:space="preserve">, </w:t>
            </w:r>
            <w:r w:rsidR="00586425">
              <w:rPr>
                <w:rFonts w:eastAsia="SimSun"/>
                <w:sz w:val="20"/>
                <w:lang w:eastAsia="nl-NL"/>
              </w:rPr>
              <w:t>ažitacija</w:t>
            </w:r>
            <w:r w:rsidR="00B70FF0">
              <w:rPr>
                <w:rFonts w:eastAsia="SimSun"/>
                <w:sz w:val="20"/>
                <w:lang w:eastAsia="nl-NL"/>
              </w:rPr>
              <w:t>, sumišimas, kliedesiai, manija ir miego sutrikima</w:t>
            </w:r>
            <w:r w:rsidR="00586425">
              <w:rPr>
                <w:rFonts w:eastAsia="SimSun"/>
                <w:sz w:val="20"/>
                <w:lang w:eastAsia="nl-NL"/>
              </w:rPr>
              <w:t>i</w:t>
            </w:r>
          </w:p>
        </w:tc>
      </w:tr>
      <w:tr w:rsidR="00823227" w:rsidRPr="00B4100D" w14:paraId="0B80A432" w14:textId="77777777" w:rsidTr="0053168E">
        <w:tc>
          <w:tcPr>
            <w:tcW w:w="754" w:type="pct"/>
            <w:shd w:val="clear" w:color="auto" w:fill="auto"/>
          </w:tcPr>
          <w:p w14:paraId="091DFB3F" w14:textId="77777777" w:rsidR="00E32459" w:rsidRPr="00B4100D" w:rsidRDefault="00AE7A5E" w:rsidP="000E3D61">
            <w:pPr>
              <w:rPr>
                <w:iCs/>
                <w:sz w:val="20"/>
              </w:rPr>
            </w:pPr>
            <w:r w:rsidRPr="00B4100D">
              <w:rPr>
                <w:rFonts w:eastAsia="SimSun"/>
                <w:sz w:val="20"/>
                <w:lang w:eastAsia="nl-NL"/>
              </w:rPr>
              <w:t>Nervų sistemos sutrikimai</w:t>
            </w:r>
          </w:p>
        </w:tc>
        <w:tc>
          <w:tcPr>
            <w:tcW w:w="489" w:type="pct"/>
            <w:shd w:val="clear" w:color="auto" w:fill="auto"/>
          </w:tcPr>
          <w:p w14:paraId="5E3C68A4" w14:textId="77777777" w:rsidR="00E32459" w:rsidRPr="00B4100D" w:rsidRDefault="00E32459" w:rsidP="000E3D61">
            <w:pPr>
              <w:rPr>
                <w:iCs/>
                <w:sz w:val="20"/>
              </w:rPr>
            </w:pPr>
          </w:p>
        </w:tc>
        <w:tc>
          <w:tcPr>
            <w:tcW w:w="568" w:type="pct"/>
            <w:shd w:val="clear" w:color="auto" w:fill="auto"/>
          </w:tcPr>
          <w:p w14:paraId="4E8743BA" w14:textId="77777777" w:rsidR="00E32459" w:rsidRPr="00B4100D" w:rsidRDefault="00E32459" w:rsidP="000E3D61">
            <w:pPr>
              <w:rPr>
                <w:iCs/>
                <w:sz w:val="20"/>
              </w:rPr>
            </w:pPr>
          </w:p>
        </w:tc>
        <w:tc>
          <w:tcPr>
            <w:tcW w:w="590" w:type="pct"/>
            <w:shd w:val="clear" w:color="auto" w:fill="auto"/>
          </w:tcPr>
          <w:p w14:paraId="363E22D8" w14:textId="77777777" w:rsidR="00E32459" w:rsidRPr="00B4100D" w:rsidRDefault="00E32459" w:rsidP="000E3D61">
            <w:pPr>
              <w:rPr>
                <w:iCs/>
                <w:sz w:val="20"/>
              </w:rPr>
            </w:pPr>
          </w:p>
        </w:tc>
        <w:tc>
          <w:tcPr>
            <w:tcW w:w="856" w:type="pct"/>
            <w:shd w:val="clear" w:color="auto" w:fill="auto"/>
          </w:tcPr>
          <w:p w14:paraId="08CB7E02" w14:textId="77777777" w:rsidR="00E32459" w:rsidRPr="00B4100D" w:rsidRDefault="00AE7A5E" w:rsidP="000E3D61">
            <w:pPr>
              <w:rPr>
                <w:iCs/>
                <w:sz w:val="20"/>
              </w:rPr>
            </w:pPr>
            <w:r w:rsidRPr="00B4100D">
              <w:rPr>
                <w:rFonts w:eastAsia="SimSun"/>
                <w:sz w:val="20"/>
                <w:lang w:eastAsia="nl-NL"/>
              </w:rPr>
              <w:t>Traukuliai</w:t>
            </w:r>
          </w:p>
        </w:tc>
        <w:tc>
          <w:tcPr>
            <w:tcW w:w="852" w:type="pct"/>
            <w:shd w:val="clear" w:color="auto" w:fill="auto"/>
          </w:tcPr>
          <w:p w14:paraId="01ADB56C" w14:textId="77777777" w:rsidR="00E32459" w:rsidRPr="00B4100D" w:rsidRDefault="00E32459" w:rsidP="000E3D61">
            <w:pPr>
              <w:rPr>
                <w:iCs/>
                <w:sz w:val="20"/>
              </w:rPr>
            </w:pPr>
          </w:p>
        </w:tc>
        <w:tc>
          <w:tcPr>
            <w:tcW w:w="890" w:type="pct"/>
            <w:shd w:val="clear" w:color="auto" w:fill="auto"/>
          </w:tcPr>
          <w:p w14:paraId="0015A789" w14:textId="77777777" w:rsidR="00E32459" w:rsidRPr="00B4100D" w:rsidRDefault="000363CD" w:rsidP="009D0A05">
            <w:pPr>
              <w:autoSpaceDE w:val="0"/>
              <w:autoSpaceDN w:val="0"/>
              <w:adjustRightInd w:val="0"/>
              <w:rPr>
                <w:rFonts w:eastAsia="SimSun"/>
                <w:sz w:val="20"/>
                <w:lang w:eastAsia="nl-NL"/>
              </w:rPr>
            </w:pPr>
            <w:r w:rsidRPr="00B4100D">
              <w:rPr>
                <w:rFonts w:eastAsia="SimSun"/>
                <w:sz w:val="20"/>
                <w:lang w:eastAsia="nl-NL"/>
              </w:rPr>
              <w:t>E</w:t>
            </w:r>
            <w:r w:rsidR="009D0A05" w:rsidRPr="00B4100D">
              <w:rPr>
                <w:rFonts w:eastAsia="SimSun"/>
                <w:sz w:val="20"/>
                <w:lang w:eastAsia="nl-NL"/>
              </w:rPr>
              <w:t xml:space="preserve">mociniai sutrikimai, </w:t>
            </w:r>
            <w:r w:rsidR="00F24F43" w:rsidRPr="00B4100D">
              <w:rPr>
                <w:rFonts w:eastAsia="SimSun"/>
                <w:sz w:val="20"/>
                <w:lang w:eastAsia="nl-NL"/>
              </w:rPr>
              <w:t>galvos skausmas</w:t>
            </w:r>
            <w:r w:rsidR="00E32459" w:rsidRPr="00B4100D">
              <w:rPr>
                <w:rFonts w:eastAsia="SimSun"/>
                <w:sz w:val="20"/>
                <w:lang w:eastAsia="nl-NL"/>
              </w:rPr>
              <w:t>,</w:t>
            </w:r>
          </w:p>
          <w:p w14:paraId="59C8E832" w14:textId="77777777" w:rsidR="00E32459" w:rsidRPr="00B4100D" w:rsidRDefault="00FD7186" w:rsidP="00FD7186">
            <w:pPr>
              <w:autoSpaceDE w:val="0"/>
              <w:autoSpaceDN w:val="0"/>
              <w:adjustRightInd w:val="0"/>
              <w:rPr>
                <w:rFonts w:eastAsia="SimSun"/>
                <w:sz w:val="20"/>
                <w:lang w:eastAsia="nl-NL"/>
              </w:rPr>
            </w:pPr>
            <w:r w:rsidRPr="00B4100D">
              <w:rPr>
                <w:rFonts w:eastAsia="SimSun"/>
                <w:sz w:val="20"/>
                <w:lang w:eastAsia="nl-NL"/>
              </w:rPr>
              <w:t xml:space="preserve">ekstrapiramidiniai sutrikimai, tokie kaip distonija, diskinezija, </w:t>
            </w:r>
            <w:r w:rsidR="00E32459" w:rsidRPr="00B4100D">
              <w:rPr>
                <w:rFonts w:eastAsia="SimSun"/>
                <w:sz w:val="20"/>
                <w:lang w:eastAsia="nl-NL"/>
              </w:rPr>
              <w:t>tremor</w:t>
            </w:r>
            <w:r w:rsidRPr="00B4100D">
              <w:rPr>
                <w:rFonts w:eastAsia="SimSun"/>
                <w:sz w:val="20"/>
                <w:lang w:eastAsia="nl-NL"/>
              </w:rPr>
              <w:t>as</w:t>
            </w:r>
            <w:r w:rsidR="00E32459" w:rsidRPr="00B4100D">
              <w:rPr>
                <w:rFonts w:eastAsia="SimSun"/>
                <w:sz w:val="20"/>
                <w:lang w:eastAsia="nl-NL"/>
              </w:rPr>
              <w:t xml:space="preserve"> </w:t>
            </w:r>
            <w:r w:rsidRPr="00B4100D">
              <w:rPr>
                <w:rFonts w:eastAsia="SimSun"/>
                <w:sz w:val="20"/>
                <w:lang w:eastAsia="nl-NL"/>
              </w:rPr>
              <w:t>(žr. 4.4 skyrių)</w:t>
            </w:r>
          </w:p>
        </w:tc>
      </w:tr>
      <w:tr w:rsidR="00823227" w:rsidRPr="00B4100D" w14:paraId="7402B384" w14:textId="77777777" w:rsidTr="0053168E">
        <w:tc>
          <w:tcPr>
            <w:tcW w:w="754" w:type="pct"/>
            <w:shd w:val="clear" w:color="auto" w:fill="auto"/>
          </w:tcPr>
          <w:p w14:paraId="6127D97E" w14:textId="77777777" w:rsidR="00E32459" w:rsidRPr="00B4100D" w:rsidRDefault="00545283" w:rsidP="000E3D61">
            <w:pPr>
              <w:rPr>
                <w:iCs/>
                <w:sz w:val="20"/>
              </w:rPr>
            </w:pPr>
            <w:r w:rsidRPr="00B4100D">
              <w:rPr>
                <w:rFonts w:eastAsia="SimSun"/>
                <w:sz w:val="20"/>
                <w:lang w:eastAsia="nl-NL"/>
              </w:rPr>
              <w:t>Akių sutrikimai</w:t>
            </w:r>
          </w:p>
        </w:tc>
        <w:tc>
          <w:tcPr>
            <w:tcW w:w="489" w:type="pct"/>
            <w:shd w:val="clear" w:color="auto" w:fill="auto"/>
          </w:tcPr>
          <w:p w14:paraId="50CFB3FA" w14:textId="77777777" w:rsidR="00E32459" w:rsidRPr="00B4100D" w:rsidRDefault="00E32459" w:rsidP="000E3D61">
            <w:pPr>
              <w:rPr>
                <w:iCs/>
                <w:sz w:val="20"/>
              </w:rPr>
            </w:pPr>
          </w:p>
        </w:tc>
        <w:tc>
          <w:tcPr>
            <w:tcW w:w="568" w:type="pct"/>
            <w:shd w:val="clear" w:color="auto" w:fill="auto"/>
          </w:tcPr>
          <w:p w14:paraId="4B386BAA" w14:textId="77777777" w:rsidR="00E32459" w:rsidRPr="00B4100D" w:rsidRDefault="00E32459" w:rsidP="000E3D61">
            <w:pPr>
              <w:rPr>
                <w:iCs/>
                <w:sz w:val="20"/>
              </w:rPr>
            </w:pPr>
          </w:p>
        </w:tc>
        <w:tc>
          <w:tcPr>
            <w:tcW w:w="590" w:type="pct"/>
            <w:shd w:val="clear" w:color="auto" w:fill="auto"/>
          </w:tcPr>
          <w:p w14:paraId="4E873D89" w14:textId="77777777" w:rsidR="00E32459" w:rsidRPr="00B4100D" w:rsidRDefault="00E32459" w:rsidP="000E3D61">
            <w:pPr>
              <w:rPr>
                <w:iCs/>
                <w:sz w:val="20"/>
              </w:rPr>
            </w:pPr>
          </w:p>
        </w:tc>
        <w:tc>
          <w:tcPr>
            <w:tcW w:w="856" w:type="pct"/>
            <w:shd w:val="clear" w:color="auto" w:fill="auto"/>
          </w:tcPr>
          <w:p w14:paraId="35509660" w14:textId="77777777" w:rsidR="00E32459" w:rsidRPr="00B4100D" w:rsidRDefault="00545283" w:rsidP="00545283">
            <w:pPr>
              <w:autoSpaceDE w:val="0"/>
              <w:autoSpaceDN w:val="0"/>
              <w:adjustRightInd w:val="0"/>
              <w:rPr>
                <w:iCs/>
                <w:sz w:val="20"/>
              </w:rPr>
            </w:pPr>
            <w:r w:rsidRPr="00B4100D">
              <w:rPr>
                <w:rFonts w:eastAsia="SimSun"/>
                <w:sz w:val="20"/>
                <w:lang w:eastAsia="nl-NL"/>
              </w:rPr>
              <w:t xml:space="preserve">Retinopatija su pigmentacijos pokyčiais ir </w:t>
            </w:r>
            <w:r w:rsidR="000363CD" w:rsidRPr="00B4100D">
              <w:rPr>
                <w:rFonts w:eastAsia="SimSun"/>
                <w:sz w:val="20"/>
                <w:lang w:eastAsia="nl-NL"/>
              </w:rPr>
              <w:t xml:space="preserve">poveikiu </w:t>
            </w:r>
            <w:r w:rsidRPr="00B4100D">
              <w:rPr>
                <w:rFonts w:eastAsia="SimSun"/>
                <w:sz w:val="20"/>
                <w:lang w:eastAsia="nl-NL"/>
              </w:rPr>
              <w:t>akiploči</w:t>
            </w:r>
            <w:r w:rsidR="000363CD" w:rsidRPr="00B4100D">
              <w:rPr>
                <w:rFonts w:eastAsia="SimSun"/>
                <w:sz w:val="20"/>
                <w:lang w:eastAsia="nl-NL"/>
              </w:rPr>
              <w:t>ui</w:t>
            </w:r>
            <w:r w:rsidR="00E32459" w:rsidRPr="00B4100D">
              <w:rPr>
                <w:rFonts w:eastAsia="SimSun"/>
                <w:sz w:val="20"/>
                <w:vertAlign w:val="superscript"/>
                <w:lang w:eastAsia="nl-NL"/>
              </w:rPr>
              <w:t>1</w:t>
            </w:r>
          </w:p>
        </w:tc>
        <w:tc>
          <w:tcPr>
            <w:tcW w:w="852" w:type="pct"/>
            <w:shd w:val="clear" w:color="auto" w:fill="auto"/>
          </w:tcPr>
          <w:p w14:paraId="6FA5A009" w14:textId="77777777" w:rsidR="00E32459" w:rsidRPr="00B4100D" w:rsidRDefault="00E32459" w:rsidP="000E3D61">
            <w:pPr>
              <w:rPr>
                <w:iCs/>
                <w:sz w:val="20"/>
              </w:rPr>
            </w:pPr>
          </w:p>
        </w:tc>
        <w:tc>
          <w:tcPr>
            <w:tcW w:w="890" w:type="pct"/>
            <w:shd w:val="clear" w:color="auto" w:fill="auto"/>
          </w:tcPr>
          <w:p w14:paraId="3FF97E31" w14:textId="77777777" w:rsidR="00545283" w:rsidRPr="00B4100D" w:rsidRDefault="00545283" w:rsidP="00545283">
            <w:pPr>
              <w:autoSpaceDE w:val="0"/>
              <w:autoSpaceDN w:val="0"/>
              <w:adjustRightInd w:val="0"/>
              <w:rPr>
                <w:rFonts w:eastAsia="SimSun"/>
                <w:sz w:val="20"/>
                <w:lang w:eastAsia="nl-NL"/>
              </w:rPr>
            </w:pPr>
            <w:r w:rsidRPr="00B4100D">
              <w:rPr>
                <w:rFonts w:eastAsia="SimSun"/>
                <w:sz w:val="20"/>
                <w:lang w:eastAsia="nl-NL"/>
              </w:rPr>
              <w:t>Pacientams, kuriems atsiranda tinklainės pokyčių, iš pradžių gali nebūti simptomų arba gali būti paracentrinių, pericentrinių žiedų pavidalo ir smilkininių pusių akipločio ištrūkių (skotomų), gali sutrikti spalvų skyrimas.</w:t>
            </w:r>
          </w:p>
          <w:p w14:paraId="616B00A1" w14:textId="77777777" w:rsidR="00E32459" w:rsidRPr="00B4100D" w:rsidRDefault="00545283" w:rsidP="000E3D61">
            <w:pPr>
              <w:autoSpaceDE w:val="0"/>
              <w:autoSpaceDN w:val="0"/>
              <w:adjustRightInd w:val="0"/>
              <w:rPr>
                <w:rFonts w:eastAsia="SimSun"/>
                <w:sz w:val="20"/>
                <w:lang w:eastAsia="nl-NL"/>
              </w:rPr>
            </w:pPr>
            <w:r w:rsidRPr="00B4100D">
              <w:rPr>
                <w:rFonts w:eastAsia="SimSun"/>
                <w:sz w:val="20"/>
                <w:lang w:eastAsia="nl-NL"/>
              </w:rPr>
              <w:t>Ragenos pokyčiai, įskaitant edemą ir drumstis</w:t>
            </w:r>
            <w:r w:rsidR="00E32459" w:rsidRPr="00B4100D">
              <w:rPr>
                <w:rFonts w:eastAsia="SimSun"/>
                <w:sz w:val="20"/>
                <w:vertAlign w:val="superscript"/>
                <w:lang w:eastAsia="nl-NL"/>
              </w:rPr>
              <w:t>2</w:t>
            </w:r>
          </w:p>
          <w:p w14:paraId="610410BB" w14:textId="77777777" w:rsidR="00E32459" w:rsidRPr="00B4100D" w:rsidRDefault="00545283" w:rsidP="000E3D61">
            <w:pPr>
              <w:rPr>
                <w:iCs/>
                <w:sz w:val="20"/>
              </w:rPr>
            </w:pPr>
            <w:r w:rsidRPr="00B4100D">
              <w:rPr>
                <w:rFonts w:eastAsia="SimSun"/>
                <w:sz w:val="20"/>
                <w:lang w:eastAsia="nl-NL"/>
              </w:rPr>
              <w:t>Neryškus matymas dėl akomodacijos sutrikimo</w:t>
            </w:r>
            <w:r w:rsidR="00E32459" w:rsidRPr="00B4100D">
              <w:rPr>
                <w:rFonts w:eastAsia="SimSun"/>
                <w:sz w:val="20"/>
                <w:vertAlign w:val="superscript"/>
                <w:lang w:eastAsia="nl-NL"/>
              </w:rPr>
              <w:t>3</w:t>
            </w:r>
          </w:p>
        </w:tc>
      </w:tr>
      <w:tr w:rsidR="00823227" w:rsidRPr="00B4100D" w14:paraId="2FCA452D" w14:textId="77777777" w:rsidTr="0053168E">
        <w:tc>
          <w:tcPr>
            <w:tcW w:w="754" w:type="pct"/>
            <w:shd w:val="clear" w:color="auto" w:fill="auto"/>
          </w:tcPr>
          <w:p w14:paraId="26ADCA23" w14:textId="77777777" w:rsidR="00E32459" w:rsidRPr="00B4100D" w:rsidRDefault="00545283" w:rsidP="000E3D61">
            <w:pPr>
              <w:rPr>
                <w:iCs/>
                <w:sz w:val="20"/>
              </w:rPr>
            </w:pPr>
            <w:r w:rsidRPr="00B4100D">
              <w:rPr>
                <w:rFonts w:eastAsia="SimSun"/>
                <w:sz w:val="20"/>
                <w:lang w:eastAsia="nl-NL"/>
              </w:rPr>
              <w:t>Ausų ir labirintų sutrikimai</w:t>
            </w:r>
          </w:p>
        </w:tc>
        <w:tc>
          <w:tcPr>
            <w:tcW w:w="489" w:type="pct"/>
            <w:shd w:val="clear" w:color="auto" w:fill="auto"/>
          </w:tcPr>
          <w:p w14:paraId="74306BDD" w14:textId="77777777" w:rsidR="00E32459" w:rsidRPr="00B4100D" w:rsidRDefault="00E32459" w:rsidP="000E3D61">
            <w:pPr>
              <w:rPr>
                <w:iCs/>
                <w:sz w:val="20"/>
              </w:rPr>
            </w:pPr>
          </w:p>
        </w:tc>
        <w:tc>
          <w:tcPr>
            <w:tcW w:w="568" w:type="pct"/>
            <w:shd w:val="clear" w:color="auto" w:fill="auto"/>
          </w:tcPr>
          <w:p w14:paraId="00A7049C" w14:textId="77777777" w:rsidR="00E32459" w:rsidRPr="00B4100D" w:rsidRDefault="00E32459" w:rsidP="000E3D61">
            <w:pPr>
              <w:rPr>
                <w:iCs/>
                <w:sz w:val="20"/>
              </w:rPr>
            </w:pPr>
          </w:p>
        </w:tc>
        <w:tc>
          <w:tcPr>
            <w:tcW w:w="590" w:type="pct"/>
            <w:shd w:val="clear" w:color="auto" w:fill="auto"/>
          </w:tcPr>
          <w:p w14:paraId="226889F3" w14:textId="77777777" w:rsidR="00E32459" w:rsidRPr="00B4100D" w:rsidRDefault="00E32459" w:rsidP="000E3D61">
            <w:pPr>
              <w:rPr>
                <w:iCs/>
                <w:sz w:val="20"/>
              </w:rPr>
            </w:pPr>
          </w:p>
        </w:tc>
        <w:tc>
          <w:tcPr>
            <w:tcW w:w="856" w:type="pct"/>
            <w:shd w:val="clear" w:color="auto" w:fill="auto"/>
          </w:tcPr>
          <w:p w14:paraId="1F80E860" w14:textId="77777777" w:rsidR="00E32459" w:rsidRPr="00B4100D" w:rsidRDefault="00E32459" w:rsidP="000E3D61">
            <w:pPr>
              <w:rPr>
                <w:iCs/>
                <w:sz w:val="20"/>
              </w:rPr>
            </w:pPr>
          </w:p>
        </w:tc>
        <w:tc>
          <w:tcPr>
            <w:tcW w:w="852" w:type="pct"/>
            <w:shd w:val="clear" w:color="auto" w:fill="auto"/>
          </w:tcPr>
          <w:p w14:paraId="2F5F7997" w14:textId="77777777" w:rsidR="00E32459" w:rsidRPr="00B4100D" w:rsidRDefault="00545283" w:rsidP="000E3D61">
            <w:pPr>
              <w:autoSpaceDE w:val="0"/>
              <w:autoSpaceDN w:val="0"/>
              <w:adjustRightInd w:val="0"/>
              <w:rPr>
                <w:rFonts w:eastAsia="SimSun"/>
                <w:sz w:val="20"/>
                <w:lang w:eastAsia="nl-NL"/>
              </w:rPr>
            </w:pPr>
            <w:r w:rsidRPr="00B4100D">
              <w:rPr>
                <w:rFonts w:eastAsia="SimSun"/>
                <w:sz w:val="20"/>
                <w:lang w:eastAsia="nl-NL"/>
              </w:rPr>
              <w:t>Klausos praradimas</w:t>
            </w:r>
          </w:p>
          <w:p w14:paraId="7CC8555B" w14:textId="77777777" w:rsidR="00E32459" w:rsidRPr="00B4100D" w:rsidRDefault="00E32459" w:rsidP="000E3D61">
            <w:pPr>
              <w:rPr>
                <w:sz w:val="20"/>
              </w:rPr>
            </w:pPr>
            <w:r w:rsidRPr="00B4100D">
              <w:rPr>
                <w:rFonts w:eastAsia="SimSun"/>
                <w:sz w:val="20"/>
                <w:lang w:eastAsia="nl-NL"/>
              </w:rPr>
              <w:t>(</w:t>
            </w:r>
            <w:r w:rsidR="00545283" w:rsidRPr="00B4100D">
              <w:rPr>
                <w:rFonts w:eastAsia="SimSun"/>
                <w:sz w:val="20"/>
                <w:lang w:eastAsia="nl-NL"/>
              </w:rPr>
              <w:t>negrįžtamas</w:t>
            </w:r>
            <w:r w:rsidRPr="00B4100D">
              <w:rPr>
                <w:rFonts w:eastAsia="SimSun"/>
                <w:sz w:val="20"/>
                <w:lang w:eastAsia="nl-NL"/>
              </w:rPr>
              <w:t>)</w:t>
            </w:r>
          </w:p>
        </w:tc>
        <w:tc>
          <w:tcPr>
            <w:tcW w:w="890" w:type="pct"/>
            <w:shd w:val="clear" w:color="auto" w:fill="auto"/>
          </w:tcPr>
          <w:p w14:paraId="2C7F6ECC" w14:textId="67598911" w:rsidR="00E32459" w:rsidRPr="00B4100D" w:rsidRDefault="000363CD" w:rsidP="006A122F">
            <w:pPr>
              <w:rPr>
                <w:iCs/>
                <w:sz w:val="20"/>
              </w:rPr>
            </w:pPr>
            <w:r w:rsidRPr="00B4100D">
              <w:rPr>
                <w:rFonts w:eastAsia="SimSun"/>
                <w:sz w:val="20"/>
                <w:lang w:eastAsia="nl-NL"/>
              </w:rPr>
              <w:t xml:space="preserve">Galvos </w:t>
            </w:r>
            <w:r w:rsidR="006A122F" w:rsidRPr="00B4100D">
              <w:rPr>
                <w:rFonts w:eastAsia="SimSun"/>
                <w:sz w:val="20"/>
                <w:lang w:eastAsia="nl-NL"/>
              </w:rPr>
              <w:t xml:space="preserve">svaigimas </w:t>
            </w:r>
            <w:r w:rsidRPr="00B4100D">
              <w:rPr>
                <w:rFonts w:eastAsia="SimSun"/>
                <w:sz w:val="20"/>
                <w:lang w:eastAsia="nl-NL"/>
              </w:rPr>
              <w:t>, spengimas ausyse</w:t>
            </w:r>
          </w:p>
        </w:tc>
      </w:tr>
      <w:tr w:rsidR="00823227" w:rsidRPr="00B4100D" w14:paraId="6CF14B24" w14:textId="77777777" w:rsidTr="0053168E">
        <w:tc>
          <w:tcPr>
            <w:tcW w:w="754" w:type="pct"/>
            <w:shd w:val="clear" w:color="auto" w:fill="auto"/>
          </w:tcPr>
          <w:p w14:paraId="7DCCAA9B" w14:textId="77777777" w:rsidR="00E32459" w:rsidRPr="00B4100D" w:rsidRDefault="00545283" w:rsidP="000E3D61">
            <w:pPr>
              <w:rPr>
                <w:iCs/>
                <w:sz w:val="20"/>
              </w:rPr>
            </w:pPr>
            <w:r w:rsidRPr="00B4100D">
              <w:rPr>
                <w:rFonts w:eastAsia="SimSun"/>
                <w:sz w:val="20"/>
                <w:lang w:eastAsia="nl-NL"/>
              </w:rPr>
              <w:t>Širdies sutrikimai</w:t>
            </w:r>
          </w:p>
        </w:tc>
        <w:tc>
          <w:tcPr>
            <w:tcW w:w="489" w:type="pct"/>
            <w:shd w:val="clear" w:color="auto" w:fill="auto"/>
          </w:tcPr>
          <w:p w14:paraId="2FBA05A7" w14:textId="77777777" w:rsidR="00E32459" w:rsidRPr="00B4100D" w:rsidRDefault="00E32459" w:rsidP="000E3D61">
            <w:pPr>
              <w:rPr>
                <w:iCs/>
                <w:sz w:val="20"/>
              </w:rPr>
            </w:pPr>
          </w:p>
        </w:tc>
        <w:tc>
          <w:tcPr>
            <w:tcW w:w="568" w:type="pct"/>
            <w:shd w:val="clear" w:color="auto" w:fill="auto"/>
          </w:tcPr>
          <w:p w14:paraId="0E77AF90" w14:textId="77777777" w:rsidR="00E32459" w:rsidRPr="00B4100D" w:rsidRDefault="00E32459" w:rsidP="000E3D61">
            <w:pPr>
              <w:rPr>
                <w:iCs/>
                <w:sz w:val="20"/>
              </w:rPr>
            </w:pPr>
          </w:p>
        </w:tc>
        <w:tc>
          <w:tcPr>
            <w:tcW w:w="590" w:type="pct"/>
            <w:shd w:val="clear" w:color="auto" w:fill="auto"/>
          </w:tcPr>
          <w:p w14:paraId="2096DD43" w14:textId="77777777" w:rsidR="00E32459" w:rsidRPr="00B4100D" w:rsidRDefault="00E32459" w:rsidP="000E3D61">
            <w:pPr>
              <w:rPr>
                <w:iCs/>
                <w:sz w:val="20"/>
              </w:rPr>
            </w:pPr>
          </w:p>
        </w:tc>
        <w:tc>
          <w:tcPr>
            <w:tcW w:w="856" w:type="pct"/>
            <w:shd w:val="clear" w:color="auto" w:fill="auto"/>
          </w:tcPr>
          <w:p w14:paraId="56B324C9" w14:textId="77777777" w:rsidR="00E32459" w:rsidRPr="00B4100D" w:rsidRDefault="00545283" w:rsidP="000E3D61">
            <w:pPr>
              <w:autoSpaceDE w:val="0"/>
              <w:autoSpaceDN w:val="0"/>
              <w:adjustRightInd w:val="0"/>
              <w:rPr>
                <w:rFonts w:eastAsia="SimSun"/>
                <w:sz w:val="20"/>
                <w:lang w:eastAsia="nl-NL"/>
              </w:rPr>
            </w:pPr>
            <w:r w:rsidRPr="00B4100D">
              <w:rPr>
                <w:rFonts w:eastAsia="SimSun"/>
                <w:sz w:val="20"/>
                <w:lang w:eastAsia="nl-NL"/>
              </w:rPr>
              <w:t xml:space="preserve">Kardiomiopatija, dėl kurios gali pasireikšti širdies nepakankamumas (keliais atvejais pasibaigęs mirtimi). </w:t>
            </w:r>
            <w:r w:rsidR="00E32459" w:rsidRPr="00B4100D">
              <w:rPr>
                <w:rFonts w:eastAsia="SimSun"/>
                <w:sz w:val="20"/>
                <w:lang w:eastAsia="nl-NL"/>
              </w:rPr>
              <w:t>T</w:t>
            </w:r>
            <w:r w:rsidR="00EB3360" w:rsidRPr="00B4100D">
              <w:rPr>
                <w:rFonts w:eastAsia="SimSun"/>
                <w:sz w:val="20"/>
                <w:lang w:eastAsia="nl-NL"/>
              </w:rPr>
              <w:t xml:space="preserve"> piko</w:t>
            </w:r>
            <w:r w:rsidR="00E32459" w:rsidRPr="00B4100D">
              <w:rPr>
                <w:rFonts w:eastAsia="SimSun"/>
                <w:sz w:val="20"/>
                <w:lang w:eastAsia="nl-NL"/>
              </w:rPr>
              <w:t xml:space="preserve"> </w:t>
            </w:r>
            <w:r w:rsidR="00EB3360" w:rsidRPr="00B4100D">
              <w:rPr>
                <w:rFonts w:eastAsia="SimSun"/>
                <w:sz w:val="20"/>
                <w:lang w:eastAsia="nl-NL"/>
              </w:rPr>
              <w:t>nukrypimai</w:t>
            </w:r>
          </w:p>
          <w:p w14:paraId="31971DDE" w14:textId="77777777" w:rsidR="00E32459" w:rsidRPr="00B4100D" w:rsidRDefault="00E32459" w:rsidP="000E3D61">
            <w:pPr>
              <w:rPr>
                <w:iCs/>
                <w:sz w:val="20"/>
              </w:rPr>
            </w:pPr>
            <w:r w:rsidRPr="00B4100D">
              <w:rPr>
                <w:rFonts w:eastAsia="SimSun"/>
                <w:sz w:val="20"/>
                <w:lang w:eastAsia="nl-NL"/>
              </w:rPr>
              <w:t>E</w:t>
            </w:r>
            <w:r w:rsidR="00EB3360" w:rsidRPr="00B4100D">
              <w:rPr>
                <w:rFonts w:eastAsia="SimSun"/>
                <w:sz w:val="20"/>
                <w:lang w:eastAsia="nl-NL"/>
              </w:rPr>
              <w:t>K</w:t>
            </w:r>
            <w:r w:rsidRPr="00B4100D">
              <w:rPr>
                <w:rFonts w:eastAsia="SimSun"/>
                <w:sz w:val="20"/>
                <w:lang w:eastAsia="nl-NL"/>
              </w:rPr>
              <w:t>G.</w:t>
            </w:r>
          </w:p>
        </w:tc>
        <w:tc>
          <w:tcPr>
            <w:tcW w:w="852" w:type="pct"/>
            <w:shd w:val="clear" w:color="auto" w:fill="auto"/>
          </w:tcPr>
          <w:p w14:paraId="0D61A83D" w14:textId="77777777" w:rsidR="00E32459" w:rsidRPr="00B4100D" w:rsidRDefault="00E32459" w:rsidP="000E3D61">
            <w:pPr>
              <w:rPr>
                <w:iCs/>
                <w:sz w:val="20"/>
              </w:rPr>
            </w:pPr>
          </w:p>
        </w:tc>
        <w:tc>
          <w:tcPr>
            <w:tcW w:w="890" w:type="pct"/>
            <w:shd w:val="clear" w:color="auto" w:fill="auto"/>
          </w:tcPr>
          <w:p w14:paraId="767FF6C9" w14:textId="77777777" w:rsidR="00E32459" w:rsidRPr="00B4100D" w:rsidRDefault="00EB3360" w:rsidP="00EB3360">
            <w:pPr>
              <w:autoSpaceDE w:val="0"/>
              <w:autoSpaceDN w:val="0"/>
              <w:adjustRightInd w:val="0"/>
              <w:rPr>
                <w:rFonts w:eastAsia="SimSun"/>
                <w:sz w:val="20"/>
                <w:lang w:eastAsia="nl-NL"/>
              </w:rPr>
            </w:pPr>
            <w:r w:rsidRPr="00B4100D">
              <w:rPr>
                <w:rFonts w:eastAsia="SimSun"/>
                <w:sz w:val="20"/>
                <w:lang w:eastAsia="nl-NL"/>
              </w:rPr>
              <w:t>Laidumo sutrikimai (Hiso pluošto kojytės blokada ar atrioventrikulinė blokada)</w:t>
            </w:r>
            <w:r w:rsidR="00E32459" w:rsidRPr="00B4100D">
              <w:rPr>
                <w:rFonts w:eastAsia="SimSun"/>
                <w:sz w:val="20"/>
                <w:lang w:eastAsia="nl-NL"/>
              </w:rPr>
              <w:t xml:space="preserve"> (</w:t>
            </w:r>
            <w:r w:rsidRPr="00B4100D">
              <w:rPr>
                <w:rFonts w:eastAsia="SimSun"/>
                <w:sz w:val="20"/>
                <w:lang w:eastAsia="nl-NL"/>
              </w:rPr>
              <w:t>žr.</w:t>
            </w:r>
            <w:r w:rsidR="00823227" w:rsidRPr="00B4100D">
              <w:rPr>
                <w:rFonts w:eastAsia="SimSun"/>
                <w:sz w:val="20"/>
                <w:lang w:eastAsia="nl-NL"/>
              </w:rPr>
              <w:t xml:space="preserve"> </w:t>
            </w:r>
            <w:r w:rsidR="00E32459" w:rsidRPr="00B4100D">
              <w:rPr>
                <w:rFonts w:eastAsia="SimSun"/>
                <w:sz w:val="20"/>
                <w:lang w:eastAsia="nl-NL"/>
              </w:rPr>
              <w:t>4.4</w:t>
            </w:r>
            <w:r w:rsidRPr="00B4100D">
              <w:rPr>
                <w:rFonts w:eastAsia="SimSun"/>
                <w:sz w:val="20"/>
                <w:lang w:eastAsia="nl-NL"/>
              </w:rPr>
              <w:t xml:space="preserve"> skyrių</w:t>
            </w:r>
            <w:r w:rsidR="00E32459" w:rsidRPr="00B4100D">
              <w:rPr>
                <w:rFonts w:eastAsia="SimSun"/>
                <w:sz w:val="20"/>
                <w:lang w:eastAsia="nl-NL"/>
              </w:rPr>
              <w:t>)</w:t>
            </w:r>
            <w:r w:rsidRPr="00B4100D">
              <w:rPr>
                <w:rFonts w:eastAsia="SimSun"/>
                <w:sz w:val="20"/>
                <w:lang w:eastAsia="nl-NL"/>
              </w:rPr>
              <w:t xml:space="preserve"> </w:t>
            </w:r>
            <w:r w:rsidR="00823227" w:rsidRPr="00B4100D">
              <w:rPr>
                <w:rFonts w:eastAsia="SimSun"/>
                <w:sz w:val="20"/>
                <w:lang w:eastAsia="nl-NL"/>
              </w:rPr>
              <w:t>ir</w:t>
            </w:r>
            <w:r w:rsidRPr="00B4100D">
              <w:rPr>
                <w:rFonts w:eastAsia="SimSun"/>
                <w:sz w:val="20"/>
                <w:lang w:eastAsia="nl-NL"/>
              </w:rPr>
              <w:t xml:space="preserve"> abiejų skilvelių hipertrofija </w:t>
            </w:r>
            <w:r w:rsidR="00E32459" w:rsidRPr="00B4100D">
              <w:rPr>
                <w:rFonts w:eastAsia="SimSun"/>
                <w:sz w:val="20"/>
                <w:lang w:eastAsia="nl-NL"/>
              </w:rPr>
              <w:t>(</w:t>
            </w:r>
            <w:r w:rsidRPr="00B4100D">
              <w:rPr>
                <w:rFonts w:eastAsia="SimSun"/>
                <w:sz w:val="20"/>
                <w:lang w:eastAsia="nl-NL"/>
              </w:rPr>
              <w:t>žr.</w:t>
            </w:r>
            <w:r w:rsidR="00823227" w:rsidRPr="00B4100D">
              <w:rPr>
                <w:rFonts w:eastAsia="SimSun"/>
                <w:sz w:val="20"/>
                <w:lang w:eastAsia="nl-NL"/>
              </w:rPr>
              <w:t xml:space="preserve"> </w:t>
            </w:r>
            <w:r w:rsidRPr="00B4100D">
              <w:rPr>
                <w:rFonts w:eastAsia="SimSun"/>
                <w:sz w:val="20"/>
                <w:lang w:eastAsia="nl-NL"/>
              </w:rPr>
              <w:t>4.4 skyrių</w:t>
            </w:r>
            <w:r w:rsidR="00E32459" w:rsidRPr="00B4100D">
              <w:rPr>
                <w:rFonts w:eastAsia="SimSun"/>
                <w:sz w:val="20"/>
                <w:lang w:eastAsia="nl-NL"/>
              </w:rPr>
              <w:t>)</w:t>
            </w:r>
            <w:r w:rsidRPr="00B4100D">
              <w:rPr>
                <w:rFonts w:eastAsia="SimSun"/>
                <w:sz w:val="20"/>
                <w:lang w:eastAsia="nl-NL"/>
              </w:rPr>
              <w:t>.</w:t>
            </w:r>
          </w:p>
          <w:p w14:paraId="262B79ED" w14:textId="77777777" w:rsidR="00E32459" w:rsidRPr="00B4100D" w:rsidRDefault="00EB3360" w:rsidP="000E3D61">
            <w:pPr>
              <w:rPr>
                <w:iCs/>
                <w:sz w:val="20"/>
              </w:rPr>
            </w:pPr>
            <w:r w:rsidRPr="00B4100D">
              <w:rPr>
                <w:rFonts w:eastAsia="SimSun"/>
                <w:sz w:val="20"/>
                <w:lang w:eastAsia="nl-NL"/>
              </w:rPr>
              <w:t>QT intervalo pailgėjimas pacientams, turintiems specifinių rizikos veiksnių, galinčių sukelti aritmiją (</w:t>
            </w:r>
            <w:r w:rsidRPr="00B4100D">
              <w:rPr>
                <w:rFonts w:eastAsia="SimSun"/>
                <w:i/>
                <w:iCs/>
                <w:sz w:val="20"/>
                <w:lang w:eastAsia="nl-NL"/>
              </w:rPr>
              <w:t>torsade de pointes</w:t>
            </w:r>
            <w:r w:rsidRPr="00B4100D">
              <w:rPr>
                <w:rFonts w:eastAsia="SimSun"/>
                <w:sz w:val="20"/>
                <w:lang w:eastAsia="nl-NL"/>
              </w:rPr>
              <w:t>, skilvelinę tachikardiją) (žr. 4.4 ir 4.9 skyrius).</w:t>
            </w:r>
          </w:p>
        </w:tc>
      </w:tr>
      <w:tr w:rsidR="00823227" w:rsidRPr="00B4100D" w14:paraId="4E0CD59A" w14:textId="77777777" w:rsidTr="0053168E">
        <w:tc>
          <w:tcPr>
            <w:tcW w:w="754" w:type="pct"/>
            <w:shd w:val="clear" w:color="auto" w:fill="auto"/>
          </w:tcPr>
          <w:p w14:paraId="7FDCA04E" w14:textId="77777777" w:rsidR="00E32459" w:rsidRPr="00B4100D" w:rsidRDefault="00823227" w:rsidP="000E3D61">
            <w:pPr>
              <w:rPr>
                <w:iCs/>
                <w:sz w:val="20"/>
              </w:rPr>
            </w:pPr>
            <w:r w:rsidRPr="00B4100D">
              <w:rPr>
                <w:rFonts w:eastAsia="SimSun"/>
                <w:sz w:val="20"/>
                <w:lang w:eastAsia="nl-NL"/>
              </w:rPr>
              <w:lastRenderedPageBreak/>
              <w:t>Virškinimo trakto sutrikimai</w:t>
            </w:r>
          </w:p>
        </w:tc>
        <w:tc>
          <w:tcPr>
            <w:tcW w:w="489" w:type="pct"/>
            <w:shd w:val="clear" w:color="auto" w:fill="auto"/>
          </w:tcPr>
          <w:p w14:paraId="4DFED6D5" w14:textId="77777777" w:rsidR="00E32459" w:rsidRPr="00B4100D" w:rsidRDefault="00E32459" w:rsidP="000E3D61">
            <w:pPr>
              <w:rPr>
                <w:iCs/>
                <w:sz w:val="20"/>
              </w:rPr>
            </w:pPr>
          </w:p>
        </w:tc>
        <w:tc>
          <w:tcPr>
            <w:tcW w:w="568" w:type="pct"/>
            <w:shd w:val="clear" w:color="auto" w:fill="auto"/>
          </w:tcPr>
          <w:p w14:paraId="44848504" w14:textId="77777777" w:rsidR="00E32459" w:rsidRPr="00B4100D" w:rsidRDefault="00E32459" w:rsidP="000E3D61">
            <w:pPr>
              <w:rPr>
                <w:iCs/>
                <w:sz w:val="20"/>
              </w:rPr>
            </w:pPr>
          </w:p>
        </w:tc>
        <w:tc>
          <w:tcPr>
            <w:tcW w:w="590" w:type="pct"/>
            <w:shd w:val="clear" w:color="auto" w:fill="auto"/>
          </w:tcPr>
          <w:p w14:paraId="2AEFC9EA" w14:textId="77777777" w:rsidR="00E32459" w:rsidRPr="00B4100D" w:rsidRDefault="00823227" w:rsidP="000E3D61">
            <w:pPr>
              <w:rPr>
                <w:iCs/>
                <w:sz w:val="20"/>
              </w:rPr>
            </w:pPr>
            <w:r w:rsidRPr="00B4100D">
              <w:rPr>
                <w:rFonts w:eastAsia="SimSun"/>
                <w:sz w:val="20"/>
                <w:lang w:eastAsia="nl-NL"/>
              </w:rPr>
              <w:t>Pykinimas, vėmimas, pilvo skausmas</w:t>
            </w:r>
            <w:r w:rsidR="00E32459" w:rsidRPr="00B4100D">
              <w:rPr>
                <w:rFonts w:eastAsia="SimSun"/>
                <w:sz w:val="20"/>
                <w:vertAlign w:val="superscript"/>
                <w:lang w:eastAsia="nl-NL"/>
              </w:rPr>
              <w:t>4</w:t>
            </w:r>
          </w:p>
        </w:tc>
        <w:tc>
          <w:tcPr>
            <w:tcW w:w="856" w:type="pct"/>
            <w:shd w:val="clear" w:color="auto" w:fill="auto"/>
          </w:tcPr>
          <w:p w14:paraId="4C21D938" w14:textId="77777777" w:rsidR="00E32459" w:rsidRPr="00B4100D" w:rsidRDefault="00E32459" w:rsidP="000E3D61">
            <w:pPr>
              <w:rPr>
                <w:iCs/>
                <w:sz w:val="20"/>
              </w:rPr>
            </w:pPr>
            <w:r w:rsidRPr="00B4100D">
              <w:rPr>
                <w:rFonts w:eastAsia="SimSun"/>
                <w:sz w:val="20"/>
                <w:lang w:eastAsia="nl-NL"/>
              </w:rPr>
              <w:t>V</w:t>
            </w:r>
            <w:r w:rsidR="00823227" w:rsidRPr="00B4100D">
              <w:rPr>
                <w:rFonts w:eastAsia="SimSun"/>
                <w:sz w:val="20"/>
                <w:lang w:eastAsia="nl-NL"/>
              </w:rPr>
              <w:t>ėmimas</w:t>
            </w:r>
            <w:r w:rsidRPr="00B4100D">
              <w:rPr>
                <w:rFonts w:eastAsia="SimSun"/>
                <w:sz w:val="20"/>
                <w:vertAlign w:val="superscript"/>
                <w:lang w:eastAsia="nl-NL"/>
              </w:rPr>
              <w:t>4</w:t>
            </w:r>
          </w:p>
        </w:tc>
        <w:tc>
          <w:tcPr>
            <w:tcW w:w="852" w:type="pct"/>
            <w:shd w:val="clear" w:color="auto" w:fill="auto"/>
          </w:tcPr>
          <w:p w14:paraId="4997108F" w14:textId="77777777" w:rsidR="00E32459" w:rsidRPr="00B4100D" w:rsidRDefault="00E32459" w:rsidP="000E3D61">
            <w:pPr>
              <w:rPr>
                <w:iCs/>
                <w:sz w:val="20"/>
              </w:rPr>
            </w:pPr>
          </w:p>
        </w:tc>
        <w:tc>
          <w:tcPr>
            <w:tcW w:w="890" w:type="pct"/>
            <w:shd w:val="clear" w:color="auto" w:fill="auto"/>
          </w:tcPr>
          <w:p w14:paraId="43632846" w14:textId="77777777" w:rsidR="00E32459" w:rsidRPr="00B4100D" w:rsidRDefault="00E32459" w:rsidP="000E3D61">
            <w:pPr>
              <w:rPr>
                <w:iCs/>
                <w:sz w:val="20"/>
              </w:rPr>
            </w:pPr>
          </w:p>
        </w:tc>
      </w:tr>
      <w:tr w:rsidR="00823227" w:rsidRPr="00B4100D" w14:paraId="02D7B933" w14:textId="77777777" w:rsidTr="0053168E">
        <w:tc>
          <w:tcPr>
            <w:tcW w:w="754" w:type="pct"/>
            <w:shd w:val="clear" w:color="auto" w:fill="auto"/>
          </w:tcPr>
          <w:p w14:paraId="5D6B5C6B" w14:textId="77777777" w:rsidR="00E32459" w:rsidRPr="00B4100D" w:rsidRDefault="00823227" w:rsidP="000E3D61">
            <w:pPr>
              <w:rPr>
                <w:iCs/>
                <w:sz w:val="20"/>
              </w:rPr>
            </w:pPr>
            <w:r w:rsidRPr="00B4100D">
              <w:rPr>
                <w:rFonts w:eastAsia="SimSun"/>
                <w:sz w:val="20"/>
                <w:lang w:eastAsia="nl-NL"/>
              </w:rPr>
              <w:t>Kepenų, tulžies pūslės ir latakų sutrikimai</w:t>
            </w:r>
          </w:p>
        </w:tc>
        <w:tc>
          <w:tcPr>
            <w:tcW w:w="489" w:type="pct"/>
            <w:shd w:val="clear" w:color="auto" w:fill="auto"/>
          </w:tcPr>
          <w:p w14:paraId="7AC56F27" w14:textId="77777777" w:rsidR="00E32459" w:rsidRPr="00B4100D" w:rsidRDefault="00E32459" w:rsidP="000E3D61">
            <w:pPr>
              <w:rPr>
                <w:iCs/>
                <w:sz w:val="20"/>
              </w:rPr>
            </w:pPr>
          </w:p>
        </w:tc>
        <w:tc>
          <w:tcPr>
            <w:tcW w:w="568" w:type="pct"/>
            <w:shd w:val="clear" w:color="auto" w:fill="auto"/>
          </w:tcPr>
          <w:p w14:paraId="034615CC" w14:textId="77777777" w:rsidR="00E32459" w:rsidRPr="00B4100D" w:rsidRDefault="00E32459" w:rsidP="000E3D61">
            <w:pPr>
              <w:rPr>
                <w:iCs/>
                <w:sz w:val="20"/>
              </w:rPr>
            </w:pPr>
          </w:p>
        </w:tc>
        <w:tc>
          <w:tcPr>
            <w:tcW w:w="590" w:type="pct"/>
            <w:shd w:val="clear" w:color="auto" w:fill="auto"/>
          </w:tcPr>
          <w:p w14:paraId="32BED281" w14:textId="77777777" w:rsidR="00E32459" w:rsidRPr="00B4100D" w:rsidRDefault="00E32459" w:rsidP="000E3D61">
            <w:pPr>
              <w:rPr>
                <w:iCs/>
                <w:sz w:val="20"/>
              </w:rPr>
            </w:pPr>
          </w:p>
        </w:tc>
        <w:tc>
          <w:tcPr>
            <w:tcW w:w="856" w:type="pct"/>
            <w:shd w:val="clear" w:color="auto" w:fill="auto"/>
          </w:tcPr>
          <w:p w14:paraId="5D9E7CD3" w14:textId="77777777" w:rsidR="00E32459" w:rsidRPr="00B4100D" w:rsidRDefault="00E32459" w:rsidP="000E3D61">
            <w:pPr>
              <w:rPr>
                <w:iCs/>
                <w:sz w:val="20"/>
              </w:rPr>
            </w:pPr>
          </w:p>
        </w:tc>
        <w:tc>
          <w:tcPr>
            <w:tcW w:w="852" w:type="pct"/>
            <w:shd w:val="clear" w:color="auto" w:fill="auto"/>
          </w:tcPr>
          <w:p w14:paraId="242792F4" w14:textId="77777777" w:rsidR="00E32459" w:rsidRPr="00B4100D" w:rsidRDefault="00E32459" w:rsidP="000E3D61">
            <w:pPr>
              <w:rPr>
                <w:iCs/>
                <w:sz w:val="20"/>
              </w:rPr>
            </w:pPr>
          </w:p>
        </w:tc>
        <w:tc>
          <w:tcPr>
            <w:tcW w:w="890" w:type="pct"/>
            <w:shd w:val="clear" w:color="auto" w:fill="auto"/>
          </w:tcPr>
          <w:p w14:paraId="58C46EB3" w14:textId="7385EBAF" w:rsidR="00E32459" w:rsidRPr="00B4100D" w:rsidRDefault="00823227" w:rsidP="00DF41AE">
            <w:pPr>
              <w:autoSpaceDE w:val="0"/>
              <w:autoSpaceDN w:val="0"/>
              <w:adjustRightInd w:val="0"/>
              <w:rPr>
                <w:iCs/>
                <w:sz w:val="20"/>
              </w:rPr>
            </w:pPr>
            <w:r w:rsidRPr="00B4100D">
              <w:rPr>
                <w:rFonts w:eastAsia="SimSun"/>
                <w:sz w:val="20"/>
                <w:lang w:eastAsia="nl-NL"/>
              </w:rPr>
              <w:t>Nenormalūs kepenų funkcijos tyrimų rodmenys</w:t>
            </w:r>
            <w:r w:rsidR="00E32459" w:rsidRPr="00B4100D">
              <w:rPr>
                <w:rFonts w:eastAsia="SimSun"/>
                <w:sz w:val="20"/>
                <w:lang w:eastAsia="nl-NL"/>
              </w:rPr>
              <w:t>,</w:t>
            </w:r>
            <w:r w:rsidR="000612F5">
              <w:rPr>
                <w:rFonts w:eastAsia="SimSun"/>
                <w:sz w:val="20"/>
                <w:lang w:eastAsia="nl-NL"/>
              </w:rPr>
              <w:t xml:space="preserve"> </w:t>
            </w:r>
            <w:r w:rsidR="000612F5" w:rsidRPr="000612F5">
              <w:rPr>
                <w:rFonts w:eastAsia="SimSun"/>
                <w:sz w:val="20"/>
                <w:lang w:eastAsia="nl-NL"/>
              </w:rPr>
              <w:t>vaistinio preparato sukelt</w:t>
            </w:r>
            <w:r w:rsidR="000612F5">
              <w:rPr>
                <w:rFonts w:eastAsia="SimSun"/>
                <w:sz w:val="20"/>
                <w:lang w:eastAsia="nl-NL"/>
              </w:rPr>
              <w:t>as</w:t>
            </w:r>
            <w:r w:rsidR="000612F5" w:rsidRPr="000612F5">
              <w:rPr>
                <w:rFonts w:eastAsia="SimSun"/>
                <w:sz w:val="20"/>
                <w:lang w:eastAsia="nl-NL"/>
              </w:rPr>
              <w:t xml:space="preserve"> kepenų pažeidim</w:t>
            </w:r>
            <w:r w:rsidR="000612F5">
              <w:rPr>
                <w:rFonts w:eastAsia="SimSun"/>
                <w:sz w:val="20"/>
                <w:lang w:eastAsia="nl-NL"/>
              </w:rPr>
              <w:t>as</w:t>
            </w:r>
            <w:r w:rsidR="000612F5" w:rsidRPr="000612F5">
              <w:rPr>
                <w:rFonts w:eastAsia="SimSun"/>
                <w:sz w:val="20"/>
                <w:lang w:eastAsia="nl-NL"/>
              </w:rPr>
              <w:t xml:space="preserve"> (DILI), įskaitant kepenų ląstelių pažeidimą, cholestazinį kepenų pažeidimą, ūminį hepatitą, mišrų kepenų ląstelių ir cholestazinį kepenų pažeidimą ir </w:t>
            </w:r>
            <w:r w:rsidRPr="00B4100D">
              <w:rPr>
                <w:rFonts w:eastAsia="SimSun"/>
                <w:sz w:val="20"/>
                <w:lang w:eastAsia="nl-NL"/>
              </w:rPr>
              <w:t>žaibin</w:t>
            </w:r>
            <w:r w:rsidR="000612F5">
              <w:rPr>
                <w:rFonts w:eastAsia="SimSun"/>
                <w:sz w:val="20"/>
                <w:lang w:eastAsia="nl-NL"/>
              </w:rPr>
              <w:t>į</w:t>
            </w:r>
            <w:r w:rsidRPr="00B4100D">
              <w:rPr>
                <w:rFonts w:eastAsia="SimSun"/>
                <w:sz w:val="20"/>
                <w:lang w:eastAsia="nl-NL"/>
              </w:rPr>
              <w:t xml:space="preserve"> kepenų funkcijos </w:t>
            </w:r>
            <w:r w:rsidR="000612F5" w:rsidRPr="00B4100D">
              <w:rPr>
                <w:rFonts w:eastAsia="SimSun"/>
                <w:sz w:val="20"/>
                <w:lang w:eastAsia="nl-NL"/>
              </w:rPr>
              <w:t>nepakankamum</w:t>
            </w:r>
            <w:r w:rsidR="000612F5">
              <w:rPr>
                <w:rFonts w:eastAsia="SimSun"/>
                <w:sz w:val="20"/>
                <w:lang w:eastAsia="nl-NL"/>
              </w:rPr>
              <w:t>ą</w:t>
            </w:r>
          </w:p>
        </w:tc>
      </w:tr>
      <w:tr w:rsidR="00823227" w:rsidRPr="00B4100D" w14:paraId="40769D37" w14:textId="77777777" w:rsidTr="0053168E">
        <w:tc>
          <w:tcPr>
            <w:tcW w:w="754" w:type="pct"/>
            <w:shd w:val="clear" w:color="auto" w:fill="auto"/>
          </w:tcPr>
          <w:p w14:paraId="28E889C8" w14:textId="77777777" w:rsidR="00E32459" w:rsidRPr="00B4100D" w:rsidRDefault="00823227" w:rsidP="000E3D61">
            <w:pPr>
              <w:rPr>
                <w:iCs/>
                <w:sz w:val="20"/>
              </w:rPr>
            </w:pPr>
            <w:r w:rsidRPr="00B4100D">
              <w:rPr>
                <w:rFonts w:eastAsia="SimSun"/>
                <w:sz w:val="20"/>
                <w:lang w:eastAsia="nl-NL"/>
              </w:rPr>
              <w:t>Odos ir poodinio audinio sutrikimai</w:t>
            </w:r>
          </w:p>
        </w:tc>
        <w:tc>
          <w:tcPr>
            <w:tcW w:w="489" w:type="pct"/>
            <w:shd w:val="clear" w:color="auto" w:fill="auto"/>
          </w:tcPr>
          <w:p w14:paraId="7BFA9698" w14:textId="77777777" w:rsidR="00E32459" w:rsidRPr="00B4100D" w:rsidRDefault="00E32459" w:rsidP="000E3D61">
            <w:pPr>
              <w:rPr>
                <w:iCs/>
                <w:sz w:val="20"/>
              </w:rPr>
            </w:pPr>
          </w:p>
        </w:tc>
        <w:tc>
          <w:tcPr>
            <w:tcW w:w="568" w:type="pct"/>
            <w:shd w:val="clear" w:color="auto" w:fill="auto"/>
          </w:tcPr>
          <w:p w14:paraId="57704D5D" w14:textId="77777777" w:rsidR="00E32459" w:rsidRPr="00B4100D" w:rsidRDefault="00E32459" w:rsidP="000E3D61">
            <w:pPr>
              <w:rPr>
                <w:iCs/>
                <w:sz w:val="20"/>
              </w:rPr>
            </w:pPr>
          </w:p>
        </w:tc>
        <w:tc>
          <w:tcPr>
            <w:tcW w:w="590" w:type="pct"/>
            <w:shd w:val="clear" w:color="auto" w:fill="auto"/>
          </w:tcPr>
          <w:p w14:paraId="0A54C447" w14:textId="77777777" w:rsidR="00E32459" w:rsidRPr="00B4100D" w:rsidRDefault="00823227" w:rsidP="000E3D61">
            <w:pPr>
              <w:rPr>
                <w:iCs/>
                <w:sz w:val="20"/>
              </w:rPr>
            </w:pPr>
            <w:r w:rsidRPr="00B4100D">
              <w:rPr>
                <w:iCs/>
                <w:sz w:val="20"/>
              </w:rPr>
              <w:t>Išbėrimas</w:t>
            </w:r>
          </w:p>
        </w:tc>
        <w:tc>
          <w:tcPr>
            <w:tcW w:w="856" w:type="pct"/>
            <w:shd w:val="clear" w:color="auto" w:fill="auto"/>
          </w:tcPr>
          <w:p w14:paraId="70FA82F3" w14:textId="77777777" w:rsidR="00E32459" w:rsidRPr="00B4100D" w:rsidRDefault="00E32459" w:rsidP="000E3D61">
            <w:pPr>
              <w:rPr>
                <w:iCs/>
                <w:sz w:val="20"/>
              </w:rPr>
            </w:pPr>
          </w:p>
        </w:tc>
        <w:tc>
          <w:tcPr>
            <w:tcW w:w="852" w:type="pct"/>
            <w:shd w:val="clear" w:color="auto" w:fill="auto"/>
          </w:tcPr>
          <w:p w14:paraId="557E9618" w14:textId="79D57D45" w:rsidR="00E32459" w:rsidRPr="00B4100D" w:rsidRDefault="00E32459" w:rsidP="00823227">
            <w:pPr>
              <w:autoSpaceDE w:val="0"/>
              <w:autoSpaceDN w:val="0"/>
              <w:adjustRightInd w:val="0"/>
              <w:rPr>
                <w:iCs/>
                <w:sz w:val="20"/>
              </w:rPr>
            </w:pPr>
          </w:p>
        </w:tc>
        <w:tc>
          <w:tcPr>
            <w:tcW w:w="890" w:type="pct"/>
            <w:shd w:val="clear" w:color="auto" w:fill="auto"/>
          </w:tcPr>
          <w:p w14:paraId="3C91CD1D" w14:textId="4A4AFED0" w:rsidR="00E32459" w:rsidRPr="00B4100D" w:rsidRDefault="00361490" w:rsidP="000E3D61">
            <w:pPr>
              <w:rPr>
                <w:iCs/>
                <w:sz w:val="20"/>
              </w:rPr>
            </w:pPr>
            <w:r w:rsidRPr="00361490">
              <w:rPr>
                <w:rFonts w:eastAsia="SimSun"/>
                <w:sz w:val="20"/>
                <w:lang w:eastAsia="nl-NL"/>
              </w:rPr>
              <w:t>Daugiaformė eritema, jautrumas šviesai, eksfoliacinis dermatitas, Svyto (</w:t>
            </w:r>
            <w:r w:rsidRPr="00361490">
              <w:rPr>
                <w:rFonts w:eastAsia="SimSun"/>
                <w:i/>
                <w:iCs/>
                <w:sz w:val="20"/>
                <w:lang w:eastAsia="nl-NL"/>
              </w:rPr>
              <w:t>Sweet</w:t>
            </w:r>
            <w:r w:rsidRPr="00361490">
              <w:rPr>
                <w:rFonts w:eastAsia="SimSun"/>
                <w:sz w:val="20"/>
                <w:lang w:eastAsia="nl-NL"/>
              </w:rPr>
              <w:t>) sindromas ir</w:t>
            </w:r>
            <w:r>
              <w:rPr>
                <w:rFonts w:eastAsia="SimSun"/>
                <w:sz w:val="20"/>
                <w:lang w:eastAsia="nl-NL"/>
              </w:rPr>
              <w:t xml:space="preserve"> </w:t>
            </w:r>
            <w:r w:rsidRPr="00361490">
              <w:rPr>
                <w:rFonts w:eastAsia="SimSun"/>
                <w:sz w:val="20"/>
                <w:lang w:eastAsia="nl-NL"/>
              </w:rPr>
              <w:t>sunkios nepageidaujamos odos reakcijos (SNOR),</w:t>
            </w:r>
            <w:r>
              <w:rPr>
                <w:rFonts w:eastAsia="SimSun"/>
                <w:sz w:val="20"/>
                <w:lang w:eastAsia="nl-NL"/>
              </w:rPr>
              <w:t xml:space="preserve"> </w:t>
            </w:r>
            <w:r w:rsidRPr="00361490">
              <w:rPr>
                <w:rFonts w:eastAsia="SimSun"/>
                <w:sz w:val="20"/>
                <w:lang w:eastAsia="nl-NL"/>
              </w:rPr>
              <w:t>įskaitant Stivenso-Džonsono (</w:t>
            </w:r>
            <w:r w:rsidRPr="00361490">
              <w:rPr>
                <w:rFonts w:eastAsia="SimSun"/>
                <w:i/>
                <w:iCs/>
                <w:sz w:val="20"/>
                <w:lang w:eastAsia="nl-NL"/>
              </w:rPr>
              <w:t>Stevens-Johnson</w:t>
            </w:r>
            <w:r w:rsidRPr="00361490">
              <w:rPr>
                <w:rFonts w:eastAsia="SimSun"/>
                <w:sz w:val="20"/>
                <w:lang w:eastAsia="nl-NL"/>
              </w:rPr>
              <w:t>)</w:t>
            </w:r>
            <w:r>
              <w:rPr>
                <w:rFonts w:eastAsia="SimSun"/>
                <w:sz w:val="20"/>
                <w:lang w:eastAsia="nl-NL"/>
              </w:rPr>
              <w:t xml:space="preserve"> </w:t>
            </w:r>
            <w:r w:rsidRPr="00361490">
              <w:rPr>
                <w:rFonts w:eastAsia="SimSun"/>
                <w:sz w:val="20"/>
                <w:lang w:eastAsia="nl-NL"/>
              </w:rPr>
              <w:t>sindromą (SJS), toksinę epidermio nekrolizę (TEN), reakciją į vaistinį preparatą su eozinofilija ir</w:t>
            </w:r>
            <w:r>
              <w:rPr>
                <w:rFonts w:eastAsia="SimSun"/>
                <w:sz w:val="20"/>
                <w:lang w:eastAsia="nl-NL"/>
              </w:rPr>
              <w:t xml:space="preserve"> </w:t>
            </w:r>
            <w:r w:rsidRPr="00361490">
              <w:rPr>
                <w:rFonts w:eastAsia="SimSun"/>
                <w:sz w:val="20"/>
                <w:lang w:eastAsia="nl-NL"/>
              </w:rPr>
              <w:t xml:space="preserve">sisteminiais simptomais (angl. </w:t>
            </w:r>
            <w:r w:rsidRPr="00361490">
              <w:rPr>
                <w:rFonts w:eastAsia="SimSun"/>
                <w:i/>
                <w:iCs/>
                <w:sz w:val="20"/>
                <w:lang w:eastAsia="nl-NL"/>
              </w:rPr>
              <w:t>drug reaction with eosinophilia and systemic symptoms</w:t>
            </w:r>
            <w:r w:rsidRPr="00361490">
              <w:rPr>
                <w:rFonts w:eastAsia="SimSun"/>
                <w:sz w:val="20"/>
                <w:lang w:eastAsia="nl-NL"/>
              </w:rPr>
              <w:t>, DRESS) ir</w:t>
            </w:r>
            <w:r>
              <w:rPr>
                <w:rFonts w:eastAsia="SimSun"/>
                <w:sz w:val="20"/>
                <w:lang w:eastAsia="nl-NL"/>
              </w:rPr>
              <w:t xml:space="preserve"> </w:t>
            </w:r>
            <w:r w:rsidRPr="00361490">
              <w:rPr>
                <w:rFonts w:eastAsia="SimSun"/>
                <w:sz w:val="20"/>
                <w:lang w:eastAsia="nl-NL"/>
              </w:rPr>
              <w:t xml:space="preserve">ūminę išplitusią egzanteminę pustuliozę (angl. </w:t>
            </w:r>
            <w:r w:rsidRPr="00361490">
              <w:rPr>
                <w:rFonts w:eastAsia="SimSun"/>
                <w:i/>
                <w:iCs/>
                <w:sz w:val="20"/>
                <w:lang w:eastAsia="nl-NL"/>
              </w:rPr>
              <w:t>acute generalised exanthematous pustulosis</w:t>
            </w:r>
            <w:r w:rsidRPr="00361490">
              <w:rPr>
                <w:rFonts w:eastAsia="SimSun"/>
                <w:sz w:val="20"/>
                <w:lang w:eastAsia="nl-NL"/>
              </w:rPr>
              <w:t>, AGEP),</w:t>
            </w:r>
            <w:r>
              <w:rPr>
                <w:rFonts w:eastAsia="SimSun"/>
                <w:sz w:val="20"/>
                <w:lang w:eastAsia="nl-NL"/>
              </w:rPr>
              <w:t xml:space="preserve"> </w:t>
            </w:r>
            <w:r w:rsidRPr="00361490">
              <w:rPr>
                <w:rFonts w:eastAsia="SimSun"/>
                <w:sz w:val="20"/>
                <w:lang w:eastAsia="nl-NL"/>
              </w:rPr>
              <w:t>žr. 4.4 skyrių.</w:t>
            </w:r>
            <w:r>
              <w:rPr>
                <w:rFonts w:eastAsia="SimSun"/>
                <w:sz w:val="20"/>
                <w:lang w:eastAsia="nl-NL"/>
              </w:rPr>
              <w:t xml:space="preserve"> </w:t>
            </w:r>
            <w:r w:rsidRPr="00361490">
              <w:rPr>
                <w:rFonts w:eastAsia="SimSun"/>
                <w:sz w:val="20"/>
                <w:lang w:eastAsia="nl-NL"/>
              </w:rPr>
              <w:t>AGEP turi būti atskirta nuo psoriazės, nors hidroksichlorokvinas gali paskatinti ir</w:t>
            </w:r>
            <w:r>
              <w:rPr>
                <w:rFonts w:eastAsia="SimSun"/>
                <w:sz w:val="20"/>
                <w:lang w:eastAsia="nl-NL"/>
              </w:rPr>
              <w:t xml:space="preserve"> </w:t>
            </w:r>
            <w:r w:rsidRPr="00361490">
              <w:rPr>
                <w:rFonts w:eastAsia="SimSun"/>
                <w:sz w:val="20"/>
                <w:lang w:eastAsia="nl-NL"/>
              </w:rPr>
              <w:t>psoriazės priepuolius. Tai gali būti susiję su karščiavimu ir labai didele leukocitoze. Nutraukus</w:t>
            </w:r>
            <w:r>
              <w:rPr>
                <w:rFonts w:eastAsia="SimSun"/>
                <w:sz w:val="20"/>
                <w:lang w:eastAsia="nl-NL"/>
              </w:rPr>
              <w:t xml:space="preserve"> </w:t>
            </w:r>
            <w:r w:rsidRPr="00361490">
              <w:rPr>
                <w:rFonts w:eastAsia="SimSun"/>
                <w:sz w:val="20"/>
                <w:lang w:eastAsia="nl-NL"/>
              </w:rPr>
              <w:t xml:space="preserve">hidroksichlorokvino vartojimą, ligos </w:t>
            </w:r>
            <w:r w:rsidRPr="00361490">
              <w:rPr>
                <w:rFonts w:eastAsia="SimSun"/>
                <w:sz w:val="20"/>
                <w:lang w:eastAsia="nl-NL"/>
              </w:rPr>
              <w:lastRenderedPageBreak/>
              <w:t>baigtis paprastai būna palanki.</w:t>
            </w:r>
          </w:p>
        </w:tc>
      </w:tr>
      <w:tr w:rsidR="00823227" w:rsidRPr="00B4100D" w14:paraId="6212FF0D" w14:textId="77777777" w:rsidTr="004064E5">
        <w:trPr>
          <w:trHeight w:val="3492"/>
        </w:trPr>
        <w:tc>
          <w:tcPr>
            <w:tcW w:w="754" w:type="pct"/>
            <w:shd w:val="clear" w:color="auto" w:fill="auto"/>
          </w:tcPr>
          <w:p w14:paraId="217A0BFE" w14:textId="77777777" w:rsidR="00E32459" w:rsidRPr="00B4100D" w:rsidRDefault="0053168E" w:rsidP="000E3D61">
            <w:pPr>
              <w:rPr>
                <w:iCs/>
                <w:sz w:val="20"/>
              </w:rPr>
            </w:pPr>
            <w:r w:rsidRPr="00B4100D">
              <w:rPr>
                <w:rFonts w:eastAsia="SimSun"/>
                <w:sz w:val="20"/>
                <w:lang w:eastAsia="nl-NL"/>
              </w:rPr>
              <w:lastRenderedPageBreak/>
              <w:t>Skeleto, raumenų ir jungiamojo audinio sutrikimai</w:t>
            </w:r>
          </w:p>
        </w:tc>
        <w:tc>
          <w:tcPr>
            <w:tcW w:w="489" w:type="pct"/>
            <w:shd w:val="clear" w:color="auto" w:fill="auto"/>
          </w:tcPr>
          <w:p w14:paraId="622ACDE9" w14:textId="77777777" w:rsidR="00E32459" w:rsidRPr="00B4100D" w:rsidRDefault="00E32459" w:rsidP="000E3D61">
            <w:pPr>
              <w:rPr>
                <w:iCs/>
                <w:sz w:val="20"/>
              </w:rPr>
            </w:pPr>
          </w:p>
        </w:tc>
        <w:tc>
          <w:tcPr>
            <w:tcW w:w="568" w:type="pct"/>
            <w:shd w:val="clear" w:color="auto" w:fill="auto"/>
          </w:tcPr>
          <w:p w14:paraId="1F2A5E28" w14:textId="77777777" w:rsidR="00E32459" w:rsidRPr="00B4100D" w:rsidRDefault="00E32459" w:rsidP="000E3D61">
            <w:pPr>
              <w:rPr>
                <w:iCs/>
                <w:sz w:val="20"/>
              </w:rPr>
            </w:pPr>
          </w:p>
        </w:tc>
        <w:tc>
          <w:tcPr>
            <w:tcW w:w="590" w:type="pct"/>
            <w:shd w:val="clear" w:color="auto" w:fill="auto"/>
          </w:tcPr>
          <w:p w14:paraId="376AD755" w14:textId="77777777" w:rsidR="00E32459" w:rsidRPr="00B4100D" w:rsidRDefault="00E32459" w:rsidP="000E3D61">
            <w:pPr>
              <w:rPr>
                <w:iCs/>
                <w:sz w:val="20"/>
              </w:rPr>
            </w:pPr>
          </w:p>
        </w:tc>
        <w:tc>
          <w:tcPr>
            <w:tcW w:w="856" w:type="pct"/>
            <w:shd w:val="clear" w:color="auto" w:fill="auto"/>
          </w:tcPr>
          <w:p w14:paraId="18D3B791" w14:textId="77777777" w:rsidR="00E32459" w:rsidRPr="00B4100D" w:rsidRDefault="00E32459" w:rsidP="000E3D61">
            <w:pPr>
              <w:rPr>
                <w:iCs/>
                <w:sz w:val="20"/>
              </w:rPr>
            </w:pPr>
          </w:p>
        </w:tc>
        <w:tc>
          <w:tcPr>
            <w:tcW w:w="852" w:type="pct"/>
            <w:shd w:val="clear" w:color="auto" w:fill="auto"/>
          </w:tcPr>
          <w:p w14:paraId="0D35E76E" w14:textId="77777777" w:rsidR="00E32459" w:rsidRPr="00B4100D" w:rsidRDefault="00E32459" w:rsidP="000E3D61">
            <w:pPr>
              <w:rPr>
                <w:iCs/>
                <w:sz w:val="20"/>
              </w:rPr>
            </w:pPr>
          </w:p>
        </w:tc>
        <w:tc>
          <w:tcPr>
            <w:tcW w:w="890" w:type="pct"/>
            <w:shd w:val="clear" w:color="auto" w:fill="auto"/>
          </w:tcPr>
          <w:p w14:paraId="67FC31D0" w14:textId="77777777" w:rsidR="00E32459" w:rsidRPr="00B4100D" w:rsidRDefault="0053168E" w:rsidP="000E3D61">
            <w:pPr>
              <w:autoSpaceDE w:val="0"/>
              <w:autoSpaceDN w:val="0"/>
              <w:adjustRightInd w:val="0"/>
              <w:rPr>
                <w:rFonts w:eastAsia="SimSun"/>
                <w:sz w:val="20"/>
                <w:lang w:eastAsia="nl-NL"/>
              </w:rPr>
            </w:pPr>
            <w:r w:rsidRPr="00B4100D">
              <w:rPr>
                <w:rFonts w:eastAsia="SimSun"/>
                <w:sz w:val="20"/>
                <w:lang w:eastAsia="nl-NL"/>
              </w:rPr>
              <w:t>Miopatija</w:t>
            </w:r>
            <w:r w:rsidR="00E32459" w:rsidRPr="00B4100D">
              <w:rPr>
                <w:rFonts w:eastAsia="SimSun"/>
                <w:sz w:val="20"/>
                <w:vertAlign w:val="superscript"/>
                <w:lang w:eastAsia="nl-NL"/>
              </w:rPr>
              <w:t>5</w:t>
            </w:r>
            <w:r w:rsidRPr="00B4100D">
              <w:rPr>
                <w:rFonts w:eastAsia="SimSun"/>
                <w:sz w:val="20"/>
                <w:lang w:eastAsia="nl-NL"/>
              </w:rPr>
              <w:t>,</w:t>
            </w:r>
          </w:p>
          <w:p w14:paraId="510FE402" w14:textId="77777777" w:rsidR="0053168E" w:rsidRPr="00B4100D" w:rsidRDefault="0053168E" w:rsidP="000E3D61">
            <w:pPr>
              <w:autoSpaceDE w:val="0"/>
              <w:autoSpaceDN w:val="0"/>
              <w:adjustRightInd w:val="0"/>
              <w:rPr>
                <w:rFonts w:eastAsia="SimSun"/>
                <w:sz w:val="20"/>
                <w:lang w:eastAsia="nl-NL"/>
              </w:rPr>
            </w:pPr>
            <w:r w:rsidRPr="00B4100D">
              <w:rPr>
                <w:rFonts w:eastAsia="SimSun"/>
                <w:sz w:val="20"/>
                <w:lang w:eastAsia="nl-NL"/>
              </w:rPr>
              <w:t>neuromiopatija, dėl kurios pasireiškia progresuojantis proksimaliųjų raumenų grupių silpnumas ir atrofija</w:t>
            </w:r>
            <w:r w:rsidR="00E32459" w:rsidRPr="00B4100D">
              <w:rPr>
                <w:rFonts w:eastAsia="SimSun"/>
                <w:sz w:val="20"/>
                <w:lang w:eastAsia="nl-NL"/>
              </w:rPr>
              <w:t xml:space="preserve">. </w:t>
            </w:r>
          </w:p>
          <w:p w14:paraId="69AB0CB2" w14:textId="77777777" w:rsidR="00E32459" w:rsidRPr="00B4100D" w:rsidRDefault="0053168E" w:rsidP="0053168E">
            <w:pPr>
              <w:autoSpaceDE w:val="0"/>
              <w:autoSpaceDN w:val="0"/>
              <w:adjustRightInd w:val="0"/>
              <w:rPr>
                <w:iCs/>
                <w:sz w:val="20"/>
              </w:rPr>
            </w:pPr>
            <w:r w:rsidRPr="00B4100D">
              <w:rPr>
                <w:rFonts w:eastAsia="SimSun"/>
                <w:sz w:val="20"/>
                <w:lang w:eastAsia="nl-NL"/>
              </w:rPr>
              <w:t>Susiję lengvi jutiminiai sutrikimai</w:t>
            </w:r>
            <w:r w:rsidR="00E32459" w:rsidRPr="00B4100D">
              <w:rPr>
                <w:rFonts w:eastAsia="SimSun"/>
                <w:sz w:val="20"/>
                <w:lang w:eastAsia="nl-NL"/>
              </w:rPr>
              <w:t>,</w:t>
            </w:r>
            <w:r w:rsidRPr="00B4100D">
              <w:rPr>
                <w:rFonts w:eastAsia="SimSun"/>
                <w:sz w:val="20"/>
                <w:lang w:eastAsia="nl-NL"/>
              </w:rPr>
              <w:t xml:space="preserve"> gali būti pastebėti sausgyslių refleksų slopinimas ir nenormalūs nervų laidumo tyrimų duomenys</w:t>
            </w:r>
            <w:r w:rsidR="00E32459" w:rsidRPr="00B4100D">
              <w:rPr>
                <w:rFonts w:eastAsia="SimSun"/>
                <w:sz w:val="20"/>
                <w:lang w:eastAsia="nl-NL"/>
              </w:rPr>
              <w:t>.</w:t>
            </w:r>
          </w:p>
        </w:tc>
      </w:tr>
      <w:tr w:rsidR="00823227" w:rsidRPr="00B4100D" w14:paraId="2B28D045" w14:textId="77777777" w:rsidTr="0053168E">
        <w:tc>
          <w:tcPr>
            <w:tcW w:w="754" w:type="pct"/>
            <w:shd w:val="clear" w:color="auto" w:fill="auto"/>
          </w:tcPr>
          <w:p w14:paraId="0DCF6F44" w14:textId="77777777" w:rsidR="00E32459" w:rsidRPr="00B4100D" w:rsidRDefault="0053168E" w:rsidP="000E3D61">
            <w:pPr>
              <w:rPr>
                <w:iCs/>
                <w:sz w:val="20"/>
              </w:rPr>
            </w:pPr>
            <w:r w:rsidRPr="00B4100D">
              <w:rPr>
                <w:rFonts w:eastAsia="SimSun"/>
                <w:sz w:val="20"/>
                <w:lang w:eastAsia="nl-NL"/>
              </w:rPr>
              <w:t>Bendrieji sutrikimai ir vartojimo vietos pažeidimai</w:t>
            </w:r>
          </w:p>
        </w:tc>
        <w:tc>
          <w:tcPr>
            <w:tcW w:w="489" w:type="pct"/>
            <w:shd w:val="clear" w:color="auto" w:fill="auto"/>
          </w:tcPr>
          <w:p w14:paraId="69EC3980" w14:textId="77777777" w:rsidR="00E32459" w:rsidRPr="00B4100D" w:rsidRDefault="00E32459" w:rsidP="000E3D61">
            <w:pPr>
              <w:rPr>
                <w:iCs/>
                <w:sz w:val="20"/>
              </w:rPr>
            </w:pPr>
          </w:p>
        </w:tc>
        <w:tc>
          <w:tcPr>
            <w:tcW w:w="568" w:type="pct"/>
            <w:shd w:val="clear" w:color="auto" w:fill="auto"/>
          </w:tcPr>
          <w:p w14:paraId="2666CD60" w14:textId="77777777" w:rsidR="00E32459" w:rsidRPr="00B4100D" w:rsidRDefault="00E32459" w:rsidP="000E3D61">
            <w:pPr>
              <w:rPr>
                <w:iCs/>
                <w:sz w:val="20"/>
              </w:rPr>
            </w:pPr>
          </w:p>
        </w:tc>
        <w:tc>
          <w:tcPr>
            <w:tcW w:w="590" w:type="pct"/>
            <w:shd w:val="clear" w:color="auto" w:fill="auto"/>
          </w:tcPr>
          <w:p w14:paraId="50E1A89A" w14:textId="77777777" w:rsidR="00E32459" w:rsidRPr="00B4100D" w:rsidRDefault="00E32459" w:rsidP="000E3D61">
            <w:pPr>
              <w:rPr>
                <w:iCs/>
                <w:sz w:val="20"/>
              </w:rPr>
            </w:pPr>
          </w:p>
        </w:tc>
        <w:tc>
          <w:tcPr>
            <w:tcW w:w="856" w:type="pct"/>
            <w:shd w:val="clear" w:color="auto" w:fill="auto"/>
          </w:tcPr>
          <w:p w14:paraId="7C0DF5C8" w14:textId="77777777" w:rsidR="00E32459" w:rsidRPr="00B4100D" w:rsidRDefault="00E32459" w:rsidP="000E3D61">
            <w:pPr>
              <w:rPr>
                <w:iCs/>
                <w:sz w:val="20"/>
              </w:rPr>
            </w:pPr>
          </w:p>
        </w:tc>
        <w:tc>
          <w:tcPr>
            <w:tcW w:w="852" w:type="pct"/>
            <w:shd w:val="clear" w:color="auto" w:fill="auto"/>
          </w:tcPr>
          <w:p w14:paraId="3E9AF1B1" w14:textId="77777777" w:rsidR="00E32459" w:rsidRPr="00B4100D" w:rsidRDefault="00E32459" w:rsidP="000E3D61">
            <w:pPr>
              <w:rPr>
                <w:iCs/>
                <w:sz w:val="20"/>
              </w:rPr>
            </w:pPr>
          </w:p>
        </w:tc>
        <w:tc>
          <w:tcPr>
            <w:tcW w:w="890" w:type="pct"/>
            <w:shd w:val="clear" w:color="auto" w:fill="auto"/>
          </w:tcPr>
          <w:p w14:paraId="5936ECD7" w14:textId="77777777" w:rsidR="00E32459" w:rsidRPr="00B4100D" w:rsidRDefault="0053168E" w:rsidP="000E3D61">
            <w:pPr>
              <w:rPr>
                <w:iCs/>
                <w:sz w:val="20"/>
              </w:rPr>
            </w:pPr>
            <w:r w:rsidRPr="00B4100D">
              <w:rPr>
                <w:rFonts w:eastAsia="SimSun"/>
                <w:sz w:val="20"/>
                <w:lang w:eastAsia="nl-NL"/>
              </w:rPr>
              <w:t>Dilgėlinė, angioneurozinė edema, bronchų spazmas.</w:t>
            </w:r>
          </w:p>
        </w:tc>
      </w:tr>
      <w:tr w:rsidR="00823227" w:rsidRPr="00B4100D" w14:paraId="4923971D" w14:textId="77777777" w:rsidTr="0053168E">
        <w:tc>
          <w:tcPr>
            <w:tcW w:w="754" w:type="pct"/>
            <w:shd w:val="clear" w:color="auto" w:fill="auto"/>
          </w:tcPr>
          <w:p w14:paraId="57CAAA93" w14:textId="77777777" w:rsidR="00E32459" w:rsidRPr="00B4100D" w:rsidRDefault="0053168E" w:rsidP="000E3D61">
            <w:pPr>
              <w:autoSpaceDE w:val="0"/>
              <w:autoSpaceDN w:val="0"/>
              <w:adjustRightInd w:val="0"/>
              <w:rPr>
                <w:rFonts w:eastAsia="SimSun"/>
                <w:sz w:val="20"/>
                <w:lang w:eastAsia="nl-NL"/>
              </w:rPr>
            </w:pPr>
            <w:r w:rsidRPr="00B4100D">
              <w:rPr>
                <w:rFonts w:eastAsia="SimSun"/>
                <w:sz w:val="20"/>
                <w:lang w:eastAsia="nl-NL"/>
              </w:rPr>
              <w:t>Inkstų ir šlapimo takų sutrikimai</w:t>
            </w:r>
          </w:p>
        </w:tc>
        <w:tc>
          <w:tcPr>
            <w:tcW w:w="489" w:type="pct"/>
            <w:shd w:val="clear" w:color="auto" w:fill="auto"/>
          </w:tcPr>
          <w:p w14:paraId="14FEBC7F" w14:textId="77777777" w:rsidR="00E32459" w:rsidRPr="00B4100D" w:rsidRDefault="00E32459" w:rsidP="000E3D61">
            <w:pPr>
              <w:rPr>
                <w:iCs/>
                <w:sz w:val="20"/>
              </w:rPr>
            </w:pPr>
          </w:p>
        </w:tc>
        <w:tc>
          <w:tcPr>
            <w:tcW w:w="568" w:type="pct"/>
            <w:shd w:val="clear" w:color="auto" w:fill="auto"/>
          </w:tcPr>
          <w:p w14:paraId="0B92079E" w14:textId="77777777" w:rsidR="00E32459" w:rsidRPr="00B4100D" w:rsidRDefault="00E32459" w:rsidP="000E3D61">
            <w:pPr>
              <w:rPr>
                <w:iCs/>
                <w:sz w:val="20"/>
              </w:rPr>
            </w:pPr>
          </w:p>
        </w:tc>
        <w:tc>
          <w:tcPr>
            <w:tcW w:w="590" w:type="pct"/>
            <w:shd w:val="clear" w:color="auto" w:fill="auto"/>
          </w:tcPr>
          <w:p w14:paraId="7C3AE3B4" w14:textId="77777777" w:rsidR="00E32459" w:rsidRPr="00B4100D" w:rsidRDefault="00E32459" w:rsidP="000E3D61">
            <w:pPr>
              <w:rPr>
                <w:iCs/>
                <w:sz w:val="20"/>
              </w:rPr>
            </w:pPr>
          </w:p>
        </w:tc>
        <w:tc>
          <w:tcPr>
            <w:tcW w:w="856" w:type="pct"/>
            <w:shd w:val="clear" w:color="auto" w:fill="auto"/>
          </w:tcPr>
          <w:p w14:paraId="7A3E7024" w14:textId="77777777" w:rsidR="00E32459" w:rsidRPr="00B4100D" w:rsidRDefault="00E32459" w:rsidP="000E3D61">
            <w:pPr>
              <w:rPr>
                <w:iCs/>
                <w:sz w:val="20"/>
              </w:rPr>
            </w:pPr>
          </w:p>
        </w:tc>
        <w:tc>
          <w:tcPr>
            <w:tcW w:w="852" w:type="pct"/>
            <w:shd w:val="clear" w:color="auto" w:fill="auto"/>
          </w:tcPr>
          <w:p w14:paraId="486109BE" w14:textId="1B24A52D" w:rsidR="00E32459" w:rsidRPr="00B4100D" w:rsidRDefault="0053168E" w:rsidP="0053168E">
            <w:pPr>
              <w:rPr>
                <w:iCs/>
                <w:sz w:val="20"/>
              </w:rPr>
            </w:pPr>
            <w:r w:rsidRPr="00B4100D">
              <w:rPr>
                <w:iCs/>
                <w:sz w:val="20"/>
              </w:rPr>
              <w:t>Ilgalaikio gydymo struktūriškai panašiu chlorokvino fosfatu metu įvyko grįžtamoji fosfolipidozė (padidėjęs tarpląstelinių fosfolipidų kaupimasis), įskaitant inkstų fosfolipidozę. Tokiu atveju gali sustiprėti inkstų funkcij</w:t>
            </w:r>
            <w:r w:rsidR="00A85AFC" w:rsidRPr="00B4100D">
              <w:rPr>
                <w:iCs/>
                <w:sz w:val="20"/>
              </w:rPr>
              <w:t xml:space="preserve">os </w:t>
            </w:r>
            <w:r w:rsidRPr="00B4100D">
              <w:rPr>
                <w:iCs/>
                <w:sz w:val="20"/>
              </w:rPr>
              <w:t xml:space="preserve"> sutrikimas.</w:t>
            </w:r>
          </w:p>
        </w:tc>
        <w:tc>
          <w:tcPr>
            <w:tcW w:w="890" w:type="pct"/>
            <w:shd w:val="clear" w:color="auto" w:fill="auto"/>
          </w:tcPr>
          <w:p w14:paraId="4DBF90D2" w14:textId="77777777" w:rsidR="00E32459" w:rsidRPr="00B4100D" w:rsidRDefault="00E32459" w:rsidP="000E3D61">
            <w:pPr>
              <w:autoSpaceDE w:val="0"/>
              <w:autoSpaceDN w:val="0"/>
              <w:adjustRightInd w:val="0"/>
              <w:rPr>
                <w:rFonts w:eastAsia="SimSun"/>
                <w:sz w:val="20"/>
                <w:lang w:eastAsia="nl-NL"/>
              </w:rPr>
            </w:pPr>
          </w:p>
        </w:tc>
      </w:tr>
    </w:tbl>
    <w:p w14:paraId="756910AB" w14:textId="77777777" w:rsidR="0053168E" w:rsidRPr="00B4100D" w:rsidRDefault="0053168E" w:rsidP="0053168E">
      <w:pPr>
        <w:rPr>
          <w:iCs/>
          <w:sz w:val="18"/>
          <w:szCs w:val="18"/>
        </w:rPr>
      </w:pPr>
      <w:r w:rsidRPr="00B4100D">
        <w:rPr>
          <w:iCs/>
          <w:sz w:val="18"/>
          <w:szCs w:val="18"/>
          <w:vertAlign w:val="superscript"/>
        </w:rPr>
        <w:t xml:space="preserve">1 </w:t>
      </w:r>
      <w:r w:rsidR="003775DB" w:rsidRPr="00B4100D">
        <w:rPr>
          <w:iCs/>
          <w:sz w:val="18"/>
          <w:szCs w:val="18"/>
        </w:rPr>
        <w:t>Esant a</w:t>
      </w:r>
      <w:r w:rsidRPr="00B4100D">
        <w:rPr>
          <w:iCs/>
          <w:sz w:val="18"/>
          <w:szCs w:val="18"/>
        </w:rPr>
        <w:t>nkstyv</w:t>
      </w:r>
      <w:r w:rsidR="003775DB" w:rsidRPr="00B4100D">
        <w:rPr>
          <w:iCs/>
          <w:sz w:val="18"/>
          <w:szCs w:val="18"/>
        </w:rPr>
        <w:t xml:space="preserve">ajai </w:t>
      </w:r>
      <w:r w:rsidRPr="00B4100D">
        <w:rPr>
          <w:iCs/>
          <w:sz w:val="18"/>
          <w:szCs w:val="18"/>
        </w:rPr>
        <w:t>form</w:t>
      </w:r>
      <w:r w:rsidR="003775DB" w:rsidRPr="00B4100D">
        <w:rPr>
          <w:iCs/>
          <w:sz w:val="18"/>
          <w:szCs w:val="18"/>
        </w:rPr>
        <w:t xml:space="preserve">ai </w:t>
      </w:r>
      <w:r w:rsidRPr="00B4100D">
        <w:rPr>
          <w:iCs/>
          <w:sz w:val="18"/>
          <w:szCs w:val="18"/>
        </w:rPr>
        <w:t xml:space="preserve">gali būti grįžtama nutraukus </w:t>
      </w:r>
      <w:r w:rsidR="00E45116" w:rsidRPr="00B4100D">
        <w:rPr>
          <w:iCs/>
          <w:sz w:val="18"/>
          <w:szCs w:val="18"/>
        </w:rPr>
        <w:t>hidroksichlorokvino</w:t>
      </w:r>
      <w:r w:rsidR="003775DB" w:rsidRPr="00B4100D">
        <w:rPr>
          <w:iCs/>
          <w:sz w:val="18"/>
          <w:szCs w:val="18"/>
        </w:rPr>
        <w:t xml:space="preserve"> </w:t>
      </w:r>
      <w:r w:rsidRPr="00B4100D">
        <w:rPr>
          <w:iCs/>
          <w:sz w:val="18"/>
          <w:szCs w:val="18"/>
        </w:rPr>
        <w:t>vartojimą. Jei bus leista vystytis, gali kilti ligos progresavimo rizika net ir nutraukus gydymą.</w:t>
      </w:r>
    </w:p>
    <w:p w14:paraId="5AB167DB" w14:textId="77777777" w:rsidR="003775DB" w:rsidRPr="00B4100D" w:rsidRDefault="0053168E" w:rsidP="003775DB">
      <w:pPr>
        <w:rPr>
          <w:iCs/>
          <w:sz w:val="18"/>
          <w:szCs w:val="18"/>
        </w:rPr>
      </w:pPr>
      <w:r w:rsidRPr="00B4100D">
        <w:rPr>
          <w:iCs/>
          <w:sz w:val="18"/>
          <w:szCs w:val="18"/>
          <w:vertAlign w:val="superscript"/>
        </w:rPr>
        <w:t>2</w:t>
      </w:r>
      <w:r w:rsidR="003775DB" w:rsidRPr="00B4100D">
        <w:rPr>
          <w:iCs/>
          <w:sz w:val="18"/>
          <w:szCs w:val="18"/>
          <w:vertAlign w:val="superscript"/>
        </w:rPr>
        <w:t xml:space="preserve"> </w:t>
      </w:r>
      <w:r w:rsidR="003775DB" w:rsidRPr="00B4100D">
        <w:rPr>
          <w:iCs/>
          <w:sz w:val="18"/>
          <w:szCs w:val="18"/>
        </w:rPr>
        <w:t>Pokyčiai gali būti besimptomiai arba sukelti tokius sutrikimus kaip ratilai, neryškus matymas arba šviesos baimė. Jie gali būti laikini arba praeiti nutraukus gydymą.</w:t>
      </w:r>
    </w:p>
    <w:p w14:paraId="62EA2096" w14:textId="77777777" w:rsidR="003775DB" w:rsidRPr="00B4100D" w:rsidRDefault="003775DB" w:rsidP="003775DB">
      <w:pPr>
        <w:rPr>
          <w:iCs/>
          <w:sz w:val="18"/>
          <w:szCs w:val="18"/>
        </w:rPr>
      </w:pPr>
      <w:r w:rsidRPr="00B4100D">
        <w:rPr>
          <w:iCs/>
          <w:sz w:val="18"/>
          <w:szCs w:val="18"/>
          <w:vertAlign w:val="superscript"/>
        </w:rPr>
        <w:t xml:space="preserve">3 </w:t>
      </w:r>
      <w:r w:rsidRPr="00B4100D">
        <w:rPr>
          <w:iCs/>
          <w:sz w:val="18"/>
          <w:szCs w:val="18"/>
        </w:rPr>
        <w:t>Jis priklauso nuo dozės ir yra laikinas.</w:t>
      </w:r>
    </w:p>
    <w:p w14:paraId="4AF10723" w14:textId="77777777" w:rsidR="003775DB" w:rsidRPr="00B4100D" w:rsidRDefault="0053168E" w:rsidP="0053168E">
      <w:pPr>
        <w:rPr>
          <w:iCs/>
          <w:sz w:val="18"/>
          <w:szCs w:val="18"/>
        </w:rPr>
      </w:pPr>
      <w:r w:rsidRPr="00B4100D">
        <w:rPr>
          <w:iCs/>
          <w:sz w:val="18"/>
          <w:szCs w:val="18"/>
          <w:vertAlign w:val="superscript"/>
        </w:rPr>
        <w:t>4</w:t>
      </w:r>
      <w:r w:rsidR="003775DB" w:rsidRPr="00B4100D">
        <w:t xml:space="preserve"> </w:t>
      </w:r>
      <w:r w:rsidR="003775DB" w:rsidRPr="00B4100D">
        <w:rPr>
          <w:iCs/>
          <w:sz w:val="18"/>
          <w:szCs w:val="18"/>
        </w:rPr>
        <w:t>Šie simptomai paprastai išnyksta iš karto po dozės sumažinimo arba gydymo nutraukimo.</w:t>
      </w:r>
    </w:p>
    <w:p w14:paraId="1BABB218" w14:textId="77777777" w:rsidR="003775DB" w:rsidRPr="00B4100D" w:rsidRDefault="0053168E" w:rsidP="003775DB">
      <w:pPr>
        <w:rPr>
          <w:sz w:val="22"/>
          <w:szCs w:val="22"/>
        </w:rPr>
      </w:pPr>
      <w:r w:rsidRPr="00B4100D">
        <w:rPr>
          <w:iCs/>
          <w:sz w:val="18"/>
          <w:szCs w:val="18"/>
          <w:vertAlign w:val="superscript"/>
        </w:rPr>
        <w:t>5</w:t>
      </w:r>
      <w:r w:rsidR="003775DB" w:rsidRPr="00B4100D">
        <w:rPr>
          <w:iCs/>
          <w:sz w:val="18"/>
          <w:szCs w:val="18"/>
          <w:vertAlign w:val="superscript"/>
        </w:rPr>
        <w:t xml:space="preserve"> </w:t>
      </w:r>
      <w:r w:rsidR="003775DB" w:rsidRPr="00B4100D">
        <w:rPr>
          <w:iCs/>
          <w:sz w:val="18"/>
          <w:szCs w:val="18"/>
        </w:rPr>
        <w:t>Nutraukus vartojimą, gali būti grįžtama, bet sveikimas gali užtrukti keletą mėnesių.</w:t>
      </w:r>
    </w:p>
    <w:p w14:paraId="24DBF72C" w14:textId="77777777" w:rsidR="0053168E" w:rsidRPr="00B4100D" w:rsidRDefault="0053168E" w:rsidP="0053168E"/>
    <w:p w14:paraId="25A60C28" w14:textId="77777777" w:rsidR="00986560" w:rsidRPr="00B4100D" w:rsidRDefault="00986560" w:rsidP="00986560">
      <w:pPr>
        <w:tabs>
          <w:tab w:val="left" w:pos="567"/>
        </w:tabs>
        <w:autoSpaceDE w:val="0"/>
        <w:autoSpaceDN w:val="0"/>
        <w:adjustRightInd w:val="0"/>
        <w:spacing w:line="260" w:lineRule="exact"/>
        <w:jc w:val="both"/>
        <w:rPr>
          <w:snapToGrid w:val="0"/>
          <w:sz w:val="22"/>
          <w:szCs w:val="22"/>
          <w:u w:val="single"/>
        </w:rPr>
      </w:pPr>
      <w:r w:rsidRPr="00B4100D">
        <w:rPr>
          <w:snapToGrid w:val="0"/>
          <w:sz w:val="22"/>
          <w:szCs w:val="22"/>
          <w:u w:val="single"/>
        </w:rPr>
        <w:t>Pranešimas apie įtariamas nepageidaujamas reakcijas</w:t>
      </w:r>
    </w:p>
    <w:p w14:paraId="2E3B2D9A" w14:textId="26EFB801" w:rsidR="00111382" w:rsidRPr="00111382" w:rsidRDefault="00986560" w:rsidP="00111382">
      <w:pPr>
        <w:autoSpaceDE w:val="0"/>
        <w:autoSpaceDN w:val="0"/>
        <w:adjustRightInd w:val="0"/>
        <w:rPr>
          <w:sz w:val="22"/>
          <w:szCs w:val="22"/>
        </w:rPr>
      </w:pPr>
      <w:r w:rsidRPr="00B4100D">
        <w:rPr>
          <w:snapToGrid w:val="0"/>
          <w:sz w:val="22"/>
          <w:szCs w:val="22"/>
        </w:rPr>
        <w:t xml:space="preserve">Svarbu pranešti apie įtariamas nepageidaujamas reakcijas, pastebėtas po vaistinio preparato </w:t>
      </w:r>
      <w:r w:rsidR="00BD2C8C" w:rsidRPr="00B4100D">
        <w:rPr>
          <w:snapToGrid w:val="0"/>
          <w:sz w:val="22"/>
          <w:szCs w:val="22"/>
        </w:rPr>
        <w:t>registracijos</w:t>
      </w:r>
      <w:r w:rsidRPr="00B4100D">
        <w:rPr>
          <w:snapToGrid w:val="0"/>
          <w:sz w:val="22"/>
          <w:szCs w:val="22"/>
        </w:rPr>
        <w:t xml:space="preserve">, nes tai leidžia nuolat stebėti vaistinio preparato naudos ir rizikos santykį. </w:t>
      </w:r>
      <w:r w:rsidR="00111382" w:rsidRPr="00111382">
        <w:rPr>
          <w:sz w:val="22"/>
          <w:szCs w:val="22"/>
        </w:rPr>
        <w:t xml:space="preserve">Sveikatos priežiūros ar farmacijos specialistai turi pranešti apie bet kokias įtariamas nepageidaujamas reakcijas, tiesiogiai užpildę pranešimo formą internetu Tarnybos Vaistinių preparatų informacinėje sistemoje </w:t>
      </w:r>
      <w:r w:rsidR="00111382" w:rsidRPr="00111382">
        <w:rPr>
          <w:sz w:val="22"/>
          <w:szCs w:val="22"/>
          <w:u w:val="single"/>
        </w:rPr>
        <w:t>https://vapris.vvkt.lt/vvkt-web/public/nrvSpecialist</w:t>
      </w:r>
      <w:r w:rsidR="00111382" w:rsidRPr="00111382">
        <w:rPr>
          <w:sz w:val="22"/>
          <w:szCs w:val="22"/>
        </w:rPr>
        <w:t xml:space="preserve"> arba užpildę Sveikatos priežiūros ar farmacijos specialisto pranešimo apie įtariamą nepageidaujamą reakciją (ĮNR) formą, kuri skelbiama </w:t>
      </w:r>
      <w:r w:rsidR="00111382" w:rsidRPr="00111382">
        <w:rPr>
          <w:sz w:val="22"/>
          <w:szCs w:val="22"/>
          <w:u w:val="single"/>
        </w:rPr>
        <w:t>https://www.vvkt.lt/index.php?1399030386</w:t>
      </w:r>
      <w:r w:rsidR="00111382" w:rsidRPr="00111382">
        <w:rPr>
          <w:sz w:val="22"/>
          <w:szCs w:val="22"/>
        </w:rPr>
        <w:t>, ir atsiųsti elektroniniu paštu (adresu NepageidaujamaR@vvkt.lt).</w:t>
      </w:r>
    </w:p>
    <w:p w14:paraId="54E62D36" w14:textId="77777777" w:rsidR="00986560" w:rsidRPr="00B4100D" w:rsidRDefault="00986560" w:rsidP="00111382">
      <w:pPr>
        <w:autoSpaceDE w:val="0"/>
        <w:autoSpaceDN w:val="0"/>
        <w:adjustRightInd w:val="0"/>
        <w:rPr>
          <w:sz w:val="22"/>
          <w:szCs w:val="22"/>
        </w:rPr>
      </w:pPr>
    </w:p>
    <w:p w14:paraId="1D615B64" w14:textId="77777777" w:rsidR="00986560" w:rsidRPr="00B4100D" w:rsidRDefault="00986560" w:rsidP="00B24230">
      <w:pPr>
        <w:pStyle w:val="PI-2EMEASMCA"/>
      </w:pPr>
      <w:bookmarkStart w:id="32" w:name="_Toc129243110"/>
      <w:bookmarkStart w:id="33" w:name="_Toc129243235"/>
      <w:r w:rsidRPr="00B4100D">
        <w:lastRenderedPageBreak/>
        <w:t>4.9</w:t>
      </w:r>
      <w:r w:rsidRPr="00B4100D">
        <w:tab/>
        <w:t>Perdozavimas</w:t>
      </w:r>
      <w:bookmarkEnd w:id="32"/>
      <w:bookmarkEnd w:id="33"/>
    </w:p>
    <w:p w14:paraId="3AFBDEF3" w14:textId="77777777" w:rsidR="00986560" w:rsidRPr="00B4100D" w:rsidRDefault="00986560" w:rsidP="000874A7">
      <w:pPr>
        <w:pStyle w:val="BTEMEASMCA"/>
        <w:keepNext/>
      </w:pPr>
    </w:p>
    <w:p w14:paraId="6BA4DF06" w14:textId="77777777" w:rsidR="00986560" w:rsidRPr="00B4100D" w:rsidRDefault="00986560" w:rsidP="000874A7">
      <w:pPr>
        <w:keepNext/>
        <w:rPr>
          <w:sz w:val="22"/>
          <w:szCs w:val="22"/>
        </w:rPr>
      </w:pPr>
      <w:r w:rsidRPr="00B4100D">
        <w:rPr>
          <w:sz w:val="22"/>
          <w:szCs w:val="22"/>
        </w:rPr>
        <w:t>4-amino</w:t>
      </w:r>
      <w:r w:rsidR="000E3D61" w:rsidRPr="00B4100D">
        <w:rPr>
          <w:sz w:val="22"/>
          <w:szCs w:val="22"/>
        </w:rPr>
        <w:t>kv</w:t>
      </w:r>
      <w:r w:rsidRPr="00B4100D">
        <w:rPr>
          <w:sz w:val="22"/>
          <w:szCs w:val="22"/>
        </w:rPr>
        <w:t>inolinų perdozavimas ypač pavojingas kūdikiams, 1–2</w:t>
      </w:r>
      <w:r w:rsidR="00E45116" w:rsidRPr="00B4100D">
        <w:rPr>
          <w:sz w:val="22"/>
          <w:szCs w:val="22"/>
        </w:rPr>
        <w:t> </w:t>
      </w:r>
      <w:r w:rsidRPr="00B4100D">
        <w:rPr>
          <w:sz w:val="22"/>
          <w:szCs w:val="22"/>
        </w:rPr>
        <w:t>g šių vaistinių preparatų yra mirtina dozė.</w:t>
      </w:r>
    </w:p>
    <w:p w14:paraId="2F0CE5B6" w14:textId="77777777" w:rsidR="00986560" w:rsidRPr="00B4100D" w:rsidRDefault="00986560" w:rsidP="00986560">
      <w:pPr>
        <w:rPr>
          <w:sz w:val="22"/>
          <w:szCs w:val="22"/>
        </w:rPr>
      </w:pPr>
    </w:p>
    <w:p w14:paraId="1CD54CC3" w14:textId="77777777" w:rsidR="000E3D61" w:rsidRPr="00B4100D" w:rsidRDefault="000E3D61" w:rsidP="00986560">
      <w:pPr>
        <w:rPr>
          <w:sz w:val="22"/>
          <w:szCs w:val="22"/>
          <w:u w:val="single"/>
        </w:rPr>
      </w:pPr>
      <w:r w:rsidRPr="00B4100D">
        <w:rPr>
          <w:sz w:val="22"/>
          <w:szCs w:val="22"/>
          <w:u w:val="single"/>
        </w:rPr>
        <w:t>Simptomai</w:t>
      </w:r>
    </w:p>
    <w:p w14:paraId="3DEE9FEB" w14:textId="60A95CEC" w:rsidR="00986560" w:rsidRPr="00B4100D" w:rsidRDefault="00986560" w:rsidP="00986560">
      <w:pPr>
        <w:rPr>
          <w:sz w:val="22"/>
          <w:szCs w:val="22"/>
        </w:rPr>
      </w:pPr>
      <w:r w:rsidRPr="00B4100D">
        <w:rPr>
          <w:sz w:val="22"/>
          <w:szCs w:val="22"/>
        </w:rPr>
        <w:t xml:space="preserve">Perdozavimo simptomai gali būti galvos skausmas, regėjimo sutrikimas, širdies ir kraujagyslių kolapsas, traukuliai, hipokalemija, ritmo ir laidumo sutrikimai, įskaitant QT pailgėjimą, </w:t>
      </w:r>
      <w:r w:rsidRPr="00B4100D">
        <w:rPr>
          <w:i/>
          <w:sz w:val="22"/>
          <w:szCs w:val="22"/>
        </w:rPr>
        <w:t>torsade</w:t>
      </w:r>
      <w:r w:rsidR="005E368C" w:rsidRPr="00B4100D">
        <w:rPr>
          <w:i/>
          <w:sz w:val="22"/>
          <w:szCs w:val="22"/>
        </w:rPr>
        <w:t>s</w:t>
      </w:r>
      <w:r w:rsidRPr="00B4100D">
        <w:rPr>
          <w:i/>
          <w:sz w:val="22"/>
          <w:szCs w:val="22"/>
        </w:rPr>
        <w:t xml:space="preserve"> de pointes</w:t>
      </w:r>
      <w:r w:rsidRPr="00B4100D">
        <w:rPr>
          <w:sz w:val="22"/>
          <w:szCs w:val="22"/>
        </w:rPr>
        <w:t xml:space="preserve">, skilvelinę tachikardiją ir skilvelių virpėjimą, </w:t>
      </w:r>
      <w:r w:rsidR="00B24230" w:rsidRPr="00B24230">
        <w:rPr>
          <w:sz w:val="22"/>
          <w:szCs w:val="22"/>
        </w:rPr>
        <w:t>QRS komplekso praplatėjimą, bradiaritmijas, mazginį ritmą, atrioventrikulinę blokadą,</w:t>
      </w:r>
      <w:r w:rsidR="00B24230">
        <w:rPr>
          <w:sz w:val="22"/>
          <w:szCs w:val="22"/>
        </w:rPr>
        <w:t xml:space="preserve"> </w:t>
      </w:r>
      <w:r w:rsidRPr="00B4100D">
        <w:rPr>
          <w:sz w:val="22"/>
          <w:szCs w:val="22"/>
        </w:rPr>
        <w:t xml:space="preserve">dėl kurių gali staiga mirtinai sustoti kvėpavimas ir širdis. Reikalinga skubi medicininė </w:t>
      </w:r>
      <w:r w:rsidR="00974301" w:rsidRPr="00B4100D">
        <w:rPr>
          <w:sz w:val="22"/>
          <w:szCs w:val="22"/>
        </w:rPr>
        <w:t>pagalba</w:t>
      </w:r>
      <w:r w:rsidRPr="00B4100D">
        <w:rPr>
          <w:sz w:val="22"/>
          <w:szCs w:val="22"/>
        </w:rPr>
        <w:t xml:space="preserve">, kadangi perdozavus šie simptomai gali greitai pasireikšti. </w:t>
      </w:r>
    </w:p>
    <w:p w14:paraId="0679D45D" w14:textId="77777777" w:rsidR="00E45116" w:rsidRPr="00B4100D" w:rsidRDefault="00E45116" w:rsidP="00986560">
      <w:pPr>
        <w:rPr>
          <w:sz w:val="22"/>
          <w:szCs w:val="22"/>
        </w:rPr>
      </w:pPr>
    </w:p>
    <w:p w14:paraId="1B733110" w14:textId="0E87A217" w:rsidR="000E3D61" w:rsidRPr="00B4100D" w:rsidRDefault="008A4D57" w:rsidP="00986560">
      <w:pPr>
        <w:rPr>
          <w:sz w:val="22"/>
          <w:szCs w:val="22"/>
          <w:u w:val="single"/>
        </w:rPr>
      </w:pPr>
      <w:r w:rsidRPr="00B4100D">
        <w:rPr>
          <w:sz w:val="22"/>
          <w:szCs w:val="22"/>
          <w:u w:val="single"/>
        </w:rPr>
        <w:t xml:space="preserve">Gydymas </w:t>
      </w:r>
    </w:p>
    <w:p w14:paraId="2D2DF786" w14:textId="77777777" w:rsidR="00986560" w:rsidRPr="00B4100D" w:rsidRDefault="001E184B" w:rsidP="00986560">
      <w:pPr>
        <w:rPr>
          <w:sz w:val="22"/>
          <w:szCs w:val="22"/>
        </w:rPr>
      </w:pPr>
      <w:r w:rsidRPr="00B4100D">
        <w:rPr>
          <w:sz w:val="22"/>
          <w:szCs w:val="22"/>
        </w:rPr>
        <w:t>Vienos valandos laikotarpiu po nurijimo b</w:t>
      </w:r>
      <w:r w:rsidR="00986560" w:rsidRPr="00B4100D">
        <w:rPr>
          <w:sz w:val="22"/>
          <w:szCs w:val="22"/>
        </w:rPr>
        <w:t>ūtina pašalinti skrandžio turinį – sukelti vėmimą arba išplauti skrandį. Vaistinio preparato absorbciją gali sumažinti aktyvinta anglis, jei išplovus skrandį jos suleidžiama p</w:t>
      </w:r>
      <w:r w:rsidRPr="00B4100D">
        <w:rPr>
          <w:sz w:val="22"/>
          <w:szCs w:val="22"/>
        </w:rPr>
        <w:t>er</w:t>
      </w:r>
      <w:r w:rsidR="00986560" w:rsidRPr="00B4100D">
        <w:rPr>
          <w:sz w:val="22"/>
          <w:szCs w:val="22"/>
        </w:rPr>
        <w:t xml:space="preserve"> zondą bent 5 kartus daugiau negu išgerto vaistinio preparato ir po išgėrimo praėjo ne daugiau kaip 30 minučių.</w:t>
      </w:r>
    </w:p>
    <w:p w14:paraId="577D98CF" w14:textId="77777777" w:rsidR="00986560" w:rsidRPr="00B4100D" w:rsidRDefault="00986560" w:rsidP="00986560">
      <w:pPr>
        <w:rPr>
          <w:sz w:val="22"/>
          <w:szCs w:val="22"/>
        </w:rPr>
      </w:pPr>
    </w:p>
    <w:p w14:paraId="085C21D5" w14:textId="77777777" w:rsidR="00986560" w:rsidRPr="00B4100D" w:rsidRDefault="001E184B" w:rsidP="00986560">
      <w:pPr>
        <w:rPr>
          <w:sz w:val="22"/>
          <w:szCs w:val="22"/>
        </w:rPr>
      </w:pPr>
      <w:r w:rsidRPr="00B4100D">
        <w:rPr>
          <w:sz w:val="22"/>
          <w:szCs w:val="22"/>
        </w:rPr>
        <w:t>Perdozavimo atvejais g</w:t>
      </w:r>
      <w:r w:rsidR="00986560" w:rsidRPr="00B4100D">
        <w:rPr>
          <w:sz w:val="22"/>
          <w:szCs w:val="22"/>
        </w:rPr>
        <w:t>ali būti tikslinga suleisti diazepamo, nes tyrimai parodė, kad jis mažina chlorokvino kardiotoksinį poveikį.</w:t>
      </w:r>
    </w:p>
    <w:p w14:paraId="518A99AE" w14:textId="77777777" w:rsidR="00986560" w:rsidRPr="00B4100D" w:rsidRDefault="00986560" w:rsidP="00986560">
      <w:pPr>
        <w:rPr>
          <w:sz w:val="22"/>
          <w:szCs w:val="22"/>
        </w:rPr>
      </w:pPr>
    </w:p>
    <w:p w14:paraId="73A5C7D9" w14:textId="5143A6FB" w:rsidR="00667BB5" w:rsidRPr="00B4100D" w:rsidRDefault="00667BB5" w:rsidP="001E184B">
      <w:pPr>
        <w:rPr>
          <w:sz w:val="22"/>
          <w:szCs w:val="22"/>
        </w:rPr>
      </w:pPr>
      <w:r w:rsidRPr="00667BB5">
        <w:rPr>
          <w:sz w:val="22"/>
          <w:szCs w:val="22"/>
        </w:rPr>
        <w:t xml:space="preserve">Prireikus reikia pradėti kvėpavimo </w:t>
      </w:r>
      <w:r>
        <w:rPr>
          <w:sz w:val="22"/>
          <w:szCs w:val="22"/>
        </w:rPr>
        <w:t xml:space="preserve">funkcijos </w:t>
      </w:r>
      <w:r w:rsidRPr="00667BB5">
        <w:rPr>
          <w:sz w:val="22"/>
          <w:szCs w:val="22"/>
        </w:rPr>
        <w:t>palaikymą ir šoko gydymą.</w:t>
      </w:r>
    </w:p>
    <w:p w14:paraId="27DA43CB" w14:textId="77777777" w:rsidR="001E184B" w:rsidRPr="00B4100D" w:rsidRDefault="001E184B" w:rsidP="001E184B">
      <w:pPr>
        <w:rPr>
          <w:sz w:val="22"/>
          <w:szCs w:val="22"/>
        </w:rPr>
      </w:pPr>
    </w:p>
    <w:p w14:paraId="7B677E76" w14:textId="77777777" w:rsidR="00986560" w:rsidRPr="00B4100D" w:rsidRDefault="00986560" w:rsidP="006E671E">
      <w:pPr>
        <w:pStyle w:val="BTEMEASMCA"/>
      </w:pPr>
    </w:p>
    <w:p w14:paraId="4C6B6C27" w14:textId="77777777" w:rsidR="00986560" w:rsidRPr="00B4100D" w:rsidRDefault="00986560" w:rsidP="00986560">
      <w:pPr>
        <w:pStyle w:val="PI-1EMEASMCA"/>
      </w:pPr>
      <w:bookmarkStart w:id="34" w:name="_Toc129243111"/>
      <w:bookmarkStart w:id="35" w:name="_Toc129243236"/>
      <w:r w:rsidRPr="00B4100D">
        <w:t>5.</w:t>
      </w:r>
      <w:r w:rsidRPr="00B4100D">
        <w:tab/>
        <w:t>FARMAKOLOGINĖS SAVYBĖS</w:t>
      </w:r>
      <w:bookmarkEnd w:id="34"/>
      <w:bookmarkEnd w:id="35"/>
    </w:p>
    <w:p w14:paraId="5020F49A" w14:textId="77777777" w:rsidR="00986560" w:rsidRPr="00B4100D" w:rsidRDefault="00986560" w:rsidP="006E671E">
      <w:pPr>
        <w:pStyle w:val="BTEMEASMCA"/>
      </w:pPr>
    </w:p>
    <w:p w14:paraId="1B548905" w14:textId="77777777" w:rsidR="00986560" w:rsidRPr="00B4100D" w:rsidRDefault="00986560" w:rsidP="0056757C">
      <w:pPr>
        <w:pStyle w:val="PI-2EMEASMCA"/>
      </w:pPr>
      <w:bookmarkStart w:id="36" w:name="_Toc129243112"/>
      <w:bookmarkStart w:id="37" w:name="_Toc129243237"/>
      <w:r w:rsidRPr="00B4100D">
        <w:t>5.1</w:t>
      </w:r>
      <w:r w:rsidRPr="00B4100D">
        <w:tab/>
        <w:t>Farmakodinaminės savybės</w:t>
      </w:r>
      <w:bookmarkEnd w:id="36"/>
      <w:bookmarkEnd w:id="37"/>
    </w:p>
    <w:p w14:paraId="15194CD3" w14:textId="77777777" w:rsidR="00986560" w:rsidRPr="00B4100D" w:rsidRDefault="00986560" w:rsidP="006E671E">
      <w:pPr>
        <w:pStyle w:val="BTEMEASMCA"/>
      </w:pPr>
    </w:p>
    <w:p w14:paraId="06A5037D" w14:textId="77777777" w:rsidR="00986560" w:rsidRPr="00B4100D" w:rsidRDefault="00986560" w:rsidP="00C475DF">
      <w:pPr>
        <w:rPr>
          <w:sz w:val="22"/>
          <w:szCs w:val="22"/>
        </w:rPr>
      </w:pPr>
      <w:r w:rsidRPr="00B4100D">
        <w:rPr>
          <w:sz w:val="22"/>
          <w:szCs w:val="22"/>
        </w:rPr>
        <w:t>Farmakoterapinė grupė –</w:t>
      </w:r>
      <w:r w:rsidR="00DA1C54" w:rsidRPr="00B4100D">
        <w:rPr>
          <w:sz w:val="22"/>
          <w:szCs w:val="22"/>
        </w:rPr>
        <w:t xml:space="preserve"> </w:t>
      </w:r>
      <w:r w:rsidRPr="00B4100D">
        <w:rPr>
          <w:sz w:val="22"/>
          <w:szCs w:val="22"/>
        </w:rPr>
        <w:t>vaistiniai preparatai</w:t>
      </w:r>
      <w:r w:rsidR="00DA1C54" w:rsidRPr="00B4100D">
        <w:rPr>
          <w:sz w:val="22"/>
          <w:szCs w:val="22"/>
        </w:rPr>
        <w:t xml:space="preserve"> nuo pirmuonių</w:t>
      </w:r>
      <w:r w:rsidR="00461F0B" w:rsidRPr="00B4100D">
        <w:rPr>
          <w:sz w:val="22"/>
          <w:szCs w:val="22"/>
        </w:rPr>
        <w:t xml:space="preserve">, </w:t>
      </w:r>
      <w:r w:rsidR="00E45116" w:rsidRPr="00B4100D">
        <w:rPr>
          <w:sz w:val="22"/>
          <w:szCs w:val="22"/>
        </w:rPr>
        <w:t xml:space="preserve">aminokvinolinai, </w:t>
      </w:r>
      <w:r w:rsidRPr="00B4100D">
        <w:rPr>
          <w:sz w:val="22"/>
          <w:szCs w:val="22"/>
        </w:rPr>
        <w:t xml:space="preserve">ATC kodas – </w:t>
      </w:r>
      <w:r w:rsidRPr="00B4100D">
        <w:rPr>
          <w:color w:val="000000"/>
          <w:sz w:val="22"/>
          <w:szCs w:val="22"/>
        </w:rPr>
        <w:t>P01BA02.</w:t>
      </w:r>
    </w:p>
    <w:p w14:paraId="038374CE" w14:textId="77777777" w:rsidR="00986560" w:rsidRPr="00B4100D" w:rsidRDefault="00986560" w:rsidP="006E671E">
      <w:pPr>
        <w:pStyle w:val="BTEMEASMCA"/>
      </w:pPr>
    </w:p>
    <w:p w14:paraId="6524C49F" w14:textId="05E0F803" w:rsidR="00DA1C54" w:rsidRPr="00B4100D" w:rsidRDefault="00DA1C54" w:rsidP="00DA1C54">
      <w:pPr>
        <w:rPr>
          <w:sz w:val="22"/>
          <w:szCs w:val="22"/>
        </w:rPr>
      </w:pPr>
      <w:r w:rsidRPr="00B4100D">
        <w:rPr>
          <w:sz w:val="22"/>
          <w:szCs w:val="22"/>
        </w:rPr>
        <w:t>Antimalarialiniai vaistiniai preparatai, tokie kaip chlorokvinas ir hidroksichlorokvinas, pasižymi keletu farmakologinių savybių, nuo kurių gali priklausyti jų terapinis poveikis gydant reumatines ligas, tačiau kiekvieno jų vaidmuo nežinomas. Tai apima sąveiką su sulfidrilo grupėmis</w:t>
      </w:r>
      <w:r w:rsidR="00B61CFA" w:rsidRPr="00B4100D">
        <w:rPr>
          <w:sz w:val="22"/>
          <w:szCs w:val="22"/>
        </w:rPr>
        <w:t>, poveikis fermentų (fosfolipazės, NADH-citochromo C reduktazės, cholinesterazės, proteazių, hidrolazių) aktyvumui, jungimasis prie DNR, lizosomų membranų stabilizavimas, prostaglandinų sintezės, polimorfonuklearinių ląstelių chemotaksio ir fagocitozės slopinimas, galimas interleukino-1 gamybos monocituose trikdymas, superoksido išsiskyrimo iš neutrofilų mažinimas.</w:t>
      </w:r>
      <w:r w:rsidRPr="00B4100D">
        <w:rPr>
          <w:sz w:val="22"/>
          <w:szCs w:val="22"/>
        </w:rPr>
        <w:t xml:space="preserve"> Antiprotozoinį ir antireumatinį poveikį taip pat galima paaiškinti jo kaupimusi ląstelių pūslelėse ir jų pH didėjimu.</w:t>
      </w:r>
    </w:p>
    <w:p w14:paraId="4E97F408" w14:textId="77777777" w:rsidR="00DA1C54" w:rsidRPr="00B4100D" w:rsidRDefault="00DA1C54" w:rsidP="00986560">
      <w:pPr>
        <w:rPr>
          <w:sz w:val="22"/>
          <w:szCs w:val="22"/>
        </w:rPr>
      </w:pPr>
    </w:p>
    <w:p w14:paraId="3679C2CE" w14:textId="77777777" w:rsidR="00986560" w:rsidRPr="00B4100D" w:rsidRDefault="00986560" w:rsidP="000874A7">
      <w:pPr>
        <w:pStyle w:val="PI-2EMEASMCA"/>
      </w:pPr>
      <w:bookmarkStart w:id="38" w:name="_Toc129243113"/>
      <w:bookmarkStart w:id="39" w:name="_Toc129243238"/>
      <w:r w:rsidRPr="00B4100D">
        <w:t>5.2</w:t>
      </w:r>
      <w:r w:rsidRPr="00B4100D">
        <w:tab/>
        <w:t>Farmakokinetinės savybės</w:t>
      </w:r>
      <w:bookmarkEnd w:id="38"/>
      <w:bookmarkEnd w:id="39"/>
    </w:p>
    <w:p w14:paraId="783321E3" w14:textId="77777777" w:rsidR="00986560" w:rsidRPr="00B4100D" w:rsidRDefault="00986560" w:rsidP="00B61CFA">
      <w:pPr>
        <w:pStyle w:val="BTEMEASMCA"/>
        <w:widowControl w:val="0"/>
      </w:pPr>
    </w:p>
    <w:p w14:paraId="5CA8057D" w14:textId="77777777" w:rsidR="00986560" w:rsidRPr="00B4100D" w:rsidRDefault="00986560" w:rsidP="00B61CFA">
      <w:pPr>
        <w:widowControl w:val="0"/>
        <w:rPr>
          <w:sz w:val="22"/>
          <w:szCs w:val="22"/>
          <w:u w:val="single"/>
        </w:rPr>
      </w:pPr>
      <w:r w:rsidRPr="00B4100D">
        <w:rPr>
          <w:sz w:val="22"/>
          <w:szCs w:val="22"/>
          <w:u w:val="single"/>
        </w:rPr>
        <w:t>Absorbcija</w:t>
      </w:r>
    </w:p>
    <w:p w14:paraId="7280EA70" w14:textId="77777777" w:rsidR="002F7E1B" w:rsidRPr="00B4100D" w:rsidRDefault="002F7E1B" w:rsidP="002F7E1B">
      <w:pPr>
        <w:keepNext/>
        <w:keepLines/>
        <w:rPr>
          <w:sz w:val="22"/>
          <w:szCs w:val="22"/>
        </w:rPr>
      </w:pPr>
      <w:r w:rsidRPr="00EA1CA2">
        <w:rPr>
          <w:sz w:val="22"/>
          <w:szCs w:val="22"/>
        </w:rPr>
        <w:t>Pavartojus per burną, didžiausia koncentracija kraujo plazmoje arba kraujyje atsiranda maždaug per 3</w:t>
      </w:r>
      <w:r w:rsidRPr="00EA1CA2">
        <w:rPr>
          <w:sz w:val="22"/>
          <w:szCs w:val="22"/>
        </w:rPr>
        <w:noBreakHyphen/>
        <w:t xml:space="preserve">4 valandas. Vidutinis absoliutus per burną </w:t>
      </w:r>
      <w:r w:rsidRPr="006C1FDF">
        <w:rPr>
          <w:sz w:val="22"/>
          <w:szCs w:val="22"/>
        </w:rPr>
        <w:t xml:space="preserve">nevalgius </w:t>
      </w:r>
      <w:r w:rsidRPr="00EA1CA2">
        <w:rPr>
          <w:sz w:val="22"/>
          <w:szCs w:val="22"/>
        </w:rPr>
        <w:t xml:space="preserve">pavartoto vaistinio preparato biologinis prieinamumas yra 79 % (SN 12 %). </w:t>
      </w:r>
      <w:r w:rsidRPr="006C1FDF">
        <w:rPr>
          <w:sz w:val="22"/>
          <w:szCs w:val="22"/>
        </w:rPr>
        <w:t>Maistas įtakos per burną vartojamo hidroksichlorokvino biologiniam prieinamumui nedaro.</w:t>
      </w:r>
    </w:p>
    <w:p w14:paraId="2C9AF34D" w14:textId="77777777" w:rsidR="00986560" w:rsidRPr="00B4100D" w:rsidRDefault="00986560" w:rsidP="00B61CFA">
      <w:pPr>
        <w:widowControl w:val="0"/>
        <w:rPr>
          <w:sz w:val="22"/>
          <w:szCs w:val="22"/>
        </w:rPr>
      </w:pPr>
    </w:p>
    <w:p w14:paraId="4F74AA10" w14:textId="77777777" w:rsidR="00986560" w:rsidRPr="00B4100D" w:rsidRDefault="00986560" w:rsidP="00B61CFA">
      <w:pPr>
        <w:widowControl w:val="0"/>
        <w:rPr>
          <w:sz w:val="22"/>
          <w:szCs w:val="22"/>
          <w:u w:val="single"/>
        </w:rPr>
      </w:pPr>
      <w:r w:rsidRPr="00B4100D">
        <w:rPr>
          <w:sz w:val="22"/>
          <w:szCs w:val="22"/>
          <w:u w:val="single"/>
        </w:rPr>
        <w:t>Pasiskirstymas</w:t>
      </w:r>
    </w:p>
    <w:p w14:paraId="55D4D136" w14:textId="787D18A8" w:rsidR="002F7E1B" w:rsidRPr="001B208C" w:rsidRDefault="002F7E1B" w:rsidP="002F7E1B">
      <w:pPr>
        <w:rPr>
          <w:sz w:val="22"/>
        </w:rPr>
      </w:pPr>
      <w:r w:rsidRPr="00EA1CA2">
        <w:rPr>
          <w:sz w:val="22"/>
          <w:szCs w:val="22"/>
        </w:rPr>
        <w:t>Hidroksichlorokvino pasiskirstymo tūris yra didelis (5500 l vertinant koncentraciją kraujyje, 44000 l vertinant koncentraciją kraujo plazmoje), nes vaistinis preparatas ekstensyviai kaupiasi audiniuose</w:t>
      </w:r>
      <w:r>
        <w:rPr>
          <w:sz w:val="22"/>
          <w:szCs w:val="22"/>
        </w:rPr>
        <w:t xml:space="preserve"> (pvz., akyse, inkstuose, kepenyse ir plaučiuose)</w:t>
      </w:r>
      <w:r w:rsidR="006116AF">
        <w:rPr>
          <w:sz w:val="22"/>
          <w:szCs w:val="22"/>
        </w:rPr>
        <w:t>, taip pat n</w:t>
      </w:r>
      <w:r w:rsidRPr="00EA1CA2">
        <w:rPr>
          <w:sz w:val="22"/>
          <w:szCs w:val="22"/>
        </w:rPr>
        <w:t xml:space="preserve">ustatyta, kad hidroksichlorokvinas kaupiasi kraujo ląstelėse, </w:t>
      </w:r>
      <w:r w:rsidR="006116AF">
        <w:rPr>
          <w:sz w:val="22"/>
          <w:szCs w:val="22"/>
        </w:rPr>
        <w:t>koncentracijos</w:t>
      </w:r>
      <w:r w:rsidRPr="00EA1CA2">
        <w:rPr>
          <w:sz w:val="22"/>
          <w:szCs w:val="22"/>
        </w:rPr>
        <w:t xml:space="preserve"> kraujyje ir kraujo plazmoje santykis būna 7,2. Maždaug 50 </w:t>
      </w:r>
      <w:r w:rsidRPr="001B208C">
        <w:rPr>
          <w:sz w:val="22"/>
        </w:rPr>
        <w:t>%</w:t>
      </w:r>
      <w:r w:rsidRPr="00EA1CA2">
        <w:rPr>
          <w:sz w:val="22"/>
          <w:szCs w:val="22"/>
        </w:rPr>
        <w:t xml:space="preserve"> hidroksichlorokvino prisijungia prie kraujo plazmos baltymų. </w:t>
      </w:r>
    </w:p>
    <w:p w14:paraId="0CFA1748" w14:textId="77777777" w:rsidR="00986560" w:rsidRPr="00B4100D" w:rsidRDefault="00986560" w:rsidP="00986560">
      <w:pPr>
        <w:rPr>
          <w:sz w:val="22"/>
          <w:szCs w:val="22"/>
          <w:u w:val="single"/>
        </w:rPr>
      </w:pPr>
    </w:p>
    <w:p w14:paraId="715BEFA2" w14:textId="77777777" w:rsidR="00986560" w:rsidRPr="00B4100D" w:rsidRDefault="00986560" w:rsidP="000874A7">
      <w:pPr>
        <w:keepNext/>
        <w:rPr>
          <w:sz w:val="22"/>
          <w:szCs w:val="22"/>
          <w:u w:val="single"/>
        </w:rPr>
      </w:pPr>
      <w:r w:rsidRPr="00B4100D">
        <w:rPr>
          <w:sz w:val="22"/>
          <w:szCs w:val="22"/>
          <w:u w:val="single"/>
        </w:rPr>
        <w:lastRenderedPageBreak/>
        <w:t>Biotransformacija</w:t>
      </w:r>
    </w:p>
    <w:p w14:paraId="7E382C98" w14:textId="070FF94D" w:rsidR="002F7E1B" w:rsidRPr="006C1FDF" w:rsidRDefault="002F7E1B" w:rsidP="002F7E1B">
      <w:pPr>
        <w:rPr>
          <w:sz w:val="22"/>
        </w:rPr>
      </w:pPr>
      <w:r w:rsidRPr="00EA1CA2">
        <w:rPr>
          <w:sz w:val="22"/>
          <w:szCs w:val="22"/>
        </w:rPr>
        <w:t>Hidroksichlorokvinas daugiausia yra metabolizuojamas į N-desetilhidroksichlorokviną</w:t>
      </w:r>
      <w:r>
        <w:rPr>
          <w:sz w:val="22"/>
          <w:szCs w:val="22"/>
        </w:rPr>
        <w:t xml:space="preserve"> ir</w:t>
      </w:r>
      <w:r w:rsidRPr="00EA1CA2">
        <w:rPr>
          <w:sz w:val="22"/>
          <w:szCs w:val="22"/>
        </w:rPr>
        <w:t xml:space="preserve"> du kit</w:t>
      </w:r>
      <w:r>
        <w:rPr>
          <w:sz w:val="22"/>
          <w:szCs w:val="22"/>
        </w:rPr>
        <w:t>us</w:t>
      </w:r>
      <w:r w:rsidRPr="00EA1CA2">
        <w:rPr>
          <w:sz w:val="22"/>
          <w:szCs w:val="22"/>
        </w:rPr>
        <w:t xml:space="preserve"> metabolit</w:t>
      </w:r>
      <w:r>
        <w:rPr>
          <w:sz w:val="22"/>
          <w:szCs w:val="22"/>
        </w:rPr>
        <w:t>us, kurie</w:t>
      </w:r>
      <w:r w:rsidRPr="00EA1CA2">
        <w:rPr>
          <w:sz w:val="22"/>
          <w:szCs w:val="22"/>
        </w:rPr>
        <w:t xml:space="preserve"> yra tokie patys kaip ir chlorokvino, desetilchlorokvin</w:t>
      </w:r>
      <w:r w:rsidR="006116AF">
        <w:rPr>
          <w:sz w:val="22"/>
          <w:szCs w:val="22"/>
        </w:rPr>
        <w:t>ą</w:t>
      </w:r>
      <w:r w:rsidRPr="00EA1CA2">
        <w:rPr>
          <w:sz w:val="22"/>
          <w:szCs w:val="22"/>
        </w:rPr>
        <w:t xml:space="preserve"> ir bidesetilchlorokvin</w:t>
      </w:r>
      <w:r w:rsidR="006116AF">
        <w:rPr>
          <w:sz w:val="22"/>
          <w:szCs w:val="22"/>
        </w:rPr>
        <w:t>ą</w:t>
      </w:r>
      <w:r w:rsidRPr="00EA1CA2">
        <w:rPr>
          <w:sz w:val="22"/>
          <w:szCs w:val="22"/>
        </w:rPr>
        <w:t xml:space="preserve">. </w:t>
      </w:r>
      <w:r w:rsidRPr="00F3268E">
        <w:rPr>
          <w:i/>
          <w:iCs/>
          <w:sz w:val="22"/>
          <w:szCs w:val="22"/>
        </w:rPr>
        <w:t>In vitro</w:t>
      </w:r>
      <w:r w:rsidRPr="00F3268E">
        <w:rPr>
          <w:sz w:val="22"/>
          <w:szCs w:val="22"/>
        </w:rPr>
        <w:t xml:space="preserve"> </w:t>
      </w:r>
      <w:r>
        <w:rPr>
          <w:sz w:val="22"/>
          <w:szCs w:val="22"/>
        </w:rPr>
        <w:t>hidroksichlorokviną daugiausia metabolizuoja</w:t>
      </w:r>
      <w:r w:rsidRPr="00F3268E">
        <w:rPr>
          <w:sz w:val="22"/>
          <w:szCs w:val="22"/>
        </w:rPr>
        <w:t xml:space="preserve"> CYP2C8, CYP3A4 </w:t>
      </w:r>
      <w:r>
        <w:rPr>
          <w:sz w:val="22"/>
          <w:szCs w:val="22"/>
        </w:rPr>
        <w:t>ir</w:t>
      </w:r>
      <w:r w:rsidRPr="00F3268E">
        <w:rPr>
          <w:sz w:val="22"/>
          <w:szCs w:val="22"/>
        </w:rPr>
        <w:t xml:space="preserve"> CYP2D6 </w:t>
      </w:r>
      <w:r>
        <w:rPr>
          <w:sz w:val="22"/>
          <w:szCs w:val="22"/>
        </w:rPr>
        <w:t>bei</w:t>
      </w:r>
      <w:r w:rsidRPr="00F3268E">
        <w:rPr>
          <w:sz w:val="22"/>
          <w:szCs w:val="22"/>
        </w:rPr>
        <w:t xml:space="preserve"> FMO-1 </w:t>
      </w:r>
      <w:r>
        <w:rPr>
          <w:sz w:val="22"/>
          <w:szCs w:val="22"/>
        </w:rPr>
        <w:t>ir</w:t>
      </w:r>
      <w:r w:rsidRPr="00F3268E">
        <w:rPr>
          <w:sz w:val="22"/>
          <w:szCs w:val="22"/>
        </w:rPr>
        <w:t xml:space="preserve"> MAO-A, </w:t>
      </w:r>
      <w:r>
        <w:rPr>
          <w:sz w:val="22"/>
          <w:szCs w:val="22"/>
        </w:rPr>
        <w:t>nė vienas</w:t>
      </w:r>
      <w:r w:rsidRPr="00962EED">
        <w:rPr>
          <w:sz w:val="22"/>
          <w:szCs w:val="22"/>
        </w:rPr>
        <w:t xml:space="preserve"> </w:t>
      </w:r>
      <w:r>
        <w:rPr>
          <w:sz w:val="22"/>
          <w:szCs w:val="22"/>
        </w:rPr>
        <w:t xml:space="preserve">konkretus </w:t>
      </w:r>
      <w:r w:rsidRPr="00962EED">
        <w:rPr>
          <w:sz w:val="22"/>
          <w:szCs w:val="22"/>
        </w:rPr>
        <w:t>CYP</w:t>
      </w:r>
      <w:r>
        <w:rPr>
          <w:sz w:val="22"/>
          <w:szCs w:val="22"/>
        </w:rPr>
        <w:t xml:space="preserve"> ar fermentas nedominuoja</w:t>
      </w:r>
      <w:r w:rsidRPr="00EA1CA2">
        <w:rPr>
          <w:sz w:val="22"/>
          <w:szCs w:val="22"/>
        </w:rPr>
        <w:t>.</w:t>
      </w:r>
      <w:r>
        <w:rPr>
          <w:sz w:val="22"/>
          <w:szCs w:val="22"/>
        </w:rPr>
        <w:t xml:space="preserve"> </w:t>
      </w:r>
    </w:p>
    <w:p w14:paraId="2F303A94" w14:textId="77777777" w:rsidR="00B61CFA" w:rsidRPr="00B4100D" w:rsidRDefault="00B61CFA" w:rsidP="00986560">
      <w:pPr>
        <w:rPr>
          <w:sz w:val="22"/>
          <w:szCs w:val="22"/>
          <w:u w:val="single"/>
        </w:rPr>
      </w:pPr>
    </w:p>
    <w:p w14:paraId="684414F5" w14:textId="77777777" w:rsidR="00B61CFA" w:rsidRPr="00B4100D" w:rsidRDefault="00B61CFA" w:rsidP="00986560">
      <w:pPr>
        <w:rPr>
          <w:sz w:val="22"/>
          <w:szCs w:val="22"/>
        </w:rPr>
      </w:pPr>
      <w:r w:rsidRPr="00B4100D">
        <w:rPr>
          <w:sz w:val="22"/>
          <w:szCs w:val="22"/>
          <w:u w:val="single"/>
        </w:rPr>
        <w:t>Eliminacija</w:t>
      </w:r>
    </w:p>
    <w:p w14:paraId="34EEC611" w14:textId="03270564" w:rsidR="002F7E1B" w:rsidRPr="005D4564" w:rsidRDefault="002F7E1B" w:rsidP="002F7E1B">
      <w:pPr>
        <w:rPr>
          <w:sz w:val="22"/>
          <w:szCs w:val="22"/>
        </w:rPr>
      </w:pPr>
      <w:r w:rsidRPr="00EA1CA2">
        <w:rPr>
          <w:sz w:val="22"/>
          <w:szCs w:val="22"/>
        </w:rPr>
        <w:t>Hidroksichlorokvinui būdinga daugiafazė eliminacija, galutinis pusinės eliminacijos laikas yra ilgas (nuo 30 iki 50 dienų). Maždaug 20</w:t>
      </w:r>
      <w:r w:rsidRPr="00EA1CA2">
        <w:rPr>
          <w:sz w:val="22"/>
          <w:szCs w:val="22"/>
        </w:rPr>
        <w:noBreakHyphen/>
        <w:t>25 % hidroksichlorokvino dozės pašalinama su šlapimu nepakitusio vaistinio preparato forma.</w:t>
      </w:r>
      <w:r w:rsidRPr="005D4564">
        <w:t xml:space="preserve"> </w:t>
      </w:r>
      <w:r w:rsidRPr="00EA1CA2">
        <w:rPr>
          <w:sz w:val="22"/>
          <w:szCs w:val="22"/>
        </w:rPr>
        <w:t>Vilklige ar reumatoidiniu artritu sergantiems suaugusiems pacientams ilgą laikotarpį kartotinai kartą per parą per burną vartojant 200 mg ir 400 mg hidroksichlorokvino sulfato dozes, vidutinės pusiausvyrinės koncentracijos kraujyje buvo atitinkamai maždaug 450</w:t>
      </w:r>
      <w:r w:rsidR="001D13DE">
        <w:rPr>
          <w:sz w:val="22"/>
          <w:szCs w:val="22"/>
        </w:rPr>
        <w:t>–</w:t>
      </w:r>
      <w:r w:rsidRPr="00EA1CA2">
        <w:rPr>
          <w:sz w:val="22"/>
          <w:szCs w:val="22"/>
        </w:rPr>
        <w:t>490 ng/ml ir 870</w:t>
      </w:r>
      <w:r w:rsidR="001D13DE">
        <w:rPr>
          <w:sz w:val="22"/>
          <w:szCs w:val="22"/>
        </w:rPr>
        <w:t>–</w:t>
      </w:r>
      <w:r w:rsidRPr="00EA1CA2">
        <w:rPr>
          <w:sz w:val="22"/>
          <w:szCs w:val="22"/>
        </w:rPr>
        <w:t>970 ng/ml.</w:t>
      </w:r>
    </w:p>
    <w:p w14:paraId="47313AB0" w14:textId="08B36D4B" w:rsidR="002F7E1B" w:rsidRPr="006C1FDF" w:rsidRDefault="002F7E1B" w:rsidP="002F7E1B">
      <w:pPr>
        <w:rPr>
          <w:sz w:val="22"/>
        </w:rPr>
      </w:pPr>
      <w:r w:rsidRPr="006C1FDF">
        <w:rPr>
          <w:sz w:val="22"/>
        </w:rPr>
        <w:t>Gauta duomenų, kad terapinėmis dozėmis (nuo 200 iki 500</w:t>
      </w:r>
      <w:r w:rsidR="001D13DE">
        <w:rPr>
          <w:sz w:val="22"/>
        </w:rPr>
        <w:t> </w:t>
      </w:r>
      <w:r w:rsidRPr="006C1FDF">
        <w:rPr>
          <w:sz w:val="22"/>
        </w:rPr>
        <w:t>mg per parą) vartojamo hidroksichlorokvino farmakokinetika yra tiesinė.</w:t>
      </w:r>
    </w:p>
    <w:p w14:paraId="25C8670F" w14:textId="77777777" w:rsidR="00986560" w:rsidRDefault="00986560" w:rsidP="006E671E">
      <w:pPr>
        <w:pStyle w:val="BTEMEASMCA"/>
      </w:pPr>
    </w:p>
    <w:p w14:paraId="441DDF25" w14:textId="77777777" w:rsidR="002F7E1B" w:rsidRPr="000874A7" w:rsidRDefault="002F7E1B" w:rsidP="002F7E1B">
      <w:pPr>
        <w:pStyle w:val="BTEMEASMCA"/>
      </w:pPr>
      <w:r w:rsidRPr="000874A7">
        <w:t>Sutrikusi inkstų funkcija</w:t>
      </w:r>
    </w:p>
    <w:p w14:paraId="49065F37" w14:textId="77777777" w:rsidR="002F7E1B" w:rsidRDefault="002F7E1B" w:rsidP="002F7E1B">
      <w:pPr>
        <w:pStyle w:val="BTEMEASMCA"/>
      </w:pPr>
      <w:r>
        <w:t xml:space="preserve">Nėra tikėtina, kad inkstų funkcijos sutrikimas reikšmingai keistų </w:t>
      </w:r>
      <w:r w:rsidRPr="00EA1CA2">
        <w:t>hidroksichlorokvino</w:t>
      </w:r>
      <w:r>
        <w:t xml:space="preserve"> farmakokinetiką pacientams, kurių inkstų funkcija sutrikusi, kadangi </w:t>
      </w:r>
      <w:r w:rsidRPr="00EA1CA2">
        <w:t>hidroksichlorokvin</w:t>
      </w:r>
      <w:r>
        <w:t xml:space="preserve">as daugiausia yra metabolizuojamas ir tik 20–25 % </w:t>
      </w:r>
      <w:r w:rsidRPr="00EA1CA2">
        <w:t>hidroksichlorokvino</w:t>
      </w:r>
      <w:r>
        <w:t xml:space="preserve"> dozės šalinama su šlapimu kaip </w:t>
      </w:r>
      <w:r w:rsidRPr="00EA1CA2">
        <w:t>nepakit</w:t>
      </w:r>
      <w:r>
        <w:t>ęs</w:t>
      </w:r>
      <w:r w:rsidRPr="00EA1CA2">
        <w:t xml:space="preserve"> vaistini</w:t>
      </w:r>
      <w:r>
        <w:t>s</w:t>
      </w:r>
      <w:r w:rsidRPr="00EA1CA2">
        <w:t xml:space="preserve"> preparat</w:t>
      </w:r>
      <w:r>
        <w:t xml:space="preserve">as. Pacientams, kuriems yra vidutinio sunkumo ar sunkus inkstų funkcijos sutrikimas, </w:t>
      </w:r>
      <w:r w:rsidRPr="00EA1CA2">
        <w:t>hidroksichlorokvino</w:t>
      </w:r>
      <w:r>
        <w:t xml:space="preserve"> ekspozicija gali padidėti iki 46 % (žr. 4.4 skyrių).</w:t>
      </w:r>
    </w:p>
    <w:p w14:paraId="147F937B" w14:textId="77777777" w:rsidR="002F7E1B" w:rsidRDefault="002F7E1B" w:rsidP="002F7E1B">
      <w:pPr>
        <w:pStyle w:val="BTEMEASMCA"/>
      </w:pPr>
    </w:p>
    <w:p w14:paraId="7D4988A2" w14:textId="77777777" w:rsidR="002F7E1B" w:rsidRPr="000874A7" w:rsidRDefault="002F7E1B" w:rsidP="002F7E1B">
      <w:pPr>
        <w:pStyle w:val="BTEMEASMCA"/>
      </w:pPr>
      <w:r w:rsidRPr="000874A7">
        <w:t>Sutrikusi kepenų funkcija</w:t>
      </w:r>
    </w:p>
    <w:p w14:paraId="090B9C7A" w14:textId="77777777" w:rsidR="002F7E1B" w:rsidRDefault="002F7E1B" w:rsidP="002F7E1B">
      <w:pPr>
        <w:pStyle w:val="BTEMEASMCA"/>
      </w:pPr>
      <w:r>
        <w:t xml:space="preserve">Kepenų funkcijos sutrikimo poveikis </w:t>
      </w:r>
      <w:r w:rsidRPr="00EA1CA2">
        <w:t xml:space="preserve">hidroksichlorokvino </w:t>
      </w:r>
      <w:r>
        <w:t xml:space="preserve">farmakokinetikai specifinio farmakokinetikos tyrimo metu nebuvo vertintas. Atsižvelgiant į tai, kad didžioji </w:t>
      </w:r>
      <w:r w:rsidRPr="00EA1CA2">
        <w:t>hidroksichlorokvino</w:t>
      </w:r>
      <w:r>
        <w:t xml:space="preserve"> dalis yra metabolizuojama, tikėtina, kad </w:t>
      </w:r>
      <w:r w:rsidRPr="00EA1CA2">
        <w:t>hidroksichlorokvino</w:t>
      </w:r>
      <w:r>
        <w:t xml:space="preserve"> ekspozicija pacientams, kurių kepenų funkcija sutrikusi, padidės (žr. 4.4 skyrių).</w:t>
      </w:r>
    </w:p>
    <w:p w14:paraId="1D7E9DE8" w14:textId="77777777" w:rsidR="002F7E1B" w:rsidRDefault="002F7E1B" w:rsidP="002F7E1B">
      <w:pPr>
        <w:pStyle w:val="BTEMEASMCA"/>
      </w:pPr>
    </w:p>
    <w:p w14:paraId="1D7C9FDB" w14:textId="77777777" w:rsidR="002F7E1B" w:rsidRPr="000874A7" w:rsidRDefault="002F7E1B" w:rsidP="002F7E1B">
      <w:pPr>
        <w:pStyle w:val="BTEMEASMCA"/>
      </w:pPr>
      <w:r w:rsidRPr="000874A7">
        <w:t>Senyvi pacientai</w:t>
      </w:r>
    </w:p>
    <w:p w14:paraId="510D4E7A" w14:textId="177ED397" w:rsidR="002F7E1B" w:rsidRDefault="002F7E1B" w:rsidP="002F7E1B">
      <w:pPr>
        <w:pStyle w:val="BTEMEASMCA"/>
      </w:pPr>
      <w:r>
        <w:t xml:space="preserve">Turimi riboti duomenys </w:t>
      </w:r>
      <w:r w:rsidR="001D13DE">
        <w:t xml:space="preserve">apie senyvus reumatoidiniu artritu sergančius pacientus </w:t>
      </w:r>
      <w:r>
        <w:t>rodo, kad</w:t>
      </w:r>
      <w:r w:rsidRPr="00F47D88">
        <w:t xml:space="preserve"> </w:t>
      </w:r>
      <w:r w:rsidRPr="00EA1CA2">
        <w:t>hidroksichlorokvino</w:t>
      </w:r>
      <w:r>
        <w:t xml:space="preserve"> ekspozicija išlieka tose pačiose ribose, kaip ir jaunesniems pacientams.</w:t>
      </w:r>
    </w:p>
    <w:p w14:paraId="068887D3" w14:textId="77777777" w:rsidR="002F7E1B" w:rsidRDefault="002F7E1B" w:rsidP="002F7E1B">
      <w:pPr>
        <w:pStyle w:val="BTEMEASMCA"/>
      </w:pPr>
    </w:p>
    <w:p w14:paraId="3ECF538A" w14:textId="77777777" w:rsidR="002F7E1B" w:rsidRPr="000874A7" w:rsidRDefault="002F7E1B" w:rsidP="002F7E1B">
      <w:pPr>
        <w:pStyle w:val="BTEMEASMCA"/>
      </w:pPr>
      <w:r w:rsidRPr="000874A7">
        <w:t>Vaikų populiacija</w:t>
      </w:r>
    </w:p>
    <w:p w14:paraId="32C49D37" w14:textId="77777777" w:rsidR="002F7E1B" w:rsidRDefault="002F7E1B" w:rsidP="002F7E1B">
      <w:pPr>
        <w:pStyle w:val="BTEMEASMCA"/>
      </w:pPr>
      <w:r w:rsidRPr="00EA1CA2">
        <w:t>Hidroksichlorokvino</w:t>
      </w:r>
      <w:r>
        <w:t xml:space="preserve"> farmakokinetika jaunesnių nei 18 metų vaikų ir paauglių organizme nebuvo įvertinta.</w:t>
      </w:r>
    </w:p>
    <w:p w14:paraId="50CAEBFB" w14:textId="77777777" w:rsidR="002F7E1B" w:rsidRPr="00B4100D" w:rsidRDefault="002F7E1B" w:rsidP="006E671E">
      <w:pPr>
        <w:pStyle w:val="BTEMEASMCA"/>
      </w:pPr>
    </w:p>
    <w:p w14:paraId="14266A5E" w14:textId="77777777" w:rsidR="00986560" w:rsidRPr="00B4100D" w:rsidRDefault="00986560" w:rsidP="0056757C">
      <w:pPr>
        <w:pStyle w:val="PI-2EMEASMCA"/>
      </w:pPr>
      <w:bookmarkStart w:id="40" w:name="_Toc129243114"/>
      <w:bookmarkStart w:id="41" w:name="_Toc129243239"/>
      <w:r w:rsidRPr="00B4100D">
        <w:t>5.3</w:t>
      </w:r>
      <w:r w:rsidRPr="00B4100D">
        <w:tab/>
        <w:t>Ikiklinikinių saugumo tyrimų duomenys</w:t>
      </w:r>
      <w:bookmarkEnd w:id="40"/>
      <w:bookmarkEnd w:id="41"/>
    </w:p>
    <w:p w14:paraId="20CB494E" w14:textId="77777777" w:rsidR="00986560" w:rsidRPr="00B4100D" w:rsidRDefault="00986560" w:rsidP="00DF41AE">
      <w:pPr>
        <w:pStyle w:val="BTEMEASMCA"/>
        <w:keepNext/>
      </w:pPr>
    </w:p>
    <w:p w14:paraId="7D35B73F" w14:textId="748182AD" w:rsidR="002F7E1B" w:rsidRPr="00EE1857" w:rsidRDefault="002F7E1B" w:rsidP="002F7E1B">
      <w:pPr>
        <w:rPr>
          <w:sz w:val="22"/>
        </w:rPr>
      </w:pPr>
      <w:r w:rsidRPr="00EE1857">
        <w:rPr>
          <w:sz w:val="22"/>
          <w:szCs w:val="22"/>
        </w:rPr>
        <w:t>Genotoksinis</w:t>
      </w:r>
      <w:r w:rsidR="001D13DE">
        <w:rPr>
          <w:sz w:val="22"/>
          <w:szCs w:val="22"/>
        </w:rPr>
        <w:t xml:space="preserve"> </w:t>
      </w:r>
      <w:r w:rsidRPr="00EE1857">
        <w:rPr>
          <w:sz w:val="22"/>
          <w:szCs w:val="22"/>
        </w:rPr>
        <w:t>/</w:t>
      </w:r>
      <w:r w:rsidR="001D13DE">
        <w:rPr>
          <w:sz w:val="22"/>
          <w:szCs w:val="22"/>
        </w:rPr>
        <w:t xml:space="preserve"> </w:t>
      </w:r>
      <w:r w:rsidRPr="00EE1857">
        <w:rPr>
          <w:sz w:val="22"/>
          <w:szCs w:val="22"/>
        </w:rPr>
        <w:t>kancerogeninis poveikis</w:t>
      </w:r>
    </w:p>
    <w:p w14:paraId="10C3DA56" w14:textId="77777777" w:rsidR="002F7E1B" w:rsidRPr="00EA1CA2" w:rsidRDefault="002F7E1B" w:rsidP="002F7E1B">
      <w:pPr>
        <w:pStyle w:val="BTEMEASMCA"/>
      </w:pPr>
      <w:r w:rsidRPr="00EA1CA2">
        <w:t>Remiantis atliktais tyrimais, hidroksichlorokvinas genotoksinio poveikio nesukelia. Atitinkamų hidroksichlorokvino kancerogeninio poveikio tyrimų neatlikta.</w:t>
      </w:r>
    </w:p>
    <w:p w14:paraId="449BBED4" w14:textId="77777777" w:rsidR="002F7E1B" w:rsidRPr="00EA1CA2" w:rsidRDefault="002F7E1B" w:rsidP="002F7E1B">
      <w:pPr>
        <w:pStyle w:val="BTEMEASMCA"/>
      </w:pPr>
    </w:p>
    <w:p w14:paraId="25F49D97" w14:textId="77777777" w:rsidR="002F7E1B" w:rsidRPr="00EE1857" w:rsidRDefault="002F7E1B" w:rsidP="002F7E1B">
      <w:pPr>
        <w:rPr>
          <w:sz w:val="22"/>
        </w:rPr>
      </w:pPr>
      <w:r w:rsidRPr="00EE1857">
        <w:rPr>
          <w:sz w:val="22"/>
          <w:szCs w:val="22"/>
        </w:rPr>
        <w:t>Toksinis poveikis reprodukcijai ir vystymuisi</w:t>
      </w:r>
    </w:p>
    <w:p w14:paraId="344E63C7" w14:textId="178AA72C" w:rsidR="002F7E1B" w:rsidRDefault="002F7E1B" w:rsidP="002F7E1B">
      <w:pPr>
        <w:pStyle w:val="BTEMEASMCA"/>
      </w:pPr>
      <w:r w:rsidRPr="00B4100D">
        <w:t xml:space="preserve">Hidroksichlorokvinas prasiskverbia per placentą. </w:t>
      </w:r>
      <w:r w:rsidRPr="009D1914">
        <w:t xml:space="preserve">Ne GLP tyrimų su pelėmis ir beždžionėmis metu buvo įrodyta, kad chlorokvinas, medžiaga, gimininga hidroksichlorokvinui, </w:t>
      </w:r>
      <w:r w:rsidR="001D13DE">
        <w:t xml:space="preserve">prasiskverbia per placentą ir </w:t>
      </w:r>
      <w:r w:rsidRPr="009D1914">
        <w:t xml:space="preserve">kaupiasi vaisiaus akių ir ausų audiniuose. Didelės chlorokvino dozės </w:t>
      </w:r>
      <w:r>
        <w:t xml:space="preserve">žiurkių </w:t>
      </w:r>
      <w:r w:rsidRPr="009D1914">
        <w:t xml:space="preserve">patelėms buvo </w:t>
      </w:r>
      <w:r>
        <w:t>fetotoksinės</w:t>
      </w:r>
      <w:r w:rsidRPr="009D1914">
        <w:t xml:space="preserve"> ir sukėlė anoftalmiją bei mikroftalmiją. Tyrimų su žiurkėmis metu chlorokvinas sumažino testosterono sekreciją, sėklidžių ir prielipo svorį bei sukėlė nenormalių spermatozoidų gamybą.</w:t>
      </w:r>
    </w:p>
    <w:p w14:paraId="7D1AB715" w14:textId="77777777" w:rsidR="001D13DE" w:rsidRPr="00B4100D" w:rsidRDefault="001D13DE">
      <w:pPr>
        <w:pStyle w:val="BTEMEASMCA"/>
      </w:pPr>
    </w:p>
    <w:p w14:paraId="3BDCFF71" w14:textId="77777777" w:rsidR="00B61CFA" w:rsidRPr="00B4100D" w:rsidRDefault="00B61CFA">
      <w:pPr>
        <w:pStyle w:val="BTEMEASMCA"/>
      </w:pPr>
    </w:p>
    <w:p w14:paraId="284057E3" w14:textId="77777777" w:rsidR="00986560" w:rsidRPr="00B4100D" w:rsidRDefault="00986560" w:rsidP="001D13DE">
      <w:pPr>
        <w:pStyle w:val="PI-1EMEASMCA"/>
        <w:keepLines/>
      </w:pPr>
      <w:bookmarkStart w:id="42" w:name="_Toc129243115"/>
      <w:bookmarkStart w:id="43" w:name="_Toc129243240"/>
      <w:r w:rsidRPr="00B4100D">
        <w:lastRenderedPageBreak/>
        <w:t>6.</w:t>
      </w:r>
      <w:r w:rsidRPr="00B4100D">
        <w:tab/>
        <w:t>FARMACINĖ INFORMACIJA</w:t>
      </w:r>
      <w:bookmarkEnd w:id="42"/>
      <w:bookmarkEnd w:id="43"/>
    </w:p>
    <w:p w14:paraId="47785E08" w14:textId="77777777" w:rsidR="00986560" w:rsidRPr="00B4100D" w:rsidRDefault="00986560" w:rsidP="001D13DE">
      <w:pPr>
        <w:pStyle w:val="BTEMEASMCA"/>
        <w:keepNext/>
        <w:keepLines/>
      </w:pPr>
    </w:p>
    <w:p w14:paraId="6FBC2614" w14:textId="77777777" w:rsidR="00986560" w:rsidRPr="00B4100D" w:rsidRDefault="00986560" w:rsidP="001D13DE">
      <w:pPr>
        <w:pStyle w:val="PI-2EMEASMCA"/>
      </w:pPr>
      <w:bookmarkStart w:id="44" w:name="_Toc129243116"/>
      <w:bookmarkStart w:id="45" w:name="_Toc129243241"/>
      <w:r w:rsidRPr="00B4100D">
        <w:t>6.1</w:t>
      </w:r>
      <w:r w:rsidRPr="00B4100D">
        <w:tab/>
        <w:t>Pagalbinių medžiagų sąrašas</w:t>
      </w:r>
      <w:bookmarkEnd w:id="44"/>
      <w:bookmarkEnd w:id="45"/>
    </w:p>
    <w:p w14:paraId="200DD0EB" w14:textId="77777777" w:rsidR="00986560" w:rsidRPr="00B4100D" w:rsidRDefault="00986560" w:rsidP="000874A7">
      <w:pPr>
        <w:pStyle w:val="BTEMEASMCA"/>
        <w:keepNext/>
      </w:pPr>
    </w:p>
    <w:p w14:paraId="4D148064" w14:textId="77777777" w:rsidR="00986560" w:rsidRPr="00B4100D" w:rsidRDefault="00986560" w:rsidP="001D13DE">
      <w:pPr>
        <w:keepNext/>
        <w:keepLines/>
        <w:rPr>
          <w:sz w:val="22"/>
          <w:szCs w:val="22"/>
          <w:u w:val="single"/>
        </w:rPr>
      </w:pPr>
      <w:r w:rsidRPr="00B4100D">
        <w:rPr>
          <w:sz w:val="22"/>
          <w:szCs w:val="22"/>
          <w:u w:val="single"/>
        </w:rPr>
        <w:t xml:space="preserve">Tabletės branduolys </w:t>
      </w:r>
    </w:p>
    <w:p w14:paraId="268E5EF0" w14:textId="77777777" w:rsidR="00986560" w:rsidRPr="00B4100D" w:rsidRDefault="00986560" w:rsidP="00DF729C">
      <w:pPr>
        <w:keepNext/>
        <w:keepLines/>
        <w:rPr>
          <w:sz w:val="22"/>
          <w:szCs w:val="22"/>
        </w:rPr>
      </w:pPr>
      <w:r w:rsidRPr="00B4100D">
        <w:rPr>
          <w:sz w:val="22"/>
          <w:szCs w:val="22"/>
        </w:rPr>
        <w:t xml:space="preserve">Laktozė monohidratas </w:t>
      </w:r>
    </w:p>
    <w:p w14:paraId="3EDCD22A" w14:textId="77777777" w:rsidR="00D9171A" w:rsidRPr="00B4100D" w:rsidRDefault="00D9171A" w:rsidP="00D9171A">
      <w:pPr>
        <w:keepNext/>
        <w:keepLines/>
        <w:rPr>
          <w:sz w:val="22"/>
          <w:szCs w:val="22"/>
        </w:rPr>
      </w:pPr>
      <w:r w:rsidRPr="00B4100D">
        <w:rPr>
          <w:sz w:val="22"/>
          <w:szCs w:val="22"/>
        </w:rPr>
        <w:t xml:space="preserve">Kukurūzų krakmolas </w:t>
      </w:r>
    </w:p>
    <w:p w14:paraId="387758D8" w14:textId="77777777" w:rsidR="00986560" w:rsidRPr="00B4100D" w:rsidRDefault="00986560" w:rsidP="00DF729C">
      <w:pPr>
        <w:keepNext/>
        <w:keepLines/>
        <w:rPr>
          <w:sz w:val="22"/>
          <w:szCs w:val="22"/>
        </w:rPr>
      </w:pPr>
      <w:r w:rsidRPr="00B4100D">
        <w:rPr>
          <w:sz w:val="22"/>
          <w:szCs w:val="22"/>
        </w:rPr>
        <w:t xml:space="preserve">Povidonas </w:t>
      </w:r>
      <w:r w:rsidR="00D9171A" w:rsidRPr="00B4100D">
        <w:rPr>
          <w:sz w:val="22"/>
          <w:szCs w:val="22"/>
        </w:rPr>
        <w:t>(E1201)</w:t>
      </w:r>
      <w:r w:rsidRPr="00B4100D">
        <w:rPr>
          <w:sz w:val="22"/>
          <w:szCs w:val="22"/>
        </w:rPr>
        <w:t xml:space="preserve"> </w:t>
      </w:r>
    </w:p>
    <w:p w14:paraId="55982A2A" w14:textId="77777777" w:rsidR="00986560" w:rsidRPr="00B4100D" w:rsidRDefault="00986560" w:rsidP="00DF729C">
      <w:pPr>
        <w:keepNext/>
        <w:keepLines/>
        <w:rPr>
          <w:sz w:val="22"/>
          <w:szCs w:val="22"/>
        </w:rPr>
      </w:pPr>
      <w:r w:rsidRPr="00B4100D">
        <w:rPr>
          <w:sz w:val="22"/>
          <w:szCs w:val="22"/>
        </w:rPr>
        <w:t>Magnio stearatas (E</w:t>
      </w:r>
      <w:r w:rsidR="00D9171A" w:rsidRPr="00B4100D">
        <w:rPr>
          <w:sz w:val="22"/>
          <w:szCs w:val="22"/>
        </w:rPr>
        <w:t>470b</w:t>
      </w:r>
      <w:r w:rsidRPr="00B4100D">
        <w:rPr>
          <w:sz w:val="22"/>
          <w:szCs w:val="22"/>
        </w:rPr>
        <w:t>)</w:t>
      </w:r>
    </w:p>
    <w:p w14:paraId="499662FA" w14:textId="77777777" w:rsidR="00986560" w:rsidRPr="00B4100D" w:rsidRDefault="00986560" w:rsidP="00986560">
      <w:pPr>
        <w:rPr>
          <w:sz w:val="22"/>
          <w:szCs w:val="22"/>
        </w:rPr>
      </w:pPr>
    </w:p>
    <w:p w14:paraId="295FE2DE" w14:textId="77777777" w:rsidR="00986560" w:rsidRPr="00B4100D" w:rsidRDefault="00986560" w:rsidP="00986560">
      <w:pPr>
        <w:rPr>
          <w:sz w:val="22"/>
          <w:szCs w:val="22"/>
          <w:u w:val="single"/>
        </w:rPr>
      </w:pPr>
      <w:r w:rsidRPr="00B4100D">
        <w:rPr>
          <w:sz w:val="22"/>
          <w:szCs w:val="22"/>
          <w:u w:val="single"/>
        </w:rPr>
        <w:t>Tabletės plėvelė</w:t>
      </w:r>
    </w:p>
    <w:p w14:paraId="5E8F3484" w14:textId="77777777" w:rsidR="00D9171A" w:rsidRPr="00B4100D" w:rsidRDefault="00D9171A" w:rsidP="00986560">
      <w:pPr>
        <w:rPr>
          <w:sz w:val="22"/>
          <w:szCs w:val="22"/>
        </w:rPr>
      </w:pPr>
      <w:r w:rsidRPr="00B4100D">
        <w:rPr>
          <w:sz w:val="22"/>
          <w:szCs w:val="22"/>
        </w:rPr>
        <w:t>Polivinilo alkoholis (E1203)</w:t>
      </w:r>
    </w:p>
    <w:p w14:paraId="36DE8BF0" w14:textId="77777777" w:rsidR="00D9171A" w:rsidRPr="00B4100D" w:rsidRDefault="00D9171A" w:rsidP="00986560">
      <w:pPr>
        <w:rPr>
          <w:sz w:val="22"/>
          <w:szCs w:val="22"/>
        </w:rPr>
      </w:pPr>
      <w:r w:rsidRPr="00B4100D">
        <w:rPr>
          <w:sz w:val="22"/>
          <w:szCs w:val="22"/>
        </w:rPr>
        <w:t>Talkas (E553b)</w:t>
      </w:r>
    </w:p>
    <w:p w14:paraId="12AB43D1" w14:textId="77777777" w:rsidR="00D9171A" w:rsidRPr="00B4100D" w:rsidRDefault="00D9171A" w:rsidP="00986560">
      <w:pPr>
        <w:rPr>
          <w:sz w:val="22"/>
          <w:szCs w:val="22"/>
        </w:rPr>
      </w:pPr>
      <w:r w:rsidRPr="00B4100D">
        <w:rPr>
          <w:sz w:val="22"/>
          <w:szCs w:val="22"/>
        </w:rPr>
        <w:t xml:space="preserve">Makrogolis </w:t>
      </w:r>
    </w:p>
    <w:p w14:paraId="4F55634B" w14:textId="77777777" w:rsidR="00986560" w:rsidRPr="00B4100D" w:rsidRDefault="00986560" w:rsidP="00986560">
      <w:pPr>
        <w:rPr>
          <w:sz w:val="22"/>
          <w:szCs w:val="22"/>
        </w:rPr>
      </w:pPr>
      <w:r w:rsidRPr="00B4100D">
        <w:rPr>
          <w:sz w:val="22"/>
          <w:szCs w:val="22"/>
        </w:rPr>
        <w:t>Titano dioksidas (E171)</w:t>
      </w:r>
    </w:p>
    <w:p w14:paraId="19CF2132" w14:textId="77777777" w:rsidR="00986560" w:rsidRPr="00B4100D" w:rsidRDefault="00986560" w:rsidP="006E671E">
      <w:pPr>
        <w:pStyle w:val="BTEMEASMCA"/>
      </w:pPr>
    </w:p>
    <w:p w14:paraId="3A3932B0" w14:textId="77777777" w:rsidR="00986560" w:rsidRPr="00B4100D" w:rsidRDefault="00986560" w:rsidP="0056757C">
      <w:pPr>
        <w:pStyle w:val="PI-2EMEASMCA"/>
      </w:pPr>
      <w:bookmarkStart w:id="46" w:name="_Toc129243117"/>
      <w:bookmarkStart w:id="47" w:name="_Toc129243242"/>
      <w:r w:rsidRPr="00B4100D">
        <w:t>6.2</w:t>
      </w:r>
      <w:r w:rsidRPr="00B4100D">
        <w:tab/>
        <w:t>Nesuderinamumas</w:t>
      </w:r>
      <w:bookmarkEnd w:id="46"/>
      <w:bookmarkEnd w:id="47"/>
    </w:p>
    <w:p w14:paraId="3F5A5444" w14:textId="77777777" w:rsidR="00986560" w:rsidRPr="00B4100D" w:rsidRDefault="00986560" w:rsidP="006E671E">
      <w:pPr>
        <w:pStyle w:val="BTEMEASMCA"/>
      </w:pPr>
    </w:p>
    <w:p w14:paraId="075F95BD" w14:textId="77777777" w:rsidR="00986560" w:rsidRPr="00B4100D" w:rsidRDefault="00986560" w:rsidP="00986560">
      <w:pPr>
        <w:pStyle w:val="Pavadinimas"/>
        <w:spacing w:before="0" w:after="0"/>
        <w:jc w:val="left"/>
        <w:rPr>
          <w:rFonts w:ascii="Times New Roman" w:hAnsi="Times New Roman"/>
          <w:b w:val="0"/>
          <w:sz w:val="22"/>
          <w:szCs w:val="22"/>
        </w:rPr>
      </w:pPr>
      <w:r w:rsidRPr="00B4100D">
        <w:rPr>
          <w:rFonts w:ascii="Times New Roman" w:hAnsi="Times New Roman"/>
          <w:b w:val="0"/>
          <w:sz w:val="22"/>
          <w:szCs w:val="22"/>
        </w:rPr>
        <w:t>Duomenys nebūtini.</w:t>
      </w:r>
    </w:p>
    <w:p w14:paraId="79002FC0" w14:textId="77777777" w:rsidR="00986560" w:rsidRPr="00B4100D" w:rsidRDefault="00986560" w:rsidP="006E671E">
      <w:pPr>
        <w:pStyle w:val="BTEMEASMCA"/>
      </w:pPr>
    </w:p>
    <w:p w14:paraId="1734CC84" w14:textId="77777777" w:rsidR="00986560" w:rsidRPr="00B4100D" w:rsidRDefault="00986560" w:rsidP="0056757C">
      <w:pPr>
        <w:pStyle w:val="PI-2EMEASMCA"/>
      </w:pPr>
      <w:bookmarkStart w:id="48" w:name="_Toc129243118"/>
      <w:bookmarkStart w:id="49" w:name="_Toc129243243"/>
      <w:r w:rsidRPr="00B4100D">
        <w:t>6.3</w:t>
      </w:r>
      <w:r w:rsidRPr="00B4100D">
        <w:tab/>
        <w:t>Tinkamumo laikas</w:t>
      </w:r>
      <w:bookmarkEnd w:id="48"/>
      <w:bookmarkEnd w:id="49"/>
    </w:p>
    <w:p w14:paraId="5F96AFDB" w14:textId="77777777" w:rsidR="00986560" w:rsidRPr="00B4100D" w:rsidRDefault="00986560" w:rsidP="006E671E">
      <w:pPr>
        <w:pStyle w:val="BTEMEASMCA"/>
      </w:pPr>
    </w:p>
    <w:p w14:paraId="32E53E79" w14:textId="77777777" w:rsidR="00986560" w:rsidRPr="00B4100D" w:rsidRDefault="00E45116" w:rsidP="00986560">
      <w:pPr>
        <w:rPr>
          <w:sz w:val="22"/>
          <w:szCs w:val="22"/>
        </w:rPr>
      </w:pPr>
      <w:r w:rsidRPr="00B4100D">
        <w:rPr>
          <w:sz w:val="22"/>
          <w:szCs w:val="22"/>
        </w:rPr>
        <w:t>30 mėnesių</w:t>
      </w:r>
      <w:r w:rsidR="00986560" w:rsidRPr="00B4100D">
        <w:rPr>
          <w:sz w:val="22"/>
          <w:szCs w:val="22"/>
        </w:rPr>
        <w:t>.</w:t>
      </w:r>
    </w:p>
    <w:p w14:paraId="1F9A8099" w14:textId="77777777" w:rsidR="00986560" w:rsidRPr="00B4100D" w:rsidRDefault="00986560" w:rsidP="006E671E">
      <w:pPr>
        <w:pStyle w:val="BTEMEASMCA"/>
      </w:pPr>
    </w:p>
    <w:p w14:paraId="054442DB" w14:textId="77777777" w:rsidR="00986560" w:rsidRPr="00B4100D" w:rsidRDefault="00986560" w:rsidP="0056757C">
      <w:pPr>
        <w:pStyle w:val="PI-2EMEASMCA"/>
      </w:pPr>
      <w:bookmarkStart w:id="50" w:name="_Toc129243119"/>
      <w:bookmarkStart w:id="51" w:name="_Toc129243244"/>
      <w:r w:rsidRPr="00B4100D">
        <w:t>6.4</w:t>
      </w:r>
      <w:r w:rsidRPr="00B4100D">
        <w:tab/>
        <w:t>Specialios laikymo sąlygos</w:t>
      </w:r>
      <w:bookmarkEnd w:id="50"/>
      <w:bookmarkEnd w:id="51"/>
    </w:p>
    <w:p w14:paraId="26C573CC" w14:textId="77777777" w:rsidR="00986560" w:rsidRPr="00B4100D" w:rsidRDefault="00986560" w:rsidP="006E671E">
      <w:pPr>
        <w:pStyle w:val="BTEMEASMCA"/>
      </w:pPr>
    </w:p>
    <w:p w14:paraId="7FF82156" w14:textId="77777777" w:rsidR="00986560" w:rsidRPr="00B4100D" w:rsidRDefault="00D9171A" w:rsidP="00986560">
      <w:pPr>
        <w:rPr>
          <w:sz w:val="22"/>
          <w:szCs w:val="22"/>
        </w:rPr>
      </w:pPr>
      <w:r w:rsidRPr="00B4100D">
        <w:rPr>
          <w:sz w:val="22"/>
          <w:szCs w:val="22"/>
        </w:rPr>
        <w:t>Šiam vaistiniam preparatui specialių laikymo sąlygų nereikia.</w:t>
      </w:r>
    </w:p>
    <w:p w14:paraId="6D23E457" w14:textId="77777777" w:rsidR="00D9171A" w:rsidRPr="00B4100D" w:rsidRDefault="00D9171A" w:rsidP="00986560">
      <w:pPr>
        <w:rPr>
          <w:sz w:val="22"/>
          <w:szCs w:val="22"/>
        </w:rPr>
      </w:pPr>
    </w:p>
    <w:p w14:paraId="14FBC070" w14:textId="77777777" w:rsidR="00986560" w:rsidRPr="00B4100D" w:rsidRDefault="00986560" w:rsidP="0056757C">
      <w:pPr>
        <w:pStyle w:val="PI-2EMEASMCA"/>
      </w:pPr>
      <w:bookmarkStart w:id="52" w:name="_Toc129243120"/>
      <w:bookmarkStart w:id="53" w:name="_Toc129243245"/>
      <w:r w:rsidRPr="00B4100D">
        <w:t>6.5</w:t>
      </w:r>
      <w:r w:rsidRPr="00B4100D">
        <w:tab/>
        <w:t>Talpyklės pobūdis ir jos turinys</w:t>
      </w:r>
      <w:bookmarkEnd w:id="52"/>
      <w:bookmarkEnd w:id="53"/>
    </w:p>
    <w:p w14:paraId="191252A5" w14:textId="77777777" w:rsidR="00986560" w:rsidRPr="00B4100D" w:rsidRDefault="00986560" w:rsidP="006E671E">
      <w:pPr>
        <w:pStyle w:val="BTEMEASMCA"/>
      </w:pPr>
    </w:p>
    <w:p w14:paraId="6EF94221" w14:textId="238DBE02" w:rsidR="00986560" w:rsidRPr="00B4100D" w:rsidRDefault="00986560" w:rsidP="00986560">
      <w:pPr>
        <w:autoSpaceDE w:val="0"/>
        <w:autoSpaceDN w:val="0"/>
        <w:adjustRightInd w:val="0"/>
        <w:rPr>
          <w:sz w:val="22"/>
          <w:szCs w:val="22"/>
        </w:rPr>
      </w:pPr>
      <w:r w:rsidRPr="00B4100D">
        <w:rPr>
          <w:sz w:val="22"/>
          <w:szCs w:val="22"/>
        </w:rPr>
        <w:t>PVC</w:t>
      </w:r>
      <w:r w:rsidR="00A776AC" w:rsidRPr="00B4100D">
        <w:rPr>
          <w:sz w:val="22"/>
          <w:szCs w:val="22"/>
        </w:rPr>
        <w:t>/</w:t>
      </w:r>
      <w:r w:rsidRPr="00B4100D">
        <w:rPr>
          <w:sz w:val="22"/>
          <w:szCs w:val="22"/>
        </w:rPr>
        <w:t>aliuminio lizdinė plokštelė</w:t>
      </w:r>
      <w:r w:rsidR="00D9171A" w:rsidRPr="00B4100D">
        <w:rPr>
          <w:sz w:val="22"/>
          <w:szCs w:val="22"/>
        </w:rPr>
        <w:t>. Pakuotės dydžiai yra 20, 30, 50, 60, 90 arba 100 tablečių.</w:t>
      </w:r>
    </w:p>
    <w:p w14:paraId="6B6AE30C" w14:textId="77777777" w:rsidR="00986560" w:rsidRPr="00B4100D" w:rsidRDefault="00D9171A" w:rsidP="006E671E">
      <w:pPr>
        <w:pStyle w:val="BTEMEASMCA"/>
        <w:rPr>
          <w:szCs w:val="24"/>
        </w:rPr>
      </w:pPr>
      <w:r w:rsidRPr="00B4100D">
        <w:rPr>
          <w:szCs w:val="24"/>
        </w:rPr>
        <w:t>Gali būti tiekiamos ne visų dydžių pakuotės.</w:t>
      </w:r>
    </w:p>
    <w:p w14:paraId="7E953552" w14:textId="77777777" w:rsidR="00D9171A" w:rsidRPr="00B4100D" w:rsidRDefault="00D9171A" w:rsidP="006E671E">
      <w:pPr>
        <w:pStyle w:val="BTEMEASMCA"/>
      </w:pPr>
    </w:p>
    <w:p w14:paraId="3D2B95A2" w14:textId="77777777" w:rsidR="00986560" w:rsidRPr="00B4100D" w:rsidRDefault="00986560" w:rsidP="0056757C">
      <w:pPr>
        <w:pStyle w:val="PI-2EMEASMCA"/>
      </w:pPr>
      <w:bookmarkStart w:id="54" w:name="_Toc129243121"/>
      <w:bookmarkStart w:id="55" w:name="_Toc129243246"/>
      <w:r w:rsidRPr="00B4100D">
        <w:t>6.6</w:t>
      </w:r>
      <w:r w:rsidRPr="00B4100D">
        <w:tab/>
        <w:t>Specialūs reikalavimai atliekoms tvarkyti</w:t>
      </w:r>
      <w:bookmarkEnd w:id="54"/>
      <w:bookmarkEnd w:id="55"/>
      <w:r w:rsidR="008142E6" w:rsidRPr="00B4100D">
        <w:t xml:space="preserve"> ir vaistiniam preparatui ruošti</w:t>
      </w:r>
    </w:p>
    <w:p w14:paraId="4C1831A8" w14:textId="77777777" w:rsidR="00986560" w:rsidRPr="00B4100D" w:rsidRDefault="00986560" w:rsidP="006E671E">
      <w:pPr>
        <w:pStyle w:val="BTEMEASMCA"/>
      </w:pPr>
    </w:p>
    <w:p w14:paraId="5735D0A6" w14:textId="77777777" w:rsidR="00986560" w:rsidRPr="00B4100D" w:rsidRDefault="00986560" w:rsidP="006E671E">
      <w:pPr>
        <w:pStyle w:val="BTEMEASMCA"/>
      </w:pPr>
      <w:r w:rsidRPr="00B4100D">
        <w:t>Specialių reikalavimų nėra.</w:t>
      </w:r>
    </w:p>
    <w:p w14:paraId="4692493F" w14:textId="77777777" w:rsidR="00986560" w:rsidRPr="00B4100D" w:rsidRDefault="00986560" w:rsidP="00CA2561">
      <w:pPr>
        <w:pStyle w:val="BTEMEASMCA"/>
      </w:pPr>
    </w:p>
    <w:p w14:paraId="7510C0AA" w14:textId="77777777" w:rsidR="00986560" w:rsidRPr="00B4100D" w:rsidRDefault="00986560" w:rsidP="00CA2561">
      <w:pPr>
        <w:pStyle w:val="BTEMEASMCA"/>
      </w:pPr>
    </w:p>
    <w:p w14:paraId="1EBC1E3D" w14:textId="77777777" w:rsidR="00986560" w:rsidRPr="00B4100D" w:rsidRDefault="00986560" w:rsidP="00986560">
      <w:pPr>
        <w:pStyle w:val="PI-1EMEASMCA"/>
      </w:pPr>
      <w:bookmarkStart w:id="56" w:name="_Toc129243122"/>
      <w:bookmarkStart w:id="57" w:name="_Toc129243247"/>
      <w:r w:rsidRPr="00B4100D">
        <w:t>7.</w:t>
      </w:r>
      <w:r w:rsidRPr="00B4100D">
        <w:tab/>
      </w:r>
      <w:r w:rsidR="00FA359C" w:rsidRPr="00B4100D">
        <w:t>REGISTRUOTOJAS</w:t>
      </w:r>
      <w:bookmarkEnd w:id="56"/>
      <w:bookmarkEnd w:id="57"/>
    </w:p>
    <w:p w14:paraId="31E0D3F7" w14:textId="77777777" w:rsidR="00986560" w:rsidRPr="00B4100D" w:rsidRDefault="00986560" w:rsidP="006E671E">
      <w:pPr>
        <w:pStyle w:val="BTEMEASMCA"/>
      </w:pPr>
    </w:p>
    <w:p w14:paraId="1930815A" w14:textId="77777777" w:rsidR="00D9171A" w:rsidRPr="00B4100D" w:rsidRDefault="00D9171A" w:rsidP="00D9171A">
      <w:pPr>
        <w:pStyle w:val="BTEMEASMCA"/>
      </w:pPr>
      <w:r w:rsidRPr="00B4100D">
        <w:t xml:space="preserve">Accord Healthcare B.V. </w:t>
      </w:r>
    </w:p>
    <w:p w14:paraId="74DF0C45" w14:textId="77777777" w:rsidR="00D9171A" w:rsidRPr="00B4100D" w:rsidRDefault="00D9171A" w:rsidP="00D9171A">
      <w:pPr>
        <w:pStyle w:val="BTEMEASMCA"/>
      </w:pPr>
      <w:r w:rsidRPr="00B4100D">
        <w:t xml:space="preserve">Winthontlaan 200 </w:t>
      </w:r>
    </w:p>
    <w:p w14:paraId="2BE6A436" w14:textId="77777777" w:rsidR="00D9171A" w:rsidRPr="00B4100D" w:rsidRDefault="00D9171A" w:rsidP="00D9171A">
      <w:pPr>
        <w:pStyle w:val="BTEMEASMCA"/>
      </w:pPr>
      <w:r w:rsidRPr="00B4100D">
        <w:t xml:space="preserve">3526 KV Utrecht </w:t>
      </w:r>
    </w:p>
    <w:p w14:paraId="4A3669E2" w14:textId="77777777" w:rsidR="00986560" w:rsidRPr="00B4100D" w:rsidRDefault="00D9171A" w:rsidP="00D9171A">
      <w:pPr>
        <w:pStyle w:val="BTEMEASMCA"/>
      </w:pPr>
      <w:r w:rsidRPr="00B4100D">
        <w:t>Nyderlandai</w:t>
      </w:r>
    </w:p>
    <w:p w14:paraId="2488DAC5" w14:textId="77777777" w:rsidR="00D9171A" w:rsidRPr="00B4100D" w:rsidRDefault="00D9171A" w:rsidP="00D9171A">
      <w:pPr>
        <w:pStyle w:val="BTEMEASMCA"/>
      </w:pPr>
    </w:p>
    <w:p w14:paraId="313D7EF9" w14:textId="77777777" w:rsidR="00D9171A" w:rsidRPr="00B4100D" w:rsidRDefault="00D9171A" w:rsidP="00D9171A">
      <w:pPr>
        <w:pStyle w:val="BTEMEASMCA"/>
      </w:pPr>
    </w:p>
    <w:p w14:paraId="1F3CF445" w14:textId="77777777" w:rsidR="00986560" w:rsidRPr="00B4100D" w:rsidRDefault="00986560" w:rsidP="00986560">
      <w:pPr>
        <w:pStyle w:val="PI-1EMEASMCA"/>
      </w:pPr>
      <w:bookmarkStart w:id="58" w:name="_Toc129243123"/>
      <w:bookmarkStart w:id="59" w:name="_Toc129243248"/>
      <w:r w:rsidRPr="00B4100D">
        <w:t>8.</w:t>
      </w:r>
      <w:r w:rsidRPr="00B4100D">
        <w:tab/>
      </w:r>
      <w:r w:rsidR="00FA359C" w:rsidRPr="00B4100D">
        <w:t xml:space="preserve">REGISTRACIJOS </w:t>
      </w:r>
      <w:r w:rsidRPr="00B4100D">
        <w:t>PAŽYMĖJIMO NUMERIS</w:t>
      </w:r>
      <w:bookmarkEnd w:id="58"/>
      <w:bookmarkEnd w:id="59"/>
      <w:r w:rsidRPr="00B4100D">
        <w:t xml:space="preserve"> (-IAI)</w:t>
      </w:r>
    </w:p>
    <w:p w14:paraId="0073BE6E" w14:textId="77777777" w:rsidR="00986560" w:rsidRPr="00B4100D" w:rsidRDefault="00986560" w:rsidP="006E671E">
      <w:pPr>
        <w:pStyle w:val="BTEMEASMCA"/>
      </w:pPr>
    </w:p>
    <w:p w14:paraId="30630F78" w14:textId="39A0FECC" w:rsidR="002F50C6" w:rsidRPr="00B4100D" w:rsidRDefault="002F50C6" w:rsidP="002F50C6">
      <w:pPr>
        <w:rPr>
          <w:bCs/>
          <w:sz w:val="22"/>
          <w:szCs w:val="22"/>
        </w:rPr>
      </w:pPr>
      <w:r w:rsidRPr="00B4100D">
        <w:rPr>
          <w:sz w:val="22"/>
          <w:szCs w:val="22"/>
        </w:rPr>
        <w:t>LT/1/20/4562/001</w:t>
      </w:r>
      <w:r w:rsidRPr="00B4100D">
        <w:rPr>
          <w:bCs/>
          <w:sz w:val="22"/>
          <w:szCs w:val="22"/>
        </w:rPr>
        <w:t xml:space="preserve"> – N20</w:t>
      </w:r>
    </w:p>
    <w:p w14:paraId="63553925" w14:textId="05627002" w:rsidR="002F50C6" w:rsidRPr="00B4100D" w:rsidRDefault="002F50C6" w:rsidP="002F50C6">
      <w:pPr>
        <w:rPr>
          <w:bCs/>
          <w:sz w:val="22"/>
          <w:szCs w:val="22"/>
        </w:rPr>
      </w:pPr>
      <w:r w:rsidRPr="00B4100D">
        <w:rPr>
          <w:sz w:val="22"/>
          <w:szCs w:val="22"/>
        </w:rPr>
        <w:t>LT/1/20/4562/002</w:t>
      </w:r>
      <w:r w:rsidRPr="00B4100D">
        <w:rPr>
          <w:bCs/>
          <w:sz w:val="22"/>
          <w:szCs w:val="22"/>
        </w:rPr>
        <w:t xml:space="preserve"> – N30</w:t>
      </w:r>
    </w:p>
    <w:p w14:paraId="577E3661" w14:textId="563FF01C" w:rsidR="002F50C6" w:rsidRPr="00B4100D" w:rsidRDefault="002F50C6" w:rsidP="002F50C6">
      <w:pPr>
        <w:rPr>
          <w:bCs/>
          <w:sz w:val="22"/>
          <w:szCs w:val="22"/>
        </w:rPr>
      </w:pPr>
      <w:r w:rsidRPr="00B4100D">
        <w:rPr>
          <w:sz w:val="22"/>
          <w:szCs w:val="22"/>
        </w:rPr>
        <w:t>LT/1/20/4562/003</w:t>
      </w:r>
      <w:r w:rsidRPr="00B4100D">
        <w:rPr>
          <w:bCs/>
          <w:sz w:val="22"/>
          <w:szCs w:val="22"/>
        </w:rPr>
        <w:t xml:space="preserve"> – N50</w:t>
      </w:r>
    </w:p>
    <w:p w14:paraId="1FF8FD55" w14:textId="76753939" w:rsidR="002F50C6" w:rsidRPr="00B4100D" w:rsidRDefault="002F50C6" w:rsidP="002F50C6">
      <w:pPr>
        <w:rPr>
          <w:bCs/>
          <w:sz w:val="22"/>
          <w:szCs w:val="22"/>
        </w:rPr>
      </w:pPr>
      <w:r w:rsidRPr="00B4100D">
        <w:rPr>
          <w:sz w:val="22"/>
          <w:szCs w:val="22"/>
        </w:rPr>
        <w:t>LT/1/20/4562/004</w:t>
      </w:r>
      <w:r w:rsidRPr="00B4100D">
        <w:rPr>
          <w:bCs/>
          <w:sz w:val="22"/>
          <w:szCs w:val="22"/>
        </w:rPr>
        <w:t xml:space="preserve"> – N60</w:t>
      </w:r>
    </w:p>
    <w:p w14:paraId="2E1B7468" w14:textId="3561C4A3" w:rsidR="002F50C6" w:rsidRPr="00B4100D" w:rsidRDefault="002F50C6" w:rsidP="002F50C6">
      <w:pPr>
        <w:rPr>
          <w:bCs/>
          <w:sz w:val="22"/>
          <w:szCs w:val="22"/>
        </w:rPr>
      </w:pPr>
      <w:r w:rsidRPr="00B4100D">
        <w:rPr>
          <w:sz w:val="22"/>
          <w:szCs w:val="22"/>
        </w:rPr>
        <w:t>LT/1/20/4562/005</w:t>
      </w:r>
      <w:r w:rsidRPr="00B4100D">
        <w:rPr>
          <w:bCs/>
          <w:sz w:val="22"/>
          <w:szCs w:val="22"/>
        </w:rPr>
        <w:t xml:space="preserve"> – N90</w:t>
      </w:r>
    </w:p>
    <w:p w14:paraId="7D93F676" w14:textId="5438B2A5" w:rsidR="002F50C6" w:rsidRPr="00B4100D" w:rsidRDefault="002F50C6" w:rsidP="002F50C6">
      <w:pPr>
        <w:pStyle w:val="BTEMEASMCA"/>
      </w:pPr>
      <w:r w:rsidRPr="00B4100D">
        <w:t>LT/1/20/4562/006</w:t>
      </w:r>
      <w:r w:rsidRPr="00B4100D">
        <w:rPr>
          <w:bCs/>
        </w:rPr>
        <w:t xml:space="preserve"> – N100</w:t>
      </w:r>
    </w:p>
    <w:p w14:paraId="735D40BF" w14:textId="77777777" w:rsidR="00986560" w:rsidRPr="00B4100D" w:rsidRDefault="00986560" w:rsidP="00C475DF">
      <w:pPr>
        <w:pStyle w:val="BTEMEASMCA"/>
      </w:pPr>
    </w:p>
    <w:p w14:paraId="5B89E7D5" w14:textId="77777777" w:rsidR="00986560" w:rsidRPr="00B4100D" w:rsidRDefault="00986560" w:rsidP="00CA2561">
      <w:pPr>
        <w:pStyle w:val="BTEMEASMCA"/>
      </w:pPr>
    </w:p>
    <w:p w14:paraId="548FB2EA" w14:textId="77777777" w:rsidR="00986560" w:rsidRPr="00B4100D" w:rsidRDefault="00986560" w:rsidP="00986560">
      <w:pPr>
        <w:pStyle w:val="PI-1EMEASMCA"/>
      </w:pPr>
      <w:bookmarkStart w:id="60" w:name="_Toc129243124"/>
      <w:bookmarkStart w:id="61" w:name="_Toc129243249"/>
      <w:r w:rsidRPr="00B4100D">
        <w:lastRenderedPageBreak/>
        <w:t>9.</w:t>
      </w:r>
      <w:r w:rsidRPr="00B4100D">
        <w:tab/>
      </w:r>
      <w:r w:rsidR="00FA359C" w:rsidRPr="00B4100D">
        <w:rPr>
          <w:bCs/>
        </w:rPr>
        <w:t>REGISTRAVIMO / PERREGISTRAVIMO</w:t>
      </w:r>
      <w:r w:rsidRPr="00B4100D">
        <w:t xml:space="preserve"> DATA</w:t>
      </w:r>
      <w:bookmarkEnd w:id="60"/>
      <w:bookmarkEnd w:id="61"/>
    </w:p>
    <w:p w14:paraId="27CFA15D" w14:textId="77777777" w:rsidR="00986560" w:rsidRPr="00B4100D" w:rsidRDefault="00986560" w:rsidP="006E671E">
      <w:pPr>
        <w:pStyle w:val="BTEMEASMCA"/>
      </w:pPr>
    </w:p>
    <w:p w14:paraId="636E24E8" w14:textId="3D9E0F6D" w:rsidR="00986560" w:rsidRPr="00B4100D" w:rsidRDefault="00FA359C" w:rsidP="006E671E">
      <w:pPr>
        <w:pStyle w:val="BTEMEASMCA"/>
      </w:pPr>
      <w:r w:rsidRPr="00B4100D">
        <w:t>Registravimo data</w:t>
      </w:r>
      <w:r w:rsidR="00986560" w:rsidRPr="00B4100D">
        <w:t xml:space="preserve"> </w:t>
      </w:r>
      <w:r w:rsidR="002F50C6" w:rsidRPr="00B4100D">
        <w:t>2020 m. balandžio 23 d.</w:t>
      </w:r>
    </w:p>
    <w:p w14:paraId="4B27FDB3" w14:textId="77777777" w:rsidR="00986560" w:rsidRPr="00B4100D" w:rsidRDefault="00986560" w:rsidP="00CA2561">
      <w:pPr>
        <w:pStyle w:val="BTEMEASMCA"/>
      </w:pPr>
    </w:p>
    <w:p w14:paraId="583CA17B" w14:textId="77777777" w:rsidR="00986560" w:rsidRPr="00B4100D" w:rsidRDefault="00986560" w:rsidP="00CA2561">
      <w:pPr>
        <w:pStyle w:val="BTEMEASMCA"/>
      </w:pPr>
    </w:p>
    <w:p w14:paraId="290BC347" w14:textId="77777777" w:rsidR="00986560" w:rsidRPr="00B4100D" w:rsidRDefault="00986560" w:rsidP="00986560">
      <w:pPr>
        <w:pStyle w:val="PI-1EMEASMCA"/>
      </w:pPr>
      <w:bookmarkStart w:id="62" w:name="_Toc129243125"/>
      <w:bookmarkStart w:id="63" w:name="_Toc129243250"/>
      <w:r w:rsidRPr="00B4100D">
        <w:t>10.</w:t>
      </w:r>
      <w:r w:rsidRPr="00B4100D">
        <w:tab/>
        <w:t>TEKSTO PERŽIŪROS DATA</w:t>
      </w:r>
      <w:bookmarkEnd w:id="62"/>
      <w:bookmarkEnd w:id="63"/>
    </w:p>
    <w:p w14:paraId="434F3B3B" w14:textId="77777777" w:rsidR="00986560" w:rsidRPr="00B4100D" w:rsidRDefault="00986560" w:rsidP="006E671E">
      <w:pPr>
        <w:pStyle w:val="BTEMEASMCA"/>
      </w:pPr>
    </w:p>
    <w:p w14:paraId="10693EB5" w14:textId="56149B36" w:rsidR="009A6B44" w:rsidRPr="00B4100D" w:rsidRDefault="009A6B44" w:rsidP="006E671E">
      <w:pPr>
        <w:pStyle w:val="BTEMEASMCA"/>
      </w:pPr>
      <w:r>
        <w:t xml:space="preserve">2023 m. </w:t>
      </w:r>
      <w:r w:rsidR="001D13DE">
        <w:t>lapkričio 1</w:t>
      </w:r>
      <w:r>
        <w:t>5 d.</w:t>
      </w:r>
    </w:p>
    <w:p w14:paraId="51A0285D" w14:textId="77777777" w:rsidR="000270A3" w:rsidRPr="00B4100D" w:rsidRDefault="000270A3" w:rsidP="006E671E">
      <w:pPr>
        <w:pStyle w:val="BTEMEASMCA"/>
      </w:pPr>
    </w:p>
    <w:p w14:paraId="08396123" w14:textId="77777777" w:rsidR="00986560" w:rsidRPr="00B4100D" w:rsidRDefault="00986560" w:rsidP="00C475DF">
      <w:pPr>
        <w:pStyle w:val="BTEMEASMCA"/>
      </w:pPr>
      <w:r w:rsidRPr="00B4100D">
        <w:rPr>
          <w:snapToGrid w:val="0"/>
        </w:rPr>
        <w:t>Išsami informacija apie šį vaistinį preparatą pateikiama Valstybinės vaistų kontrolės tarnybos prie Lietuvos Respublikos sveikatos apsaugos ministerijos tinklalapyje</w:t>
      </w:r>
      <w:r w:rsidRPr="00B4100D">
        <w:rPr>
          <w:i/>
          <w:snapToGrid w:val="0"/>
        </w:rPr>
        <w:t xml:space="preserve"> </w:t>
      </w:r>
      <w:hyperlink r:id="rId11" w:history="1">
        <w:r w:rsidRPr="00B4100D">
          <w:rPr>
            <w:snapToGrid w:val="0"/>
            <w:color w:val="0000FF"/>
          </w:rPr>
          <w:t>http://www.vvkt.lt</w:t>
        </w:r>
      </w:hyperlink>
      <w:r w:rsidRPr="00B4100D">
        <w:br w:type="page"/>
      </w:r>
    </w:p>
    <w:p w14:paraId="1C503E07" w14:textId="77777777" w:rsidR="00986560" w:rsidRPr="00B4100D" w:rsidRDefault="00986560" w:rsidP="0056757C">
      <w:pPr>
        <w:pStyle w:val="PI-2EMEASMCA"/>
      </w:pPr>
    </w:p>
    <w:p w14:paraId="4D6862DE" w14:textId="77777777" w:rsidR="00986560" w:rsidRPr="00B4100D" w:rsidRDefault="00986560" w:rsidP="006E671E">
      <w:pPr>
        <w:pStyle w:val="BTEMEASMCA"/>
      </w:pPr>
    </w:p>
    <w:p w14:paraId="38A5ADB3" w14:textId="77777777" w:rsidR="00986560" w:rsidRPr="00B4100D" w:rsidRDefault="00986560" w:rsidP="006E671E">
      <w:pPr>
        <w:pStyle w:val="BTEMEASMCA"/>
      </w:pPr>
    </w:p>
    <w:p w14:paraId="470577B4" w14:textId="77777777" w:rsidR="00986560" w:rsidRPr="00B4100D" w:rsidRDefault="00986560" w:rsidP="00C475DF">
      <w:pPr>
        <w:pStyle w:val="BTEMEASMCA"/>
      </w:pPr>
    </w:p>
    <w:p w14:paraId="37CE1FC4" w14:textId="77777777" w:rsidR="00986560" w:rsidRPr="00B4100D" w:rsidRDefault="00986560" w:rsidP="00CA2561">
      <w:pPr>
        <w:pStyle w:val="BTEMEASMCA"/>
      </w:pPr>
    </w:p>
    <w:p w14:paraId="79A560D7" w14:textId="77777777" w:rsidR="00986560" w:rsidRPr="00B4100D" w:rsidRDefault="00986560" w:rsidP="00CA2561">
      <w:pPr>
        <w:pStyle w:val="BTEMEASMCA"/>
      </w:pPr>
    </w:p>
    <w:p w14:paraId="5881129D" w14:textId="77777777" w:rsidR="00986560" w:rsidRPr="00B4100D" w:rsidRDefault="00986560">
      <w:pPr>
        <w:pStyle w:val="BTEMEASMCA"/>
      </w:pPr>
    </w:p>
    <w:p w14:paraId="6AB3EA46" w14:textId="77777777" w:rsidR="00986560" w:rsidRPr="00B4100D" w:rsidRDefault="00986560">
      <w:pPr>
        <w:pStyle w:val="BTEMEASMCA"/>
      </w:pPr>
    </w:p>
    <w:p w14:paraId="132F6616" w14:textId="77777777" w:rsidR="00986560" w:rsidRPr="00B4100D" w:rsidRDefault="00986560">
      <w:pPr>
        <w:pStyle w:val="BTEMEASMCA"/>
      </w:pPr>
    </w:p>
    <w:p w14:paraId="1C6C07A0" w14:textId="77777777" w:rsidR="00986560" w:rsidRPr="00B4100D" w:rsidRDefault="00986560">
      <w:pPr>
        <w:pStyle w:val="BTEMEASMCA"/>
      </w:pPr>
    </w:p>
    <w:p w14:paraId="776D505A" w14:textId="77777777" w:rsidR="00986560" w:rsidRPr="00B4100D" w:rsidRDefault="00986560">
      <w:pPr>
        <w:pStyle w:val="BTEMEASMCA"/>
      </w:pPr>
    </w:p>
    <w:p w14:paraId="37B0749F" w14:textId="77777777" w:rsidR="00986560" w:rsidRPr="00B4100D" w:rsidRDefault="00986560">
      <w:pPr>
        <w:pStyle w:val="BTEMEASMCA"/>
      </w:pPr>
    </w:p>
    <w:p w14:paraId="0776CF35" w14:textId="77777777" w:rsidR="00986560" w:rsidRPr="00B4100D" w:rsidRDefault="00986560">
      <w:pPr>
        <w:pStyle w:val="BTEMEASMCA"/>
      </w:pPr>
    </w:p>
    <w:p w14:paraId="73F7D6C1" w14:textId="77777777" w:rsidR="00986560" w:rsidRPr="00B4100D" w:rsidRDefault="00986560">
      <w:pPr>
        <w:pStyle w:val="BTEMEASMCA"/>
      </w:pPr>
    </w:p>
    <w:p w14:paraId="05F6944A" w14:textId="77777777" w:rsidR="00986560" w:rsidRPr="00B4100D" w:rsidRDefault="00986560">
      <w:pPr>
        <w:pStyle w:val="BTEMEASMCA"/>
      </w:pPr>
    </w:p>
    <w:p w14:paraId="5FA39D31" w14:textId="77777777" w:rsidR="00986560" w:rsidRPr="00B4100D" w:rsidRDefault="00986560">
      <w:pPr>
        <w:pStyle w:val="BTEMEASMCA"/>
      </w:pPr>
    </w:p>
    <w:p w14:paraId="22D2577D" w14:textId="77777777" w:rsidR="00986560" w:rsidRPr="00B4100D" w:rsidRDefault="00986560">
      <w:pPr>
        <w:pStyle w:val="BTEMEASMCA"/>
      </w:pPr>
    </w:p>
    <w:p w14:paraId="7A732575" w14:textId="77777777" w:rsidR="00986560" w:rsidRPr="00B4100D" w:rsidRDefault="00986560">
      <w:pPr>
        <w:pStyle w:val="BTEMEASMCA"/>
      </w:pPr>
    </w:p>
    <w:p w14:paraId="2E70EB8C" w14:textId="77777777" w:rsidR="00986560" w:rsidRPr="00B4100D" w:rsidRDefault="00986560">
      <w:pPr>
        <w:pStyle w:val="BTEMEASMCA"/>
      </w:pPr>
    </w:p>
    <w:p w14:paraId="3D091F05" w14:textId="77777777" w:rsidR="00986560" w:rsidRPr="00B4100D" w:rsidRDefault="00986560">
      <w:pPr>
        <w:pStyle w:val="BTEMEASMCA"/>
      </w:pPr>
    </w:p>
    <w:p w14:paraId="21F7CF65" w14:textId="77777777" w:rsidR="00986560" w:rsidRPr="00B4100D" w:rsidRDefault="00986560">
      <w:pPr>
        <w:pStyle w:val="BTEMEASMCA"/>
      </w:pPr>
    </w:p>
    <w:p w14:paraId="3ADC2198" w14:textId="77777777" w:rsidR="00986560" w:rsidRPr="00B4100D" w:rsidRDefault="00986560" w:rsidP="00986560">
      <w:pPr>
        <w:pStyle w:val="TTEMEASMCA"/>
        <w:rPr>
          <w:lang w:val="lt-LT" w:eastAsia="x-none"/>
        </w:rPr>
      </w:pPr>
    </w:p>
    <w:p w14:paraId="2A019E22" w14:textId="77777777" w:rsidR="00217BBB" w:rsidRPr="00B4100D" w:rsidRDefault="00217BBB" w:rsidP="00986560">
      <w:pPr>
        <w:pStyle w:val="TTEMEASMCA"/>
        <w:rPr>
          <w:lang w:val="lt-LT" w:eastAsia="x-none"/>
        </w:rPr>
      </w:pPr>
      <w:bookmarkStart w:id="64" w:name="_Toc129243128"/>
      <w:bookmarkStart w:id="65" w:name="_Toc129243253"/>
    </w:p>
    <w:p w14:paraId="1B1C56FF" w14:textId="77777777" w:rsidR="00986560" w:rsidRPr="00B4100D" w:rsidRDefault="00986560" w:rsidP="00986560">
      <w:pPr>
        <w:pStyle w:val="TTEMEASMCA"/>
        <w:rPr>
          <w:lang w:val="lt-LT" w:eastAsia="x-none"/>
        </w:rPr>
      </w:pPr>
      <w:r w:rsidRPr="00B4100D">
        <w:rPr>
          <w:lang w:val="lt-LT" w:eastAsia="x-none"/>
        </w:rPr>
        <w:t>II PRIEDAS</w:t>
      </w:r>
      <w:bookmarkEnd w:id="64"/>
      <w:bookmarkEnd w:id="65"/>
    </w:p>
    <w:p w14:paraId="2942238B" w14:textId="77777777" w:rsidR="00986560" w:rsidRPr="00B4100D" w:rsidRDefault="00986560" w:rsidP="00986560">
      <w:pPr>
        <w:pStyle w:val="TTEMEASMCA"/>
        <w:rPr>
          <w:lang w:val="lt-LT" w:eastAsia="x-none"/>
        </w:rPr>
      </w:pPr>
    </w:p>
    <w:p w14:paraId="695A5A18" w14:textId="77777777" w:rsidR="00986560" w:rsidRPr="00B4100D" w:rsidRDefault="00FA359C" w:rsidP="00986560">
      <w:pPr>
        <w:pStyle w:val="TTEMEASMCA"/>
        <w:rPr>
          <w:lang w:val="lt-LT" w:eastAsia="x-none"/>
        </w:rPr>
      </w:pPr>
      <w:r w:rsidRPr="00B4100D">
        <w:rPr>
          <w:lang w:val="lt-LT" w:eastAsia="x-none"/>
        </w:rPr>
        <w:t xml:space="preserve">REGISTRACIJOS </w:t>
      </w:r>
      <w:r w:rsidR="00986560" w:rsidRPr="00B4100D">
        <w:rPr>
          <w:lang w:val="lt-LT" w:eastAsia="x-none"/>
        </w:rPr>
        <w:t>SĄLYGOS</w:t>
      </w:r>
    </w:p>
    <w:p w14:paraId="4A3F3950" w14:textId="77777777" w:rsidR="00986560" w:rsidRPr="00B4100D" w:rsidRDefault="00986560" w:rsidP="006E671E">
      <w:pPr>
        <w:pStyle w:val="BTEMEASMCA"/>
      </w:pPr>
    </w:p>
    <w:p w14:paraId="76868FCB" w14:textId="77777777" w:rsidR="00986560" w:rsidRPr="00B4100D" w:rsidRDefault="00986560" w:rsidP="00986560">
      <w:pPr>
        <w:pStyle w:val="BTAnIIEMEASMCA"/>
        <w:rPr>
          <w:lang w:val="lt-LT" w:eastAsia="x-none"/>
        </w:rPr>
      </w:pPr>
      <w:r w:rsidRPr="00B4100D">
        <w:rPr>
          <w:lang w:val="lt-LT" w:eastAsia="x-none"/>
        </w:rPr>
        <w:t>A.</w:t>
      </w:r>
      <w:r w:rsidRPr="00B4100D">
        <w:rPr>
          <w:lang w:val="lt-LT" w:eastAsia="x-none"/>
        </w:rPr>
        <w:tab/>
        <w:t>GAMINTOJAS (-AI), ATSAKINGAS (-I) UŽ SERIJŲ IŠLEIDIMĄ</w:t>
      </w:r>
    </w:p>
    <w:p w14:paraId="234767DE" w14:textId="77777777" w:rsidR="00986560" w:rsidRPr="00B4100D" w:rsidRDefault="00986560" w:rsidP="006E671E">
      <w:pPr>
        <w:pStyle w:val="BTEMEASMCA"/>
      </w:pPr>
    </w:p>
    <w:p w14:paraId="056872B7" w14:textId="77777777" w:rsidR="00986560" w:rsidRPr="00B4100D" w:rsidRDefault="00986560" w:rsidP="00986560">
      <w:pPr>
        <w:pStyle w:val="BTAnIIEMEASMCA"/>
        <w:rPr>
          <w:lang w:val="lt-LT" w:eastAsia="x-none"/>
        </w:rPr>
      </w:pPr>
      <w:r w:rsidRPr="00B4100D">
        <w:rPr>
          <w:lang w:val="lt-LT" w:eastAsia="x-none"/>
        </w:rPr>
        <w:t>B.</w:t>
      </w:r>
      <w:r w:rsidRPr="00B4100D">
        <w:rPr>
          <w:lang w:val="lt-LT" w:eastAsia="x-none"/>
        </w:rPr>
        <w:tab/>
        <w:t>TIEKIMO IR VARTOJIMO SĄLYGOS AR APRIBOJIMAI</w:t>
      </w:r>
    </w:p>
    <w:p w14:paraId="13057966" w14:textId="77777777" w:rsidR="00986560" w:rsidRPr="00B4100D" w:rsidRDefault="00986560" w:rsidP="006E671E">
      <w:pPr>
        <w:pStyle w:val="BTEMEASMCA"/>
      </w:pPr>
    </w:p>
    <w:p w14:paraId="540F0A42" w14:textId="77777777" w:rsidR="00986560" w:rsidRPr="00B4100D" w:rsidRDefault="00986560" w:rsidP="00986560">
      <w:pPr>
        <w:pStyle w:val="PI-1EMEASMCA"/>
      </w:pPr>
      <w:r w:rsidRPr="00B4100D">
        <w:br w:type="page"/>
      </w:r>
      <w:r w:rsidRPr="00B4100D">
        <w:lastRenderedPageBreak/>
        <w:t>A.</w:t>
      </w:r>
      <w:r w:rsidRPr="00B4100D">
        <w:tab/>
        <w:t>GAMINTOJAS (-AI), ATSAKINGAS (-I) UŽ SERIJŲ IŠLEIDIMĄ</w:t>
      </w:r>
    </w:p>
    <w:p w14:paraId="60095566" w14:textId="77777777" w:rsidR="00986560" w:rsidRPr="00B4100D" w:rsidRDefault="00986560" w:rsidP="006E671E">
      <w:pPr>
        <w:pStyle w:val="BTEMEASMCA"/>
      </w:pPr>
    </w:p>
    <w:p w14:paraId="611E1892" w14:textId="77777777" w:rsidR="00986560" w:rsidRPr="00B4100D" w:rsidRDefault="00986560" w:rsidP="00BE4841">
      <w:pPr>
        <w:pStyle w:val="BTuEMEASMCA"/>
      </w:pPr>
      <w:r w:rsidRPr="00B4100D">
        <w:t>Gamintoj</w:t>
      </w:r>
      <w:r w:rsidR="008142E6" w:rsidRPr="00B4100D">
        <w:t>o (-</w:t>
      </w:r>
      <w:r w:rsidRPr="00B4100D">
        <w:t>ų</w:t>
      </w:r>
      <w:r w:rsidR="008142E6" w:rsidRPr="00B4100D">
        <w:t>)</w:t>
      </w:r>
      <w:r w:rsidRPr="00B4100D">
        <w:t>, atsaking</w:t>
      </w:r>
      <w:r w:rsidR="008142E6" w:rsidRPr="00B4100D">
        <w:t>o (-</w:t>
      </w:r>
      <w:r w:rsidRPr="00B4100D">
        <w:t>ų</w:t>
      </w:r>
      <w:r w:rsidR="008142E6" w:rsidRPr="00B4100D">
        <w:t>)</w:t>
      </w:r>
      <w:r w:rsidRPr="00B4100D">
        <w:t xml:space="preserve"> už serijų išleidimą, pavadinima</w:t>
      </w:r>
      <w:r w:rsidR="008142E6" w:rsidRPr="00B4100D">
        <w:t>s (-a</w:t>
      </w:r>
      <w:r w:rsidRPr="00B4100D">
        <w:t>i</w:t>
      </w:r>
      <w:r w:rsidR="008142E6" w:rsidRPr="00B4100D">
        <w:t>)</w:t>
      </w:r>
      <w:r w:rsidRPr="00B4100D">
        <w:t xml:space="preserve"> ir adresa</w:t>
      </w:r>
      <w:r w:rsidR="008142E6" w:rsidRPr="00B4100D">
        <w:t>s (-a</w:t>
      </w:r>
      <w:r w:rsidRPr="00B4100D">
        <w:t>i</w:t>
      </w:r>
      <w:r w:rsidR="008142E6" w:rsidRPr="00B4100D">
        <w:t>)</w:t>
      </w:r>
    </w:p>
    <w:p w14:paraId="5AA1962B" w14:textId="77777777" w:rsidR="00986560" w:rsidRPr="00B4100D" w:rsidRDefault="00986560">
      <w:pPr>
        <w:pStyle w:val="BTEMEASMCA"/>
      </w:pPr>
    </w:p>
    <w:p w14:paraId="040AD680" w14:textId="565F833B" w:rsidR="000D34E0" w:rsidRPr="00B4100D" w:rsidRDefault="008142E6" w:rsidP="000D34E0">
      <w:pPr>
        <w:numPr>
          <w:ilvl w:val="12"/>
          <w:numId w:val="0"/>
        </w:numPr>
        <w:tabs>
          <w:tab w:val="left" w:pos="720"/>
        </w:tabs>
        <w:ind w:right="-2"/>
        <w:rPr>
          <w:sz w:val="22"/>
          <w:szCs w:val="22"/>
        </w:rPr>
      </w:pPr>
      <w:r w:rsidRPr="00B4100D">
        <w:rPr>
          <w:sz w:val="22"/>
          <w:szCs w:val="22"/>
        </w:rPr>
        <w:t xml:space="preserve">Laboratori </w:t>
      </w:r>
      <w:r w:rsidR="000D34E0" w:rsidRPr="00B4100D">
        <w:rPr>
          <w:sz w:val="22"/>
          <w:szCs w:val="22"/>
        </w:rPr>
        <w:t>F</w:t>
      </w:r>
      <w:r w:rsidRPr="00B4100D">
        <w:rPr>
          <w:sz w:val="22"/>
          <w:szCs w:val="22"/>
        </w:rPr>
        <w:t>undacio</w:t>
      </w:r>
      <w:r w:rsidR="000D34E0" w:rsidRPr="00B4100D">
        <w:rPr>
          <w:sz w:val="22"/>
          <w:szCs w:val="22"/>
        </w:rPr>
        <w:t xml:space="preserve"> D</w:t>
      </w:r>
      <w:r w:rsidRPr="00B4100D">
        <w:rPr>
          <w:sz w:val="22"/>
          <w:szCs w:val="22"/>
        </w:rPr>
        <w:t>au</w:t>
      </w:r>
    </w:p>
    <w:p w14:paraId="2ED3AF0A" w14:textId="1EE09701" w:rsidR="000D34E0" w:rsidRPr="00B4100D" w:rsidRDefault="000D34E0" w:rsidP="000D34E0">
      <w:pPr>
        <w:numPr>
          <w:ilvl w:val="12"/>
          <w:numId w:val="0"/>
        </w:numPr>
        <w:tabs>
          <w:tab w:val="left" w:pos="720"/>
        </w:tabs>
        <w:ind w:right="-2"/>
        <w:rPr>
          <w:sz w:val="22"/>
          <w:szCs w:val="22"/>
        </w:rPr>
      </w:pPr>
      <w:r w:rsidRPr="00B4100D">
        <w:rPr>
          <w:sz w:val="22"/>
          <w:szCs w:val="22"/>
        </w:rPr>
        <w:t>C/</w:t>
      </w:r>
      <w:r w:rsidR="008142E6" w:rsidRPr="00B4100D">
        <w:rPr>
          <w:sz w:val="22"/>
          <w:szCs w:val="22"/>
        </w:rPr>
        <w:t>c</w:t>
      </w:r>
      <w:r w:rsidRPr="00B4100D">
        <w:rPr>
          <w:sz w:val="22"/>
          <w:szCs w:val="22"/>
        </w:rPr>
        <w:t>, 12-14 Pol</w:t>
      </w:r>
      <w:r w:rsidR="008142E6" w:rsidRPr="00B4100D">
        <w:rPr>
          <w:sz w:val="22"/>
          <w:szCs w:val="22"/>
        </w:rPr>
        <w:t>igon</w:t>
      </w:r>
      <w:r w:rsidR="00FA648F" w:rsidRPr="00B4100D">
        <w:rPr>
          <w:sz w:val="22"/>
          <w:szCs w:val="22"/>
        </w:rPr>
        <w:t>o</w:t>
      </w:r>
      <w:r w:rsidRPr="00B4100D">
        <w:rPr>
          <w:sz w:val="22"/>
          <w:szCs w:val="22"/>
        </w:rPr>
        <w:t xml:space="preserve"> Ind</w:t>
      </w:r>
      <w:r w:rsidR="008142E6" w:rsidRPr="00B4100D">
        <w:rPr>
          <w:sz w:val="22"/>
          <w:szCs w:val="22"/>
        </w:rPr>
        <w:t>ustrial</w:t>
      </w:r>
      <w:r w:rsidRPr="00B4100D">
        <w:rPr>
          <w:sz w:val="22"/>
          <w:szCs w:val="22"/>
        </w:rPr>
        <w:t xml:space="preserve"> Zona Franca</w:t>
      </w:r>
    </w:p>
    <w:p w14:paraId="09EED180" w14:textId="63EBD83A" w:rsidR="008142E6" w:rsidRPr="00B4100D" w:rsidRDefault="008142E6" w:rsidP="000D34E0">
      <w:pPr>
        <w:numPr>
          <w:ilvl w:val="12"/>
          <w:numId w:val="0"/>
        </w:numPr>
        <w:tabs>
          <w:tab w:val="left" w:pos="720"/>
        </w:tabs>
        <w:ind w:right="-2"/>
        <w:rPr>
          <w:sz w:val="22"/>
          <w:szCs w:val="20"/>
        </w:rPr>
      </w:pPr>
      <w:r w:rsidRPr="00B4100D">
        <w:rPr>
          <w:sz w:val="22"/>
          <w:szCs w:val="22"/>
        </w:rPr>
        <w:t xml:space="preserve">08040 </w:t>
      </w:r>
      <w:r w:rsidR="000D34E0" w:rsidRPr="00B4100D">
        <w:rPr>
          <w:sz w:val="22"/>
          <w:szCs w:val="22"/>
        </w:rPr>
        <w:t>Barcelona</w:t>
      </w:r>
    </w:p>
    <w:p w14:paraId="29E7DE30" w14:textId="77777777" w:rsidR="000D34E0" w:rsidRPr="00B4100D" w:rsidRDefault="000D34E0" w:rsidP="000D34E0">
      <w:pPr>
        <w:numPr>
          <w:ilvl w:val="12"/>
          <w:numId w:val="0"/>
        </w:numPr>
        <w:tabs>
          <w:tab w:val="left" w:pos="720"/>
        </w:tabs>
        <w:ind w:right="-2"/>
        <w:rPr>
          <w:sz w:val="22"/>
          <w:szCs w:val="22"/>
        </w:rPr>
      </w:pPr>
      <w:r w:rsidRPr="00B4100D">
        <w:rPr>
          <w:sz w:val="22"/>
          <w:szCs w:val="22"/>
        </w:rPr>
        <w:t>Ispanija</w:t>
      </w:r>
    </w:p>
    <w:p w14:paraId="3F43A43D" w14:textId="77777777" w:rsidR="000D34E0" w:rsidRPr="00B4100D" w:rsidRDefault="000D34E0" w:rsidP="000D34E0">
      <w:pPr>
        <w:numPr>
          <w:ilvl w:val="12"/>
          <w:numId w:val="0"/>
        </w:numPr>
        <w:tabs>
          <w:tab w:val="left" w:pos="567"/>
        </w:tabs>
        <w:ind w:right="-2"/>
        <w:rPr>
          <w:iCs/>
          <w:sz w:val="22"/>
          <w:szCs w:val="20"/>
        </w:rPr>
      </w:pPr>
    </w:p>
    <w:p w14:paraId="210098F8" w14:textId="77777777" w:rsidR="000D34E0" w:rsidRPr="00B4100D" w:rsidRDefault="000D34E0" w:rsidP="000D34E0">
      <w:pPr>
        <w:numPr>
          <w:ilvl w:val="12"/>
          <w:numId w:val="0"/>
        </w:numPr>
        <w:tabs>
          <w:tab w:val="left" w:pos="567"/>
        </w:tabs>
        <w:ind w:right="-2"/>
        <w:rPr>
          <w:iCs/>
          <w:sz w:val="22"/>
          <w:szCs w:val="20"/>
        </w:rPr>
      </w:pPr>
      <w:r w:rsidRPr="00B4100D">
        <w:rPr>
          <w:iCs/>
          <w:sz w:val="22"/>
          <w:szCs w:val="20"/>
        </w:rPr>
        <w:t>arba</w:t>
      </w:r>
    </w:p>
    <w:p w14:paraId="2EF92FA5" w14:textId="77777777" w:rsidR="000D34E0" w:rsidRPr="00B4100D" w:rsidRDefault="000D34E0" w:rsidP="000D34E0">
      <w:pPr>
        <w:numPr>
          <w:ilvl w:val="12"/>
          <w:numId w:val="0"/>
        </w:numPr>
        <w:tabs>
          <w:tab w:val="left" w:pos="567"/>
        </w:tabs>
        <w:ind w:right="-2"/>
        <w:rPr>
          <w:iCs/>
          <w:sz w:val="22"/>
          <w:szCs w:val="20"/>
        </w:rPr>
      </w:pPr>
    </w:p>
    <w:p w14:paraId="28A5A6B5" w14:textId="77777777" w:rsidR="000D34E0" w:rsidRPr="00B4100D" w:rsidRDefault="000D34E0" w:rsidP="000D34E0">
      <w:pPr>
        <w:numPr>
          <w:ilvl w:val="12"/>
          <w:numId w:val="0"/>
        </w:numPr>
        <w:tabs>
          <w:tab w:val="left" w:pos="720"/>
        </w:tabs>
        <w:ind w:right="-2"/>
        <w:rPr>
          <w:sz w:val="22"/>
          <w:szCs w:val="22"/>
        </w:rPr>
      </w:pPr>
      <w:r w:rsidRPr="00B4100D">
        <w:rPr>
          <w:sz w:val="22"/>
          <w:szCs w:val="22"/>
        </w:rPr>
        <w:t>Accord Healthcare Polska Sp. z o.o.</w:t>
      </w:r>
    </w:p>
    <w:p w14:paraId="75F93874" w14:textId="61C1382F" w:rsidR="008142E6" w:rsidRPr="00B4100D" w:rsidRDefault="000D34E0" w:rsidP="000D34E0">
      <w:pPr>
        <w:numPr>
          <w:ilvl w:val="12"/>
          <w:numId w:val="0"/>
        </w:numPr>
        <w:tabs>
          <w:tab w:val="left" w:pos="720"/>
        </w:tabs>
        <w:ind w:right="-2"/>
        <w:rPr>
          <w:sz w:val="22"/>
          <w:szCs w:val="20"/>
        </w:rPr>
      </w:pPr>
      <w:r w:rsidRPr="00B4100D">
        <w:rPr>
          <w:sz w:val="22"/>
          <w:szCs w:val="22"/>
        </w:rPr>
        <w:t>ul. Lutomierska 50</w:t>
      </w:r>
    </w:p>
    <w:p w14:paraId="74F7BE03" w14:textId="77777777" w:rsidR="000D34E0" w:rsidRPr="00B4100D" w:rsidRDefault="008142E6" w:rsidP="000D34E0">
      <w:pPr>
        <w:numPr>
          <w:ilvl w:val="12"/>
          <w:numId w:val="0"/>
        </w:numPr>
        <w:tabs>
          <w:tab w:val="left" w:pos="720"/>
        </w:tabs>
        <w:ind w:right="-2"/>
        <w:rPr>
          <w:sz w:val="22"/>
          <w:szCs w:val="22"/>
        </w:rPr>
      </w:pPr>
      <w:r w:rsidRPr="00B4100D">
        <w:rPr>
          <w:sz w:val="22"/>
          <w:szCs w:val="22"/>
        </w:rPr>
        <w:t xml:space="preserve">95-200 </w:t>
      </w:r>
      <w:r w:rsidR="000D34E0" w:rsidRPr="00B4100D">
        <w:rPr>
          <w:sz w:val="22"/>
          <w:szCs w:val="22"/>
        </w:rPr>
        <w:t>Pabianice</w:t>
      </w:r>
    </w:p>
    <w:p w14:paraId="5F416D4D" w14:textId="4C953B57" w:rsidR="000D34E0" w:rsidRPr="00B4100D" w:rsidRDefault="000D34E0" w:rsidP="000D34E0">
      <w:pPr>
        <w:numPr>
          <w:ilvl w:val="12"/>
          <w:numId w:val="0"/>
        </w:numPr>
        <w:tabs>
          <w:tab w:val="left" w:pos="720"/>
        </w:tabs>
        <w:ind w:right="-2"/>
        <w:rPr>
          <w:sz w:val="22"/>
          <w:szCs w:val="22"/>
        </w:rPr>
      </w:pPr>
      <w:r w:rsidRPr="00B4100D">
        <w:rPr>
          <w:sz w:val="22"/>
          <w:szCs w:val="22"/>
        </w:rPr>
        <w:t>Lenkija</w:t>
      </w:r>
    </w:p>
    <w:p w14:paraId="6C0B18AF" w14:textId="77777777" w:rsidR="000D34E0" w:rsidRPr="00B4100D" w:rsidRDefault="000D34E0" w:rsidP="000D34E0">
      <w:pPr>
        <w:numPr>
          <w:ilvl w:val="12"/>
          <w:numId w:val="0"/>
        </w:numPr>
        <w:tabs>
          <w:tab w:val="left" w:pos="567"/>
        </w:tabs>
        <w:ind w:right="-2"/>
        <w:rPr>
          <w:iCs/>
          <w:sz w:val="22"/>
          <w:szCs w:val="20"/>
        </w:rPr>
      </w:pPr>
    </w:p>
    <w:p w14:paraId="00BED921" w14:textId="77777777" w:rsidR="000D34E0" w:rsidRPr="00B4100D" w:rsidRDefault="000D34E0" w:rsidP="000D34E0">
      <w:pPr>
        <w:numPr>
          <w:ilvl w:val="12"/>
          <w:numId w:val="0"/>
        </w:numPr>
        <w:tabs>
          <w:tab w:val="left" w:pos="567"/>
        </w:tabs>
        <w:ind w:right="-2"/>
        <w:rPr>
          <w:iCs/>
          <w:sz w:val="22"/>
          <w:szCs w:val="20"/>
        </w:rPr>
      </w:pPr>
      <w:r w:rsidRPr="00B4100D">
        <w:rPr>
          <w:iCs/>
          <w:sz w:val="22"/>
          <w:szCs w:val="20"/>
        </w:rPr>
        <w:t>arba</w:t>
      </w:r>
    </w:p>
    <w:p w14:paraId="349C7BAA" w14:textId="77777777" w:rsidR="000D34E0" w:rsidRPr="00B4100D" w:rsidRDefault="000D34E0" w:rsidP="000D34E0">
      <w:pPr>
        <w:numPr>
          <w:ilvl w:val="12"/>
          <w:numId w:val="0"/>
        </w:numPr>
        <w:tabs>
          <w:tab w:val="left" w:pos="567"/>
        </w:tabs>
        <w:ind w:right="-2"/>
        <w:rPr>
          <w:iCs/>
          <w:sz w:val="22"/>
          <w:szCs w:val="20"/>
        </w:rPr>
      </w:pPr>
    </w:p>
    <w:p w14:paraId="7240F6D5" w14:textId="77777777" w:rsidR="000D34E0" w:rsidRPr="00B4100D" w:rsidRDefault="000D34E0" w:rsidP="000D34E0">
      <w:pPr>
        <w:widowControl w:val="0"/>
        <w:numPr>
          <w:ilvl w:val="12"/>
          <w:numId w:val="0"/>
        </w:numPr>
        <w:ind w:right="-2"/>
        <w:rPr>
          <w:color w:val="000000"/>
          <w:sz w:val="22"/>
          <w:szCs w:val="22"/>
        </w:rPr>
      </w:pPr>
      <w:r w:rsidRPr="00B4100D">
        <w:rPr>
          <w:color w:val="000000"/>
          <w:sz w:val="22"/>
          <w:szCs w:val="22"/>
        </w:rPr>
        <w:t>Pharmadox Healthcare Limited</w:t>
      </w:r>
    </w:p>
    <w:p w14:paraId="414A390F" w14:textId="1DC972E6" w:rsidR="000D34E0" w:rsidRPr="00B4100D" w:rsidRDefault="000D34E0" w:rsidP="000D34E0">
      <w:pPr>
        <w:widowControl w:val="0"/>
        <w:numPr>
          <w:ilvl w:val="12"/>
          <w:numId w:val="0"/>
        </w:numPr>
        <w:ind w:right="-2"/>
        <w:rPr>
          <w:color w:val="000000"/>
          <w:sz w:val="22"/>
          <w:szCs w:val="22"/>
        </w:rPr>
      </w:pPr>
      <w:r w:rsidRPr="00B4100D">
        <w:rPr>
          <w:color w:val="000000"/>
          <w:sz w:val="22"/>
          <w:szCs w:val="22"/>
        </w:rPr>
        <w:t xml:space="preserve">KW20A </w:t>
      </w:r>
      <w:r w:rsidR="008142E6" w:rsidRPr="00B4100D">
        <w:rPr>
          <w:color w:val="000000"/>
          <w:sz w:val="22"/>
          <w:szCs w:val="22"/>
        </w:rPr>
        <w:t>Corradino</w:t>
      </w:r>
      <w:r w:rsidRPr="00B4100D">
        <w:rPr>
          <w:color w:val="000000"/>
          <w:sz w:val="22"/>
          <w:szCs w:val="22"/>
        </w:rPr>
        <w:t xml:space="preserve"> Industrial </w:t>
      </w:r>
      <w:r w:rsidR="008142E6" w:rsidRPr="00B4100D">
        <w:rPr>
          <w:color w:val="000000"/>
          <w:sz w:val="22"/>
          <w:szCs w:val="22"/>
        </w:rPr>
        <w:t>Estate</w:t>
      </w:r>
    </w:p>
    <w:p w14:paraId="577BD76E" w14:textId="6CC257DA" w:rsidR="00F32534" w:rsidRPr="00B4100D" w:rsidRDefault="00F32534" w:rsidP="000D34E0">
      <w:pPr>
        <w:widowControl w:val="0"/>
        <w:numPr>
          <w:ilvl w:val="12"/>
          <w:numId w:val="0"/>
        </w:numPr>
        <w:ind w:right="-2"/>
        <w:rPr>
          <w:sz w:val="22"/>
          <w:szCs w:val="20"/>
        </w:rPr>
      </w:pPr>
      <w:r w:rsidRPr="00B4100D">
        <w:rPr>
          <w:color w:val="000000"/>
          <w:sz w:val="22"/>
          <w:szCs w:val="22"/>
        </w:rPr>
        <w:t xml:space="preserve">PLA 3000 </w:t>
      </w:r>
      <w:r w:rsidR="000D34E0" w:rsidRPr="00B4100D">
        <w:rPr>
          <w:color w:val="000000"/>
          <w:sz w:val="22"/>
          <w:szCs w:val="22"/>
        </w:rPr>
        <w:t>Paola</w:t>
      </w:r>
    </w:p>
    <w:p w14:paraId="45046EC7" w14:textId="77777777" w:rsidR="000D34E0" w:rsidRPr="00B4100D" w:rsidRDefault="000D34E0" w:rsidP="000D34E0">
      <w:pPr>
        <w:widowControl w:val="0"/>
        <w:numPr>
          <w:ilvl w:val="12"/>
          <w:numId w:val="0"/>
        </w:numPr>
        <w:ind w:right="-2"/>
        <w:rPr>
          <w:color w:val="000000"/>
          <w:sz w:val="22"/>
          <w:szCs w:val="22"/>
        </w:rPr>
      </w:pPr>
      <w:r w:rsidRPr="00B4100D">
        <w:rPr>
          <w:color w:val="000000"/>
          <w:sz w:val="22"/>
          <w:szCs w:val="22"/>
        </w:rPr>
        <w:t>Malta</w:t>
      </w:r>
    </w:p>
    <w:p w14:paraId="561A9DA3" w14:textId="77777777" w:rsidR="000D34E0" w:rsidRPr="00B4100D" w:rsidRDefault="000D34E0" w:rsidP="000D34E0">
      <w:pPr>
        <w:widowControl w:val="0"/>
        <w:numPr>
          <w:ilvl w:val="12"/>
          <w:numId w:val="0"/>
        </w:numPr>
        <w:ind w:right="-2"/>
        <w:rPr>
          <w:color w:val="000000"/>
          <w:sz w:val="22"/>
          <w:szCs w:val="22"/>
        </w:rPr>
      </w:pPr>
    </w:p>
    <w:p w14:paraId="561E4BC8" w14:textId="77777777" w:rsidR="00986560" w:rsidRPr="00B4100D" w:rsidRDefault="00986560" w:rsidP="006E671E">
      <w:pPr>
        <w:pStyle w:val="BTEMEASMCA"/>
      </w:pPr>
      <w:r w:rsidRPr="00B4100D">
        <w:t>Su pakuote pateikiamame lapelyje nurodomas gamintojo, atsakingo už konkrečios serijos išleidimą, pavadinimas ir adresas.</w:t>
      </w:r>
    </w:p>
    <w:p w14:paraId="634E2221" w14:textId="77777777" w:rsidR="00986560" w:rsidRPr="00B4100D" w:rsidRDefault="00986560" w:rsidP="00C475DF">
      <w:pPr>
        <w:pStyle w:val="BTEMEASMCA"/>
      </w:pPr>
    </w:p>
    <w:p w14:paraId="47802A19" w14:textId="77777777" w:rsidR="00986560" w:rsidRPr="00B4100D" w:rsidRDefault="00986560" w:rsidP="00CA2561">
      <w:pPr>
        <w:pStyle w:val="BTEMEASMCA"/>
      </w:pPr>
    </w:p>
    <w:p w14:paraId="1ADBE052" w14:textId="77777777" w:rsidR="00986560" w:rsidRPr="00B4100D" w:rsidRDefault="00986560" w:rsidP="00986560">
      <w:pPr>
        <w:pStyle w:val="PI-1EMEASMCA"/>
      </w:pPr>
      <w:bookmarkStart w:id="66" w:name="_Toc129243129"/>
      <w:bookmarkStart w:id="67" w:name="_Toc129243254"/>
      <w:r w:rsidRPr="00B4100D">
        <w:t>B.</w:t>
      </w:r>
      <w:r w:rsidRPr="00B4100D">
        <w:tab/>
        <w:t>TIEKIMO IR VARTOJIMO SĄLYGOS AR APRIBOJIMAI</w:t>
      </w:r>
      <w:bookmarkEnd w:id="66"/>
      <w:bookmarkEnd w:id="67"/>
    </w:p>
    <w:p w14:paraId="00395819" w14:textId="77777777" w:rsidR="00986560" w:rsidRPr="00B4100D" w:rsidRDefault="00986560" w:rsidP="0056757C">
      <w:pPr>
        <w:pStyle w:val="PI-2EMEASMCA"/>
      </w:pPr>
    </w:p>
    <w:p w14:paraId="32F5744D" w14:textId="77777777" w:rsidR="00986560" w:rsidRPr="00B4100D" w:rsidRDefault="00986560" w:rsidP="006E671E">
      <w:pPr>
        <w:pStyle w:val="BTEMEASMCA"/>
      </w:pPr>
      <w:r w:rsidRPr="00B4100D">
        <w:t>Receptinis vaistinis preparatas.</w:t>
      </w:r>
    </w:p>
    <w:p w14:paraId="0D7B70D0" w14:textId="77777777" w:rsidR="00986560" w:rsidRPr="00B4100D" w:rsidRDefault="00986560" w:rsidP="006E671E">
      <w:pPr>
        <w:pStyle w:val="BTEMEASMCA"/>
      </w:pPr>
    </w:p>
    <w:p w14:paraId="53A39E53" w14:textId="77777777" w:rsidR="00986560" w:rsidRPr="00B4100D" w:rsidRDefault="00986560" w:rsidP="00C475DF">
      <w:pPr>
        <w:pStyle w:val="BTEMEASMCA"/>
      </w:pPr>
    </w:p>
    <w:p w14:paraId="46FDA9EC" w14:textId="77777777" w:rsidR="00986560" w:rsidRPr="00B4100D" w:rsidRDefault="00986560" w:rsidP="00CA2561">
      <w:pPr>
        <w:pStyle w:val="BTEMEASMCA"/>
      </w:pPr>
    </w:p>
    <w:p w14:paraId="0C6C9F6D" w14:textId="77777777" w:rsidR="00986560" w:rsidRPr="00B4100D" w:rsidRDefault="00986560" w:rsidP="00CA2561">
      <w:pPr>
        <w:pStyle w:val="BTEMEASMCA"/>
      </w:pPr>
    </w:p>
    <w:p w14:paraId="3E2CC029" w14:textId="77777777" w:rsidR="00986560" w:rsidRPr="00B4100D" w:rsidRDefault="00986560">
      <w:pPr>
        <w:pStyle w:val="BTEMEASMCA"/>
      </w:pPr>
    </w:p>
    <w:p w14:paraId="55D4BB23" w14:textId="77777777" w:rsidR="00986560" w:rsidRPr="00B4100D" w:rsidRDefault="00986560">
      <w:pPr>
        <w:pStyle w:val="BTEMEASMCA"/>
      </w:pPr>
    </w:p>
    <w:p w14:paraId="5D1C0A2D" w14:textId="77777777" w:rsidR="00986560" w:rsidRPr="00B4100D" w:rsidRDefault="00986560">
      <w:pPr>
        <w:pStyle w:val="BTEMEASMCA"/>
      </w:pPr>
    </w:p>
    <w:p w14:paraId="17BF3FBC" w14:textId="77777777" w:rsidR="00986560" w:rsidRPr="00B4100D" w:rsidRDefault="00986560">
      <w:pPr>
        <w:pStyle w:val="BTEMEASMCA"/>
      </w:pPr>
    </w:p>
    <w:p w14:paraId="1EFCCB8B" w14:textId="77777777" w:rsidR="00986560" w:rsidRPr="00B4100D" w:rsidRDefault="00986560">
      <w:pPr>
        <w:pStyle w:val="BTEMEASMCA"/>
      </w:pPr>
    </w:p>
    <w:p w14:paraId="63194878" w14:textId="77777777" w:rsidR="00986560" w:rsidRPr="00B4100D" w:rsidRDefault="00986560">
      <w:pPr>
        <w:pStyle w:val="BTEMEASMCA"/>
      </w:pPr>
    </w:p>
    <w:p w14:paraId="5BFE0D8A" w14:textId="77777777" w:rsidR="00986560" w:rsidRPr="00B4100D" w:rsidRDefault="00986560">
      <w:pPr>
        <w:pStyle w:val="BTEMEASMCA"/>
      </w:pPr>
    </w:p>
    <w:p w14:paraId="3C5A6131" w14:textId="77777777" w:rsidR="00986560" w:rsidRPr="00B4100D" w:rsidRDefault="00986560">
      <w:pPr>
        <w:pStyle w:val="BTEMEASMCA"/>
      </w:pPr>
    </w:p>
    <w:p w14:paraId="724F6A84" w14:textId="77777777" w:rsidR="00986560" w:rsidRPr="00B4100D" w:rsidRDefault="00986560" w:rsidP="0056757C">
      <w:pPr>
        <w:pStyle w:val="PI-2EMEASMCA"/>
      </w:pPr>
      <w:r w:rsidRPr="00B4100D">
        <w:br w:type="page"/>
      </w:r>
    </w:p>
    <w:p w14:paraId="6BB6425C" w14:textId="77777777" w:rsidR="00986560" w:rsidRPr="00B4100D" w:rsidRDefault="00986560" w:rsidP="006E671E">
      <w:pPr>
        <w:pStyle w:val="BTEMEASMCA"/>
      </w:pPr>
    </w:p>
    <w:p w14:paraId="4A1CBFBA" w14:textId="77777777" w:rsidR="00986560" w:rsidRPr="00B4100D" w:rsidRDefault="00986560" w:rsidP="006E671E">
      <w:pPr>
        <w:pStyle w:val="BTEMEASMCA"/>
      </w:pPr>
    </w:p>
    <w:p w14:paraId="4BF42999" w14:textId="77777777" w:rsidR="00986560" w:rsidRPr="00B4100D" w:rsidRDefault="00986560" w:rsidP="00C475DF">
      <w:pPr>
        <w:pStyle w:val="BTEMEASMCA"/>
      </w:pPr>
    </w:p>
    <w:p w14:paraId="70ECA30D" w14:textId="77777777" w:rsidR="00986560" w:rsidRPr="00B4100D" w:rsidRDefault="00986560" w:rsidP="00CA2561">
      <w:pPr>
        <w:pStyle w:val="BTEMEASMCA"/>
      </w:pPr>
    </w:p>
    <w:p w14:paraId="41382D12" w14:textId="77777777" w:rsidR="00986560" w:rsidRPr="00B4100D" w:rsidRDefault="00986560" w:rsidP="00CA2561">
      <w:pPr>
        <w:pStyle w:val="BTEMEASMCA"/>
      </w:pPr>
    </w:p>
    <w:p w14:paraId="2325F56A" w14:textId="77777777" w:rsidR="00986560" w:rsidRPr="00B4100D" w:rsidRDefault="00986560">
      <w:pPr>
        <w:pStyle w:val="BTEMEASMCA"/>
      </w:pPr>
    </w:p>
    <w:p w14:paraId="0244B03D" w14:textId="77777777" w:rsidR="00986560" w:rsidRPr="00B4100D" w:rsidRDefault="00986560">
      <w:pPr>
        <w:pStyle w:val="BTEMEASMCA"/>
      </w:pPr>
    </w:p>
    <w:p w14:paraId="2029C7A3" w14:textId="77777777" w:rsidR="00986560" w:rsidRPr="00B4100D" w:rsidRDefault="00986560">
      <w:pPr>
        <w:pStyle w:val="BTEMEASMCA"/>
      </w:pPr>
    </w:p>
    <w:p w14:paraId="7DDC89E3" w14:textId="77777777" w:rsidR="00986560" w:rsidRPr="00B4100D" w:rsidRDefault="00986560">
      <w:pPr>
        <w:pStyle w:val="BTEMEASMCA"/>
      </w:pPr>
    </w:p>
    <w:p w14:paraId="10A2B9DC" w14:textId="77777777" w:rsidR="00986560" w:rsidRPr="00B4100D" w:rsidRDefault="00986560">
      <w:pPr>
        <w:pStyle w:val="BTEMEASMCA"/>
      </w:pPr>
    </w:p>
    <w:p w14:paraId="4DC0F215" w14:textId="77777777" w:rsidR="00986560" w:rsidRPr="00B4100D" w:rsidRDefault="00986560">
      <w:pPr>
        <w:pStyle w:val="BTEMEASMCA"/>
      </w:pPr>
    </w:p>
    <w:p w14:paraId="7E13DC34" w14:textId="77777777" w:rsidR="00986560" w:rsidRPr="00B4100D" w:rsidRDefault="00986560">
      <w:pPr>
        <w:pStyle w:val="BTEMEASMCA"/>
      </w:pPr>
    </w:p>
    <w:p w14:paraId="5AF3A928" w14:textId="77777777" w:rsidR="00986560" w:rsidRPr="00B4100D" w:rsidRDefault="00986560">
      <w:pPr>
        <w:pStyle w:val="BTEMEASMCA"/>
      </w:pPr>
    </w:p>
    <w:p w14:paraId="50AD3D85" w14:textId="77777777" w:rsidR="00986560" w:rsidRPr="00B4100D" w:rsidRDefault="00986560">
      <w:pPr>
        <w:pStyle w:val="BTEMEASMCA"/>
      </w:pPr>
    </w:p>
    <w:p w14:paraId="211DF6ED" w14:textId="77777777" w:rsidR="00986560" w:rsidRPr="00B4100D" w:rsidRDefault="00986560">
      <w:pPr>
        <w:pStyle w:val="BTEMEASMCA"/>
      </w:pPr>
    </w:p>
    <w:p w14:paraId="1596B33F" w14:textId="77777777" w:rsidR="00986560" w:rsidRPr="00B4100D" w:rsidRDefault="00986560">
      <w:pPr>
        <w:pStyle w:val="BTEMEASMCA"/>
      </w:pPr>
    </w:p>
    <w:p w14:paraId="516746DC" w14:textId="77777777" w:rsidR="00986560" w:rsidRPr="00B4100D" w:rsidRDefault="00986560">
      <w:pPr>
        <w:pStyle w:val="BTEMEASMCA"/>
      </w:pPr>
    </w:p>
    <w:p w14:paraId="02165100" w14:textId="77777777" w:rsidR="00986560" w:rsidRPr="00B4100D" w:rsidRDefault="00986560">
      <w:pPr>
        <w:pStyle w:val="BTEMEASMCA"/>
      </w:pPr>
    </w:p>
    <w:p w14:paraId="2D2E0FC5" w14:textId="77777777" w:rsidR="00986560" w:rsidRPr="00B4100D" w:rsidRDefault="00986560">
      <w:pPr>
        <w:pStyle w:val="BTEMEASMCA"/>
      </w:pPr>
    </w:p>
    <w:p w14:paraId="5B1FB6D5" w14:textId="77777777" w:rsidR="00986560" w:rsidRPr="00B4100D" w:rsidRDefault="00986560">
      <w:pPr>
        <w:pStyle w:val="BTEMEASMCA"/>
      </w:pPr>
    </w:p>
    <w:p w14:paraId="6AB5F80C" w14:textId="77777777" w:rsidR="00986560" w:rsidRPr="00B4100D" w:rsidRDefault="00986560" w:rsidP="00986560">
      <w:pPr>
        <w:pStyle w:val="TTEMEASMCA"/>
        <w:rPr>
          <w:lang w:val="lt-LT" w:eastAsia="x-none"/>
        </w:rPr>
      </w:pPr>
    </w:p>
    <w:p w14:paraId="61F9C910" w14:textId="77777777" w:rsidR="00986560" w:rsidRPr="00B4100D" w:rsidRDefault="00986560" w:rsidP="00986560">
      <w:pPr>
        <w:pStyle w:val="TTEMEASMCA"/>
        <w:rPr>
          <w:lang w:val="lt-LT" w:eastAsia="x-none"/>
        </w:rPr>
      </w:pPr>
    </w:p>
    <w:p w14:paraId="46A34972" w14:textId="77777777" w:rsidR="00217BBB" w:rsidRPr="00B4100D" w:rsidRDefault="00217BBB" w:rsidP="00986560">
      <w:pPr>
        <w:pStyle w:val="TTEMEASMCA"/>
        <w:rPr>
          <w:lang w:val="lt-LT" w:eastAsia="x-none"/>
        </w:rPr>
      </w:pPr>
    </w:p>
    <w:p w14:paraId="01458411" w14:textId="77777777" w:rsidR="00986560" w:rsidRPr="00B4100D" w:rsidRDefault="00986560" w:rsidP="00986560">
      <w:pPr>
        <w:pStyle w:val="TTEMEASMCA"/>
        <w:rPr>
          <w:lang w:val="lt-LT" w:eastAsia="x-none"/>
        </w:rPr>
      </w:pPr>
      <w:r w:rsidRPr="00B4100D">
        <w:rPr>
          <w:lang w:val="lt-LT" w:eastAsia="x-none"/>
        </w:rPr>
        <w:t>III PRIEDAS</w:t>
      </w:r>
    </w:p>
    <w:p w14:paraId="62E837FF" w14:textId="77777777" w:rsidR="00986560" w:rsidRPr="00B4100D" w:rsidRDefault="00986560" w:rsidP="006E671E">
      <w:pPr>
        <w:pStyle w:val="BTEMEASMCA"/>
      </w:pPr>
    </w:p>
    <w:p w14:paraId="01B917D8" w14:textId="77777777" w:rsidR="00986560" w:rsidRPr="00B4100D" w:rsidRDefault="00986560" w:rsidP="00986560">
      <w:pPr>
        <w:pStyle w:val="TTEMEASMCA"/>
        <w:rPr>
          <w:lang w:val="lt-LT" w:eastAsia="x-none"/>
        </w:rPr>
      </w:pPr>
      <w:r w:rsidRPr="00B4100D">
        <w:rPr>
          <w:lang w:val="lt-LT" w:eastAsia="x-none"/>
        </w:rPr>
        <w:t>ŽENKLINIMAS IR PAKUOTĖS LAPELIS</w:t>
      </w:r>
    </w:p>
    <w:p w14:paraId="34D46F1E" w14:textId="77777777" w:rsidR="00986560" w:rsidRPr="00B4100D" w:rsidRDefault="00986560" w:rsidP="006E671E">
      <w:pPr>
        <w:pStyle w:val="BTEMEASMCA"/>
      </w:pPr>
      <w:r w:rsidRPr="00B4100D">
        <w:br w:type="page"/>
      </w:r>
    </w:p>
    <w:p w14:paraId="54B7ADD6" w14:textId="77777777" w:rsidR="00986560" w:rsidRPr="00B4100D" w:rsidRDefault="00986560" w:rsidP="006E671E">
      <w:pPr>
        <w:pStyle w:val="BTEMEASMCA"/>
      </w:pPr>
    </w:p>
    <w:p w14:paraId="2594D6B7" w14:textId="77777777" w:rsidR="00986560" w:rsidRPr="00B4100D" w:rsidRDefault="00986560" w:rsidP="006E671E">
      <w:pPr>
        <w:pStyle w:val="BTEMEASMCA"/>
      </w:pPr>
    </w:p>
    <w:p w14:paraId="59FDFA81" w14:textId="77777777" w:rsidR="00986560" w:rsidRPr="00B4100D" w:rsidRDefault="00986560" w:rsidP="00C475DF">
      <w:pPr>
        <w:pStyle w:val="BTEMEASMCA"/>
      </w:pPr>
    </w:p>
    <w:p w14:paraId="7F800066" w14:textId="77777777" w:rsidR="00986560" w:rsidRPr="00B4100D" w:rsidRDefault="00986560" w:rsidP="00CA2561">
      <w:pPr>
        <w:pStyle w:val="BTEMEASMCA"/>
      </w:pPr>
    </w:p>
    <w:p w14:paraId="6C9C4B94" w14:textId="77777777" w:rsidR="00986560" w:rsidRPr="00B4100D" w:rsidRDefault="00986560" w:rsidP="00CA2561">
      <w:pPr>
        <w:pStyle w:val="BTEMEASMCA"/>
      </w:pPr>
    </w:p>
    <w:p w14:paraId="430C56CA" w14:textId="77777777" w:rsidR="00986560" w:rsidRPr="00B4100D" w:rsidRDefault="00986560">
      <w:pPr>
        <w:pStyle w:val="BTEMEASMCA"/>
      </w:pPr>
    </w:p>
    <w:p w14:paraId="4B6A5E1F" w14:textId="77777777" w:rsidR="00986560" w:rsidRPr="00B4100D" w:rsidRDefault="00986560">
      <w:pPr>
        <w:pStyle w:val="BTEMEASMCA"/>
      </w:pPr>
    </w:p>
    <w:p w14:paraId="4AA9A3D4" w14:textId="77777777" w:rsidR="00986560" w:rsidRPr="00B4100D" w:rsidRDefault="00986560">
      <w:pPr>
        <w:pStyle w:val="BTEMEASMCA"/>
      </w:pPr>
    </w:p>
    <w:p w14:paraId="68FECA50" w14:textId="77777777" w:rsidR="00986560" w:rsidRPr="00B4100D" w:rsidRDefault="00986560">
      <w:pPr>
        <w:pStyle w:val="BTEMEASMCA"/>
      </w:pPr>
    </w:p>
    <w:p w14:paraId="11A45826" w14:textId="77777777" w:rsidR="00986560" w:rsidRPr="00B4100D" w:rsidRDefault="00986560">
      <w:pPr>
        <w:pStyle w:val="BTEMEASMCA"/>
      </w:pPr>
    </w:p>
    <w:p w14:paraId="68D671A9" w14:textId="77777777" w:rsidR="00986560" w:rsidRPr="00B4100D" w:rsidRDefault="00986560">
      <w:pPr>
        <w:pStyle w:val="BTEMEASMCA"/>
      </w:pPr>
    </w:p>
    <w:p w14:paraId="05D341A8" w14:textId="77777777" w:rsidR="00986560" w:rsidRPr="00B4100D" w:rsidRDefault="00986560">
      <w:pPr>
        <w:pStyle w:val="BTEMEASMCA"/>
      </w:pPr>
    </w:p>
    <w:p w14:paraId="148A74AB" w14:textId="77777777" w:rsidR="00986560" w:rsidRPr="00B4100D" w:rsidRDefault="00986560">
      <w:pPr>
        <w:pStyle w:val="BTEMEASMCA"/>
      </w:pPr>
    </w:p>
    <w:p w14:paraId="1EAA8529" w14:textId="77777777" w:rsidR="00986560" w:rsidRPr="00B4100D" w:rsidRDefault="00986560">
      <w:pPr>
        <w:pStyle w:val="BTEMEASMCA"/>
      </w:pPr>
    </w:p>
    <w:p w14:paraId="0EC342D9" w14:textId="77777777" w:rsidR="00986560" w:rsidRPr="00B4100D" w:rsidRDefault="00986560">
      <w:pPr>
        <w:pStyle w:val="BTEMEASMCA"/>
      </w:pPr>
    </w:p>
    <w:p w14:paraId="73E84736" w14:textId="77777777" w:rsidR="00986560" w:rsidRPr="00B4100D" w:rsidRDefault="00986560">
      <w:pPr>
        <w:pStyle w:val="BTEMEASMCA"/>
      </w:pPr>
    </w:p>
    <w:p w14:paraId="3100CE4A" w14:textId="77777777" w:rsidR="00986560" w:rsidRPr="00B4100D" w:rsidRDefault="00986560">
      <w:pPr>
        <w:pStyle w:val="BTEMEASMCA"/>
      </w:pPr>
    </w:p>
    <w:p w14:paraId="06F6C77A" w14:textId="77777777" w:rsidR="00986560" w:rsidRPr="00B4100D" w:rsidRDefault="00986560">
      <w:pPr>
        <w:pStyle w:val="BTEMEASMCA"/>
      </w:pPr>
    </w:p>
    <w:p w14:paraId="444F3796" w14:textId="77777777" w:rsidR="00986560" w:rsidRPr="00B4100D" w:rsidRDefault="00986560">
      <w:pPr>
        <w:pStyle w:val="BTEMEASMCA"/>
      </w:pPr>
    </w:p>
    <w:p w14:paraId="2E144C09" w14:textId="77777777" w:rsidR="00986560" w:rsidRPr="00B4100D" w:rsidRDefault="00986560">
      <w:pPr>
        <w:pStyle w:val="BTEMEASMCA"/>
      </w:pPr>
    </w:p>
    <w:p w14:paraId="5BB5C73D" w14:textId="77777777" w:rsidR="00986560" w:rsidRPr="00B4100D" w:rsidRDefault="00986560">
      <w:pPr>
        <w:pStyle w:val="BTEMEASMCA"/>
      </w:pPr>
    </w:p>
    <w:p w14:paraId="67A9646C" w14:textId="77777777" w:rsidR="00986560" w:rsidRPr="00B4100D" w:rsidRDefault="00986560">
      <w:pPr>
        <w:pStyle w:val="BTEMEASMCA"/>
      </w:pPr>
    </w:p>
    <w:p w14:paraId="687E6756" w14:textId="77777777" w:rsidR="00217BBB" w:rsidRPr="00B4100D" w:rsidRDefault="00217BBB" w:rsidP="00986560">
      <w:pPr>
        <w:pStyle w:val="TTEMEASMCA"/>
        <w:rPr>
          <w:lang w:val="lt-LT" w:eastAsia="x-none"/>
        </w:rPr>
      </w:pPr>
      <w:bookmarkStart w:id="68" w:name="_Toc129243136"/>
      <w:bookmarkStart w:id="69" w:name="_Toc129243261"/>
    </w:p>
    <w:p w14:paraId="544F41DB" w14:textId="77777777" w:rsidR="00986560" w:rsidRPr="00B4100D" w:rsidRDefault="00986560" w:rsidP="00986560">
      <w:pPr>
        <w:pStyle w:val="TTEMEASMCA"/>
        <w:rPr>
          <w:lang w:val="lt-LT" w:eastAsia="x-none"/>
        </w:rPr>
      </w:pPr>
      <w:r w:rsidRPr="00B4100D">
        <w:rPr>
          <w:lang w:val="lt-LT" w:eastAsia="x-none"/>
        </w:rPr>
        <w:t>A. ŽENKLINIMAS</w:t>
      </w:r>
      <w:bookmarkEnd w:id="68"/>
      <w:bookmarkEnd w:id="69"/>
    </w:p>
    <w:p w14:paraId="7F9E52CF" w14:textId="77777777" w:rsidR="000D34E0" w:rsidRPr="00B4100D" w:rsidRDefault="00986560" w:rsidP="000D34E0">
      <w:pPr>
        <w:pBdr>
          <w:top w:val="single" w:sz="4" w:space="1" w:color="auto"/>
          <w:left w:val="single" w:sz="4" w:space="4" w:color="auto"/>
          <w:bottom w:val="single" w:sz="4" w:space="1" w:color="auto"/>
          <w:right w:val="single" w:sz="4" w:space="4" w:color="auto"/>
        </w:pBdr>
        <w:rPr>
          <w:b/>
          <w:sz w:val="22"/>
          <w:szCs w:val="22"/>
        </w:rPr>
      </w:pPr>
      <w:r w:rsidRPr="00B4100D">
        <w:br w:type="page"/>
      </w:r>
      <w:r w:rsidR="000D34E0" w:rsidRPr="00B4100D">
        <w:rPr>
          <w:b/>
          <w:sz w:val="22"/>
          <w:szCs w:val="22"/>
        </w:rPr>
        <w:lastRenderedPageBreak/>
        <w:t>INFORMACIJA ANT IŠORINĖS PAKUOTĖS</w:t>
      </w:r>
    </w:p>
    <w:p w14:paraId="77DBD0BF"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rPr>
          <w:b/>
          <w:sz w:val="22"/>
          <w:szCs w:val="22"/>
        </w:rPr>
      </w:pPr>
    </w:p>
    <w:p w14:paraId="46E431D6" w14:textId="77777777" w:rsidR="000D34E0" w:rsidRPr="00B4100D" w:rsidRDefault="000D34E0" w:rsidP="000D34E0">
      <w:pPr>
        <w:pBdr>
          <w:top w:val="single" w:sz="4" w:space="1" w:color="auto"/>
          <w:left w:val="single" w:sz="4" w:space="4" w:color="auto"/>
          <w:bottom w:val="single" w:sz="4" w:space="1" w:color="auto"/>
          <w:right w:val="single" w:sz="4" w:space="4" w:color="auto"/>
        </w:pBdr>
        <w:rPr>
          <w:b/>
          <w:sz w:val="22"/>
          <w:szCs w:val="22"/>
        </w:rPr>
      </w:pPr>
      <w:r w:rsidRPr="00B4100D">
        <w:rPr>
          <w:b/>
          <w:sz w:val="22"/>
          <w:szCs w:val="22"/>
        </w:rPr>
        <w:t>DĖŽUTĖ</w:t>
      </w:r>
    </w:p>
    <w:p w14:paraId="3B58C1B9" w14:textId="77777777" w:rsidR="000D34E0" w:rsidRPr="00B4100D" w:rsidRDefault="000D34E0" w:rsidP="000D34E0">
      <w:pPr>
        <w:rPr>
          <w:sz w:val="22"/>
          <w:szCs w:val="22"/>
        </w:rPr>
      </w:pPr>
    </w:p>
    <w:p w14:paraId="570CAE06" w14:textId="77777777" w:rsidR="000D34E0" w:rsidRPr="00B4100D" w:rsidRDefault="000D34E0" w:rsidP="000D34E0">
      <w:pPr>
        <w:rPr>
          <w:sz w:val="22"/>
          <w:szCs w:val="22"/>
        </w:rPr>
      </w:pPr>
    </w:p>
    <w:p w14:paraId="1C7CF187"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1.</w:t>
      </w:r>
      <w:r w:rsidRPr="00B4100D">
        <w:rPr>
          <w:b/>
          <w:sz w:val="22"/>
          <w:szCs w:val="22"/>
        </w:rPr>
        <w:tab/>
      </w:r>
      <w:r w:rsidRPr="00B4100D">
        <w:rPr>
          <w:b/>
          <w:caps/>
          <w:sz w:val="22"/>
          <w:szCs w:val="22"/>
        </w:rPr>
        <w:t>VAISTINIO</w:t>
      </w:r>
      <w:r w:rsidRPr="00B4100D">
        <w:rPr>
          <w:b/>
          <w:sz w:val="22"/>
          <w:szCs w:val="22"/>
        </w:rPr>
        <w:t xml:space="preserve"> PREPARATO PAVADINIMAS</w:t>
      </w:r>
    </w:p>
    <w:p w14:paraId="004A7741" w14:textId="77777777" w:rsidR="000D34E0" w:rsidRPr="00B4100D" w:rsidRDefault="000D34E0" w:rsidP="000D34E0">
      <w:pPr>
        <w:rPr>
          <w:sz w:val="22"/>
          <w:szCs w:val="22"/>
        </w:rPr>
      </w:pPr>
    </w:p>
    <w:p w14:paraId="43CD965C" w14:textId="77777777" w:rsidR="000D34E0" w:rsidRPr="00B4100D" w:rsidRDefault="000D34E0" w:rsidP="000D34E0">
      <w:pPr>
        <w:rPr>
          <w:sz w:val="22"/>
          <w:szCs w:val="22"/>
        </w:rPr>
      </w:pPr>
      <w:r w:rsidRPr="00B4100D">
        <w:rPr>
          <w:sz w:val="22"/>
          <w:szCs w:val="22"/>
        </w:rPr>
        <w:t>Hydroxychloroquine sulfate Accord 200 mg plėvele dengtos tabletės</w:t>
      </w:r>
    </w:p>
    <w:p w14:paraId="410E2589" w14:textId="784C7AB0" w:rsidR="000D34E0" w:rsidRPr="00B4100D" w:rsidRDefault="00F57393" w:rsidP="000D34E0">
      <w:pPr>
        <w:rPr>
          <w:iCs/>
          <w:sz w:val="22"/>
          <w:szCs w:val="22"/>
        </w:rPr>
      </w:pPr>
      <w:r w:rsidRPr="00B4100D">
        <w:rPr>
          <w:iCs/>
          <w:sz w:val="22"/>
          <w:szCs w:val="22"/>
        </w:rPr>
        <w:t>h</w:t>
      </w:r>
      <w:r w:rsidR="000D34E0" w:rsidRPr="00B4100D">
        <w:rPr>
          <w:iCs/>
          <w:sz w:val="22"/>
          <w:szCs w:val="22"/>
        </w:rPr>
        <w:t>ydroxychloroquini sulfas</w:t>
      </w:r>
    </w:p>
    <w:p w14:paraId="56C2C006" w14:textId="77777777" w:rsidR="000D34E0" w:rsidRPr="00B4100D" w:rsidRDefault="000D34E0" w:rsidP="000D34E0">
      <w:pPr>
        <w:rPr>
          <w:sz w:val="22"/>
          <w:szCs w:val="22"/>
        </w:rPr>
      </w:pPr>
    </w:p>
    <w:p w14:paraId="084D9C6C" w14:textId="77777777" w:rsidR="000D34E0" w:rsidRPr="00B4100D" w:rsidRDefault="000D34E0" w:rsidP="000D34E0">
      <w:pPr>
        <w:rPr>
          <w:sz w:val="22"/>
          <w:szCs w:val="22"/>
        </w:rPr>
      </w:pPr>
    </w:p>
    <w:p w14:paraId="2476807A"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B4100D">
        <w:rPr>
          <w:b/>
          <w:sz w:val="22"/>
          <w:szCs w:val="22"/>
        </w:rPr>
        <w:t>2.</w:t>
      </w:r>
      <w:r w:rsidRPr="00B4100D">
        <w:rPr>
          <w:b/>
          <w:sz w:val="22"/>
          <w:szCs w:val="22"/>
        </w:rPr>
        <w:tab/>
        <w:t>VEIKLIOJI (-IOS) MEDŽIAGA (-OS) IR JOS (-Ų) KIEKIS (-IAI)</w:t>
      </w:r>
    </w:p>
    <w:p w14:paraId="712B865C" w14:textId="77777777" w:rsidR="000D34E0" w:rsidRPr="00B4100D" w:rsidRDefault="000D34E0" w:rsidP="000D34E0">
      <w:pPr>
        <w:rPr>
          <w:sz w:val="22"/>
          <w:szCs w:val="22"/>
        </w:rPr>
      </w:pPr>
    </w:p>
    <w:p w14:paraId="2DCE608C" w14:textId="77777777" w:rsidR="000D34E0" w:rsidRPr="00B4100D" w:rsidRDefault="000D34E0" w:rsidP="000D34E0">
      <w:pPr>
        <w:rPr>
          <w:sz w:val="22"/>
          <w:szCs w:val="22"/>
        </w:rPr>
      </w:pPr>
      <w:r w:rsidRPr="00B4100D">
        <w:rPr>
          <w:sz w:val="22"/>
          <w:szCs w:val="22"/>
        </w:rPr>
        <w:t>Kiekvienoje plėvele dengtoje tabletėje yra 200 mg hidroksichlorokvino sulfato.</w:t>
      </w:r>
    </w:p>
    <w:p w14:paraId="615AAEB4" w14:textId="77777777" w:rsidR="000D34E0" w:rsidRPr="00B4100D" w:rsidRDefault="000D34E0" w:rsidP="000D34E0">
      <w:pPr>
        <w:rPr>
          <w:sz w:val="22"/>
          <w:szCs w:val="22"/>
        </w:rPr>
      </w:pPr>
    </w:p>
    <w:p w14:paraId="6EED130B" w14:textId="77777777" w:rsidR="000D34E0" w:rsidRPr="00B4100D" w:rsidRDefault="000D34E0" w:rsidP="000D34E0">
      <w:pPr>
        <w:rPr>
          <w:sz w:val="22"/>
          <w:szCs w:val="22"/>
        </w:rPr>
      </w:pPr>
    </w:p>
    <w:p w14:paraId="18007D2B"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3.</w:t>
      </w:r>
      <w:r w:rsidRPr="00B4100D">
        <w:rPr>
          <w:b/>
          <w:sz w:val="22"/>
          <w:szCs w:val="22"/>
        </w:rPr>
        <w:tab/>
        <w:t>PAGALBINIŲ MEDŽIAGŲ SĄRAŠAS</w:t>
      </w:r>
    </w:p>
    <w:p w14:paraId="65CE8AF3" w14:textId="77777777" w:rsidR="000D34E0" w:rsidRPr="00B4100D" w:rsidRDefault="000D34E0" w:rsidP="000D34E0">
      <w:pPr>
        <w:rPr>
          <w:sz w:val="22"/>
          <w:szCs w:val="22"/>
        </w:rPr>
      </w:pPr>
    </w:p>
    <w:p w14:paraId="3FB56C30" w14:textId="77777777" w:rsidR="000D34E0" w:rsidRPr="00B4100D" w:rsidRDefault="000D34E0" w:rsidP="000D34E0">
      <w:pPr>
        <w:rPr>
          <w:sz w:val="22"/>
          <w:szCs w:val="22"/>
        </w:rPr>
      </w:pPr>
      <w:r w:rsidRPr="00B4100D">
        <w:rPr>
          <w:sz w:val="22"/>
          <w:szCs w:val="22"/>
        </w:rPr>
        <w:t>Sudėtyje taip pat yra laktozės.</w:t>
      </w:r>
      <w:r w:rsidR="008E0938" w:rsidRPr="00B4100D">
        <w:rPr>
          <w:sz w:val="22"/>
          <w:szCs w:val="22"/>
        </w:rPr>
        <w:t xml:space="preserve"> Daugiau informacijos pateikta pakuotės lapelyje.</w:t>
      </w:r>
    </w:p>
    <w:p w14:paraId="2E043419" w14:textId="77777777" w:rsidR="000D34E0" w:rsidRPr="00B4100D" w:rsidRDefault="000D34E0" w:rsidP="000D34E0">
      <w:pPr>
        <w:rPr>
          <w:sz w:val="22"/>
          <w:szCs w:val="22"/>
        </w:rPr>
      </w:pPr>
    </w:p>
    <w:p w14:paraId="724F6192" w14:textId="77777777" w:rsidR="000D34E0" w:rsidRPr="00B4100D" w:rsidRDefault="000D34E0" w:rsidP="000D34E0">
      <w:pPr>
        <w:rPr>
          <w:sz w:val="22"/>
          <w:szCs w:val="22"/>
        </w:rPr>
      </w:pPr>
    </w:p>
    <w:p w14:paraId="6A5F0A9C"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4.</w:t>
      </w:r>
      <w:r w:rsidRPr="00B4100D">
        <w:rPr>
          <w:b/>
          <w:sz w:val="22"/>
          <w:szCs w:val="22"/>
        </w:rPr>
        <w:tab/>
        <w:t>FARMACINĖ FORMA IR KIEKIS PAKUOTĖJE</w:t>
      </w:r>
    </w:p>
    <w:p w14:paraId="5B26E427" w14:textId="77777777" w:rsidR="000D34E0" w:rsidRPr="00B4100D" w:rsidRDefault="000D34E0" w:rsidP="000D34E0">
      <w:pPr>
        <w:rPr>
          <w:sz w:val="22"/>
          <w:szCs w:val="22"/>
        </w:rPr>
      </w:pPr>
    </w:p>
    <w:p w14:paraId="7E0B9211" w14:textId="77777777" w:rsidR="000D34E0" w:rsidRPr="00B4100D" w:rsidRDefault="000D34E0" w:rsidP="000D34E0">
      <w:pPr>
        <w:rPr>
          <w:sz w:val="22"/>
          <w:szCs w:val="22"/>
        </w:rPr>
      </w:pPr>
      <w:r w:rsidRPr="00B4100D">
        <w:rPr>
          <w:sz w:val="22"/>
          <w:szCs w:val="22"/>
        </w:rPr>
        <w:t>20 plėvele dengtų tablečių</w:t>
      </w:r>
    </w:p>
    <w:p w14:paraId="1CEF9794" w14:textId="77777777" w:rsidR="000D34E0" w:rsidRPr="00B4100D" w:rsidRDefault="000D34E0" w:rsidP="000D34E0">
      <w:pPr>
        <w:rPr>
          <w:sz w:val="22"/>
          <w:szCs w:val="22"/>
          <w:highlight w:val="lightGray"/>
        </w:rPr>
      </w:pPr>
      <w:r w:rsidRPr="00B4100D">
        <w:rPr>
          <w:sz w:val="22"/>
          <w:szCs w:val="22"/>
          <w:highlight w:val="lightGray"/>
        </w:rPr>
        <w:t>30 plėvele dengtų tablečių</w:t>
      </w:r>
    </w:p>
    <w:p w14:paraId="2E96D6EB" w14:textId="77777777" w:rsidR="000D34E0" w:rsidRPr="00B4100D" w:rsidRDefault="000D34E0" w:rsidP="000D34E0">
      <w:pPr>
        <w:rPr>
          <w:sz w:val="22"/>
          <w:szCs w:val="22"/>
          <w:highlight w:val="lightGray"/>
        </w:rPr>
      </w:pPr>
      <w:r w:rsidRPr="00B4100D">
        <w:rPr>
          <w:sz w:val="22"/>
          <w:szCs w:val="22"/>
          <w:highlight w:val="lightGray"/>
        </w:rPr>
        <w:t>50 plėvele dengtų tablečių</w:t>
      </w:r>
    </w:p>
    <w:p w14:paraId="6BBFBA27" w14:textId="77777777" w:rsidR="000D34E0" w:rsidRPr="00B4100D" w:rsidRDefault="000D34E0" w:rsidP="000D34E0">
      <w:pPr>
        <w:rPr>
          <w:sz w:val="22"/>
          <w:szCs w:val="22"/>
          <w:highlight w:val="lightGray"/>
        </w:rPr>
      </w:pPr>
      <w:r w:rsidRPr="00B4100D">
        <w:rPr>
          <w:sz w:val="22"/>
          <w:szCs w:val="22"/>
          <w:highlight w:val="lightGray"/>
        </w:rPr>
        <w:t>60 plėvele dengtų tablečių</w:t>
      </w:r>
    </w:p>
    <w:p w14:paraId="355560A1" w14:textId="77777777" w:rsidR="000D34E0" w:rsidRPr="00B4100D" w:rsidRDefault="000D34E0" w:rsidP="000D34E0">
      <w:pPr>
        <w:rPr>
          <w:sz w:val="22"/>
          <w:szCs w:val="22"/>
          <w:highlight w:val="lightGray"/>
        </w:rPr>
      </w:pPr>
      <w:r w:rsidRPr="00B4100D">
        <w:rPr>
          <w:sz w:val="22"/>
          <w:szCs w:val="22"/>
          <w:highlight w:val="lightGray"/>
        </w:rPr>
        <w:t>90 plėvele dengtų tablečių</w:t>
      </w:r>
    </w:p>
    <w:p w14:paraId="2768E113" w14:textId="77777777" w:rsidR="000D34E0" w:rsidRPr="00B4100D" w:rsidRDefault="000D34E0" w:rsidP="000D34E0">
      <w:pPr>
        <w:rPr>
          <w:sz w:val="22"/>
          <w:szCs w:val="22"/>
        </w:rPr>
      </w:pPr>
      <w:r w:rsidRPr="00B4100D">
        <w:rPr>
          <w:sz w:val="22"/>
          <w:szCs w:val="22"/>
          <w:highlight w:val="lightGray"/>
        </w:rPr>
        <w:t>100 plėvele dengtų tablečių</w:t>
      </w:r>
    </w:p>
    <w:p w14:paraId="7D8F4E8B" w14:textId="77777777" w:rsidR="000D34E0" w:rsidRPr="00B4100D" w:rsidRDefault="000D34E0" w:rsidP="000D34E0">
      <w:pPr>
        <w:rPr>
          <w:sz w:val="22"/>
          <w:szCs w:val="22"/>
        </w:rPr>
      </w:pPr>
    </w:p>
    <w:p w14:paraId="7DC536FC" w14:textId="77777777" w:rsidR="000D34E0" w:rsidRPr="00B4100D" w:rsidRDefault="000D34E0" w:rsidP="000D34E0">
      <w:pPr>
        <w:rPr>
          <w:sz w:val="22"/>
          <w:szCs w:val="22"/>
        </w:rPr>
      </w:pPr>
    </w:p>
    <w:p w14:paraId="11DB5191"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5.</w:t>
      </w:r>
      <w:r w:rsidRPr="00B4100D">
        <w:rPr>
          <w:b/>
          <w:sz w:val="22"/>
          <w:szCs w:val="22"/>
        </w:rPr>
        <w:tab/>
        <w:t>VARTOJIMO METODAS IR BŪDAS (-AI)</w:t>
      </w:r>
    </w:p>
    <w:p w14:paraId="25D4F06F" w14:textId="77777777" w:rsidR="000D34E0" w:rsidRPr="00B4100D" w:rsidRDefault="000D34E0" w:rsidP="000D34E0">
      <w:pPr>
        <w:rPr>
          <w:sz w:val="22"/>
          <w:szCs w:val="22"/>
        </w:rPr>
      </w:pPr>
    </w:p>
    <w:p w14:paraId="7518941C" w14:textId="77777777" w:rsidR="008E0938" w:rsidRPr="00B4100D" w:rsidRDefault="008E0938" w:rsidP="000D34E0">
      <w:pPr>
        <w:rPr>
          <w:sz w:val="22"/>
          <w:szCs w:val="22"/>
        </w:rPr>
      </w:pPr>
      <w:r w:rsidRPr="00B4100D">
        <w:rPr>
          <w:sz w:val="22"/>
          <w:szCs w:val="22"/>
        </w:rPr>
        <w:t>Vartoti per burną.</w:t>
      </w:r>
    </w:p>
    <w:p w14:paraId="4AF6E271" w14:textId="77777777" w:rsidR="000D34E0" w:rsidRPr="00B4100D" w:rsidRDefault="000D34E0" w:rsidP="000D34E0">
      <w:pPr>
        <w:rPr>
          <w:sz w:val="22"/>
          <w:szCs w:val="22"/>
        </w:rPr>
      </w:pPr>
      <w:r w:rsidRPr="00B4100D">
        <w:rPr>
          <w:sz w:val="22"/>
          <w:szCs w:val="22"/>
        </w:rPr>
        <w:t>Prieš vartojimą perskaitykite pakuotės lapelį.</w:t>
      </w:r>
    </w:p>
    <w:p w14:paraId="7C59F505" w14:textId="77777777" w:rsidR="000D34E0" w:rsidRPr="00B4100D" w:rsidRDefault="000D34E0" w:rsidP="000D34E0">
      <w:pPr>
        <w:rPr>
          <w:sz w:val="22"/>
          <w:szCs w:val="22"/>
        </w:rPr>
      </w:pPr>
    </w:p>
    <w:p w14:paraId="2219B735" w14:textId="77777777" w:rsidR="000D34E0" w:rsidRPr="00B4100D" w:rsidRDefault="000D34E0" w:rsidP="000D34E0">
      <w:pPr>
        <w:rPr>
          <w:sz w:val="22"/>
          <w:szCs w:val="22"/>
        </w:rPr>
      </w:pPr>
    </w:p>
    <w:p w14:paraId="4F961F6E"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6.</w:t>
      </w:r>
      <w:r w:rsidRPr="00B4100D">
        <w:rPr>
          <w:b/>
          <w:sz w:val="22"/>
          <w:szCs w:val="22"/>
        </w:rPr>
        <w:tab/>
        <w:t>SPECIALUS ĮSPĖJIMAS, KAD VAISTINĮ PREPARATĄ BŪTINA LAIKYTI VAIKAMS NEPASTEBIMOJE IR  NEPASIEKIAMOJE VIETOJE</w:t>
      </w:r>
    </w:p>
    <w:p w14:paraId="4D409B1F" w14:textId="77777777" w:rsidR="000D34E0" w:rsidRPr="00B4100D" w:rsidRDefault="000D34E0" w:rsidP="000D34E0">
      <w:pPr>
        <w:rPr>
          <w:sz w:val="22"/>
          <w:szCs w:val="22"/>
        </w:rPr>
      </w:pPr>
    </w:p>
    <w:p w14:paraId="428BDE23" w14:textId="77777777" w:rsidR="000D34E0" w:rsidRPr="00B4100D" w:rsidRDefault="000D34E0" w:rsidP="000D34E0">
      <w:pPr>
        <w:rPr>
          <w:sz w:val="22"/>
          <w:szCs w:val="22"/>
        </w:rPr>
      </w:pPr>
      <w:r w:rsidRPr="00B4100D">
        <w:rPr>
          <w:sz w:val="22"/>
          <w:szCs w:val="22"/>
        </w:rPr>
        <w:t>Laikyti vaikams nepastebimoje ir nepasiekiamoje vietoje.</w:t>
      </w:r>
    </w:p>
    <w:p w14:paraId="0AD5B172" w14:textId="77777777" w:rsidR="000D34E0" w:rsidRPr="00B4100D" w:rsidRDefault="000D34E0" w:rsidP="000D34E0">
      <w:pPr>
        <w:rPr>
          <w:sz w:val="22"/>
          <w:szCs w:val="22"/>
        </w:rPr>
      </w:pPr>
    </w:p>
    <w:p w14:paraId="430515E4" w14:textId="77777777" w:rsidR="000D34E0" w:rsidRPr="00B4100D" w:rsidRDefault="000D34E0" w:rsidP="000D34E0">
      <w:pPr>
        <w:rPr>
          <w:sz w:val="22"/>
          <w:szCs w:val="22"/>
        </w:rPr>
      </w:pPr>
    </w:p>
    <w:p w14:paraId="35259D80"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7.</w:t>
      </w:r>
      <w:r w:rsidRPr="00B4100D">
        <w:rPr>
          <w:b/>
          <w:sz w:val="22"/>
          <w:szCs w:val="22"/>
        </w:rPr>
        <w:tab/>
        <w:t>KITAS (-I) SPECIALUS (-ŪS) ĮSPĖJIMAS (-AI) (JEI REIKIA)</w:t>
      </w:r>
    </w:p>
    <w:p w14:paraId="7F1810E3" w14:textId="77777777" w:rsidR="000D34E0" w:rsidRPr="00B4100D" w:rsidRDefault="000D34E0" w:rsidP="000D34E0">
      <w:pPr>
        <w:rPr>
          <w:sz w:val="22"/>
          <w:szCs w:val="22"/>
        </w:rPr>
      </w:pPr>
    </w:p>
    <w:p w14:paraId="594CC90D" w14:textId="77777777" w:rsidR="000D34E0" w:rsidRPr="00B4100D" w:rsidRDefault="000D34E0" w:rsidP="000D34E0">
      <w:pPr>
        <w:rPr>
          <w:sz w:val="22"/>
          <w:szCs w:val="22"/>
        </w:rPr>
      </w:pPr>
    </w:p>
    <w:p w14:paraId="71C9E9D6"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8.</w:t>
      </w:r>
      <w:r w:rsidRPr="00B4100D">
        <w:rPr>
          <w:b/>
          <w:sz w:val="22"/>
          <w:szCs w:val="22"/>
        </w:rPr>
        <w:tab/>
        <w:t>TINKAMUMO LAIKAS</w:t>
      </w:r>
    </w:p>
    <w:p w14:paraId="6A1CA915" w14:textId="77777777" w:rsidR="000D34E0" w:rsidRPr="00B4100D" w:rsidRDefault="000D34E0" w:rsidP="000D34E0">
      <w:pPr>
        <w:rPr>
          <w:sz w:val="22"/>
          <w:szCs w:val="22"/>
        </w:rPr>
      </w:pPr>
    </w:p>
    <w:p w14:paraId="688F6BA9" w14:textId="77777777" w:rsidR="000D34E0" w:rsidRPr="00B4100D" w:rsidRDefault="000D34E0" w:rsidP="000D34E0">
      <w:pPr>
        <w:rPr>
          <w:sz w:val="22"/>
          <w:szCs w:val="22"/>
        </w:rPr>
      </w:pPr>
      <w:r w:rsidRPr="00B4100D">
        <w:rPr>
          <w:sz w:val="22"/>
          <w:szCs w:val="22"/>
        </w:rPr>
        <w:t>EXP {mm/MMMM}</w:t>
      </w:r>
    </w:p>
    <w:p w14:paraId="612214D9" w14:textId="77777777" w:rsidR="000D34E0" w:rsidRPr="00B4100D" w:rsidRDefault="000D34E0" w:rsidP="000D34E0">
      <w:pPr>
        <w:rPr>
          <w:sz w:val="22"/>
          <w:szCs w:val="22"/>
        </w:rPr>
      </w:pPr>
    </w:p>
    <w:p w14:paraId="7386BC98" w14:textId="77777777" w:rsidR="000D34E0" w:rsidRPr="00B4100D" w:rsidRDefault="000D34E0" w:rsidP="000D34E0">
      <w:pPr>
        <w:rPr>
          <w:sz w:val="22"/>
          <w:szCs w:val="22"/>
        </w:rPr>
      </w:pPr>
    </w:p>
    <w:p w14:paraId="12FE056A" w14:textId="77777777" w:rsidR="000D34E0" w:rsidRPr="00B4100D" w:rsidRDefault="000D34E0" w:rsidP="000D34E0">
      <w:pPr>
        <w:keepNext/>
        <w:pBdr>
          <w:top w:val="single" w:sz="4" w:space="1" w:color="auto"/>
          <w:left w:val="single" w:sz="4" w:space="4" w:color="auto"/>
          <w:bottom w:val="single" w:sz="4" w:space="1" w:color="auto"/>
          <w:right w:val="single" w:sz="4" w:space="4" w:color="auto"/>
        </w:pBdr>
        <w:ind w:left="567" w:hanging="567"/>
        <w:outlineLvl w:val="0"/>
        <w:rPr>
          <w:sz w:val="22"/>
          <w:szCs w:val="22"/>
        </w:rPr>
      </w:pPr>
      <w:r w:rsidRPr="00B4100D">
        <w:rPr>
          <w:b/>
          <w:sz w:val="22"/>
          <w:szCs w:val="22"/>
        </w:rPr>
        <w:t>9.</w:t>
      </w:r>
      <w:r w:rsidRPr="00B4100D">
        <w:rPr>
          <w:b/>
          <w:sz w:val="22"/>
          <w:szCs w:val="22"/>
        </w:rPr>
        <w:tab/>
        <w:t>SPECIALIOS LAIKYMO SĄLYGOS</w:t>
      </w:r>
    </w:p>
    <w:p w14:paraId="36226017" w14:textId="77777777" w:rsidR="000D34E0" w:rsidRPr="00B4100D" w:rsidRDefault="000D34E0" w:rsidP="000D34E0">
      <w:pPr>
        <w:rPr>
          <w:sz w:val="22"/>
          <w:szCs w:val="22"/>
        </w:rPr>
      </w:pPr>
    </w:p>
    <w:p w14:paraId="5FCD2F1D" w14:textId="77777777" w:rsidR="000D34E0" w:rsidRPr="00B4100D" w:rsidRDefault="000D34E0" w:rsidP="000D34E0">
      <w:pPr>
        <w:rPr>
          <w:sz w:val="22"/>
          <w:szCs w:val="22"/>
        </w:rPr>
      </w:pPr>
    </w:p>
    <w:p w14:paraId="5D9566CA"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lastRenderedPageBreak/>
        <w:t>10.</w:t>
      </w:r>
      <w:r w:rsidRPr="00B4100D">
        <w:rPr>
          <w:b/>
          <w:sz w:val="22"/>
          <w:szCs w:val="22"/>
        </w:rPr>
        <w:tab/>
        <w:t>SPECIALIOS ATSARGUMO PRIEMONĖS DĖL NESUVARTOTO VAISTINIO PREPARATO AR JO ATLIEKŲ TVARKYMO (JEI REIKIA)</w:t>
      </w:r>
    </w:p>
    <w:p w14:paraId="47954BDE" w14:textId="77777777" w:rsidR="000D34E0" w:rsidRPr="00B4100D" w:rsidRDefault="000D34E0" w:rsidP="000D34E0">
      <w:pPr>
        <w:rPr>
          <w:sz w:val="22"/>
          <w:szCs w:val="22"/>
        </w:rPr>
      </w:pPr>
    </w:p>
    <w:p w14:paraId="458C607C" w14:textId="77777777" w:rsidR="000D34E0" w:rsidRPr="00B4100D" w:rsidRDefault="000D34E0" w:rsidP="000D34E0">
      <w:pPr>
        <w:rPr>
          <w:sz w:val="22"/>
          <w:szCs w:val="22"/>
        </w:rPr>
      </w:pPr>
    </w:p>
    <w:p w14:paraId="355E50E9"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t>11.</w:t>
      </w:r>
      <w:r w:rsidRPr="00B4100D">
        <w:rPr>
          <w:b/>
          <w:sz w:val="22"/>
          <w:szCs w:val="22"/>
        </w:rPr>
        <w:tab/>
      </w:r>
      <w:r w:rsidRPr="00B4100D">
        <w:rPr>
          <w:b/>
          <w:caps/>
          <w:sz w:val="22"/>
          <w:szCs w:val="22"/>
        </w:rPr>
        <w:t>REGISTRUOTOJO PAVADINIMAS IR ADRESAS</w:t>
      </w:r>
    </w:p>
    <w:p w14:paraId="7E52C8A4" w14:textId="77777777" w:rsidR="000D34E0" w:rsidRPr="00B4100D" w:rsidRDefault="000D34E0" w:rsidP="000D34E0">
      <w:pPr>
        <w:rPr>
          <w:sz w:val="22"/>
          <w:szCs w:val="22"/>
        </w:rPr>
      </w:pPr>
    </w:p>
    <w:p w14:paraId="48E83F27" w14:textId="77777777" w:rsidR="000D34E0" w:rsidRPr="00B4100D" w:rsidRDefault="000D34E0" w:rsidP="000D34E0">
      <w:pPr>
        <w:rPr>
          <w:sz w:val="22"/>
          <w:szCs w:val="22"/>
        </w:rPr>
      </w:pPr>
      <w:r w:rsidRPr="00B4100D">
        <w:rPr>
          <w:sz w:val="22"/>
          <w:szCs w:val="22"/>
        </w:rPr>
        <w:t xml:space="preserve">Accord Healthcare B.V. </w:t>
      </w:r>
    </w:p>
    <w:p w14:paraId="10CB9383" w14:textId="77777777" w:rsidR="000D34E0" w:rsidRPr="00B4100D" w:rsidRDefault="000D34E0" w:rsidP="000D34E0">
      <w:pPr>
        <w:rPr>
          <w:sz w:val="22"/>
          <w:szCs w:val="22"/>
        </w:rPr>
      </w:pPr>
      <w:r w:rsidRPr="00B4100D">
        <w:rPr>
          <w:sz w:val="22"/>
          <w:szCs w:val="22"/>
        </w:rPr>
        <w:t xml:space="preserve">Winthontlaan 200 </w:t>
      </w:r>
    </w:p>
    <w:p w14:paraId="6CE6C1FC" w14:textId="77777777" w:rsidR="000D34E0" w:rsidRPr="00B4100D" w:rsidRDefault="000D34E0" w:rsidP="000D34E0">
      <w:pPr>
        <w:rPr>
          <w:sz w:val="22"/>
          <w:szCs w:val="22"/>
        </w:rPr>
      </w:pPr>
      <w:r w:rsidRPr="00B4100D">
        <w:rPr>
          <w:sz w:val="22"/>
          <w:szCs w:val="22"/>
        </w:rPr>
        <w:t xml:space="preserve">3526 KV Utrecht </w:t>
      </w:r>
    </w:p>
    <w:p w14:paraId="6BACBFA1" w14:textId="77777777" w:rsidR="000D34E0" w:rsidRPr="00B4100D" w:rsidRDefault="000D34E0" w:rsidP="000D34E0">
      <w:pPr>
        <w:rPr>
          <w:sz w:val="22"/>
          <w:szCs w:val="22"/>
        </w:rPr>
      </w:pPr>
      <w:r w:rsidRPr="00B4100D">
        <w:rPr>
          <w:sz w:val="22"/>
          <w:szCs w:val="22"/>
        </w:rPr>
        <w:t>Nyderlandai</w:t>
      </w:r>
    </w:p>
    <w:p w14:paraId="5D4070A8" w14:textId="77777777" w:rsidR="000D34E0" w:rsidRPr="00B4100D" w:rsidRDefault="000D34E0" w:rsidP="000D34E0">
      <w:pPr>
        <w:rPr>
          <w:sz w:val="22"/>
          <w:szCs w:val="22"/>
        </w:rPr>
      </w:pPr>
    </w:p>
    <w:p w14:paraId="0C2ECFE6" w14:textId="77777777" w:rsidR="000D34E0" w:rsidRPr="00B4100D" w:rsidRDefault="000D34E0" w:rsidP="000D34E0">
      <w:pPr>
        <w:rPr>
          <w:sz w:val="22"/>
          <w:szCs w:val="22"/>
        </w:rPr>
      </w:pPr>
    </w:p>
    <w:p w14:paraId="7AEA6F7C"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4100D">
        <w:rPr>
          <w:b/>
          <w:sz w:val="22"/>
          <w:szCs w:val="22"/>
        </w:rPr>
        <w:t>12.</w:t>
      </w:r>
      <w:r w:rsidRPr="00B4100D">
        <w:rPr>
          <w:b/>
          <w:sz w:val="22"/>
          <w:szCs w:val="22"/>
        </w:rPr>
        <w:tab/>
        <w:t xml:space="preserve">REGISTRACIJOS PAŽYMĖJIMO NUMERIS (-IAI) </w:t>
      </w:r>
    </w:p>
    <w:p w14:paraId="0EC3EC73" w14:textId="77777777" w:rsidR="000D34E0" w:rsidRPr="00B4100D" w:rsidRDefault="000D34E0" w:rsidP="000D34E0">
      <w:pPr>
        <w:rPr>
          <w:sz w:val="22"/>
          <w:szCs w:val="22"/>
        </w:rPr>
      </w:pPr>
    </w:p>
    <w:p w14:paraId="4E9CAA4A" w14:textId="77777777" w:rsidR="002F50C6" w:rsidRPr="00B4100D" w:rsidRDefault="002F50C6" w:rsidP="002F50C6">
      <w:pPr>
        <w:rPr>
          <w:sz w:val="22"/>
          <w:szCs w:val="22"/>
          <w:highlight w:val="lightGray"/>
        </w:rPr>
      </w:pPr>
      <w:r w:rsidRPr="00B4100D">
        <w:rPr>
          <w:sz w:val="22"/>
          <w:szCs w:val="22"/>
        </w:rPr>
        <w:t>LT/1/20/4562/001</w:t>
      </w:r>
      <w:r w:rsidRPr="00B4100D">
        <w:rPr>
          <w:bCs/>
          <w:sz w:val="22"/>
          <w:szCs w:val="22"/>
        </w:rPr>
        <w:t xml:space="preserve"> </w:t>
      </w:r>
      <w:r w:rsidRPr="00B4100D">
        <w:rPr>
          <w:sz w:val="22"/>
          <w:szCs w:val="22"/>
          <w:highlight w:val="lightGray"/>
        </w:rPr>
        <w:t>– N20</w:t>
      </w:r>
    </w:p>
    <w:p w14:paraId="6B3DAA07" w14:textId="77777777" w:rsidR="002F50C6" w:rsidRPr="00B4100D" w:rsidRDefault="002F50C6" w:rsidP="002F50C6">
      <w:pPr>
        <w:rPr>
          <w:sz w:val="22"/>
          <w:szCs w:val="22"/>
          <w:highlight w:val="lightGray"/>
        </w:rPr>
      </w:pPr>
      <w:r w:rsidRPr="00B4100D">
        <w:rPr>
          <w:sz w:val="22"/>
          <w:szCs w:val="22"/>
          <w:highlight w:val="lightGray"/>
        </w:rPr>
        <w:t>LT/1/20/4562/002 – N30</w:t>
      </w:r>
    </w:p>
    <w:p w14:paraId="37B0C3E2" w14:textId="77777777" w:rsidR="002F50C6" w:rsidRPr="00B4100D" w:rsidRDefault="002F50C6" w:rsidP="002F50C6">
      <w:pPr>
        <w:rPr>
          <w:sz w:val="22"/>
          <w:szCs w:val="22"/>
          <w:highlight w:val="lightGray"/>
        </w:rPr>
      </w:pPr>
      <w:r w:rsidRPr="00B4100D">
        <w:rPr>
          <w:sz w:val="22"/>
          <w:szCs w:val="22"/>
          <w:highlight w:val="lightGray"/>
        </w:rPr>
        <w:t>LT/1/20/4562/003 – N50</w:t>
      </w:r>
    </w:p>
    <w:p w14:paraId="135779F7" w14:textId="77777777" w:rsidR="002F50C6" w:rsidRPr="00B4100D" w:rsidRDefault="002F50C6" w:rsidP="002F50C6">
      <w:pPr>
        <w:rPr>
          <w:sz w:val="22"/>
          <w:szCs w:val="22"/>
          <w:highlight w:val="lightGray"/>
        </w:rPr>
      </w:pPr>
      <w:r w:rsidRPr="00B4100D">
        <w:rPr>
          <w:sz w:val="22"/>
          <w:szCs w:val="22"/>
          <w:highlight w:val="lightGray"/>
        </w:rPr>
        <w:t>LT/1/20/4562/004 – N60</w:t>
      </w:r>
    </w:p>
    <w:p w14:paraId="1DEEA970" w14:textId="77777777" w:rsidR="002F50C6" w:rsidRPr="00B4100D" w:rsidRDefault="002F50C6" w:rsidP="002F50C6">
      <w:pPr>
        <w:rPr>
          <w:sz w:val="22"/>
          <w:szCs w:val="22"/>
          <w:highlight w:val="lightGray"/>
        </w:rPr>
      </w:pPr>
      <w:r w:rsidRPr="00B4100D">
        <w:rPr>
          <w:sz w:val="22"/>
          <w:szCs w:val="22"/>
          <w:highlight w:val="lightGray"/>
        </w:rPr>
        <w:t>LT/1/20/4562/005 – N90</w:t>
      </w:r>
    </w:p>
    <w:p w14:paraId="67E6E3B5" w14:textId="77777777" w:rsidR="002F50C6" w:rsidRPr="00B4100D" w:rsidRDefault="002F50C6" w:rsidP="002F50C6">
      <w:pPr>
        <w:rPr>
          <w:sz w:val="22"/>
          <w:szCs w:val="22"/>
          <w:highlight w:val="lightGray"/>
        </w:rPr>
      </w:pPr>
      <w:r w:rsidRPr="00B4100D">
        <w:rPr>
          <w:sz w:val="22"/>
          <w:szCs w:val="22"/>
          <w:highlight w:val="lightGray"/>
        </w:rPr>
        <w:t>LT/1/20/4562/006 – N100</w:t>
      </w:r>
    </w:p>
    <w:p w14:paraId="20D7C647" w14:textId="77777777" w:rsidR="000D34E0" w:rsidRPr="00B4100D" w:rsidRDefault="000D34E0" w:rsidP="000D34E0">
      <w:pPr>
        <w:rPr>
          <w:sz w:val="22"/>
          <w:szCs w:val="22"/>
        </w:rPr>
      </w:pPr>
    </w:p>
    <w:p w14:paraId="6671934F" w14:textId="77777777" w:rsidR="002F50C6" w:rsidRPr="00B4100D" w:rsidRDefault="002F50C6" w:rsidP="000D34E0">
      <w:pPr>
        <w:rPr>
          <w:sz w:val="22"/>
          <w:szCs w:val="22"/>
        </w:rPr>
      </w:pPr>
    </w:p>
    <w:p w14:paraId="10DE5C5A"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4100D">
        <w:rPr>
          <w:b/>
          <w:sz w:val="22"/>
          <w:szCs w:val="22"/>
        </w:rPr>
        <w:t>13.</w:t>
      </w:r>
      <w:r w:rsidRPr="00B4100D">
        <w:rPr>
          <w:b/>
          <w:sz w:val="22"/>
          <w:szCs w:val="22"/>
        </w:rPr>
        <w:tab/>
        <w:t xml:space="preserve">SERIJOS NUMERIS </w:t>
      </w:r>
    </w:p>
    <w:p w14:paraId="3D8991E8" w14:textId="77777777" w:rsidR="000D34E0" w:rsidRPr="00B4100D" w:rsidRDefault="000D34E0" w:rsidP="000D34E0">
      <w:pPr>
        <w:rPr>
          <w:sz w:val="22"/>
          <w:szCs w:val="22"/>
        </w:rPr>
      </w:pPr>
    </w:p>
    <w:p w14:paraId="61AF475F" w14:textId="77777777" w:rsidR="000D34E0" w:rsidRPr="00B4100D" w:rsidRDefault="000D34E0" w:rsidP="000D34E0">
      <w:pPr>
        <w:rPr>
          <w:sz w:val="22"/>
          <w:szCs w:val="22"/>
        </w:rPr>
      </w:pPr>
      <w:r w:rsidRPr="00B4100D">
        <w:rPr>
          <w:sz w:val="22"/>
          <w:szCs w:val="22"/>
        </w:rPr>
        <w:t>Lot</w:t>
      </w:r>
    </w:p>
    <w:p w14:paraId="1C51FC67" w14:textId="77777777" w:rsidR="000D34E0" w:rsidRPr="00B4100D" w:rsidRDefault="000D34E0" w:rsidP="000D34E0">
      <w:pPr>
        <w:rPr>
          <w:sz w:val="22"/>
          <w:szCs w:val="22"/>
        </w:rPr>
      </w:pPr>
    </w:p>
    <w:p w14:paraId="104CBCAF" w14:textId="77777777" w:rsidR="000D34E0" w:rsidRPr="00B4100D" w:rsidRDefault="000D34E0" w:rsidP="000D34E0">
      <w:pPr>
        <w:rPr>
          <w:sz w:val="22"/>
          <w:szCs w:val="22"/>
        </w:rPr>
      </w:pPr>
    </w:p>
    <w:p w14:paraId="6AEF4111"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B4100D">
        <w:rPr>
          <w:b/>
          <w:sz w:val="22"/>
          <w:szCs w:val="22"/>
        </w:rPr>
        <w:t>14.</w:t>
      </w:r>
      <w:r w:rsidRPr="00B4100D">
        <w:rPr>
          <w:b/>
          <w:sz w:val="22"/>
          <w:szCs w:val="22"/>
        </w:rPr>
        <w:tab/>
        <w:t>PARDAVIMO (IŠDAVIMO) TVARKA</w:t>
      </w:r>
    </w:p>
    <w:p w14:paraId="77A00B8E" w14:textId="77777777" w:rsidR="000D34E0" w:rsidRPr="00B4100D" w:rsidRDefault="000D34E0" w:rsidP="000D34E0">
      <w:pPr>
        <w:rPr>
          <w:sz w:val="22"/>
          <w:szCs w:val="22"/>
        </w:rPr>
      </w:pPr>
    </w:p>
    <w:p w14:paraId="51E83375" w14:textId="77777777" w:rsidR="000D34E0" w:rsidRPr="00B4100D" w:rsidRDefault="000D34E0" w:rsidP="000D34E0">
      <w:pPr>
        <w:rPr>
          <w:sz w:val="22"/>
          <w:szCs w:val="22"/>
        </w:rPr>
      </w:pPr>
      <w:r w:rsidRPr="00B4100D">
        <w:rPr>
          <w:sz w:val="22"/>
          <w:szCs w:val="22"/>
        </w:rPr>
        <w:t>Receptinis vaistas</w:t>
      </w:r>
    </w:p>
    <w:p w14:paraId="540AE67F" w14:textId="77777777" w:rsidR="000D34E0" w:rsidRPr="00B4100D" w:rsidRDefault="000D34E0" w:rsidP="000D34E0">
      <w:pPr>
        <w:rPr>
          <w:sz w:val="22"/>
          <w:szCs w:val="22"/>
        </w:rPr>
      </w:pPr>
    </w:p>
    <w:p w14:paraId="41396B8E" w14:textId="77777777" w:rsidR="000D34E0" w:rsidRPr="00B4100D" w:rsidRDefault="000D34E0" w:rsidP="000D34E0">
      <w:pPr>
        <w:rPr>
          <w:sz w:val="22"/>
          <w:szCs w:val="22"/>
        </w:rPr>
      </w:pPr>
    </w:p>
    <w:p w14:paraId="52E0031F" w14:textId="77777777" w:rsidR="000D34E0" w:rsidRPr="00B4100D" w:rsidRDefault="000D34E0" w:rsidP="000D34E0">
      <w:pPr>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B4100D">
        <w:rPr>
          <w:b/>
          <w:sz w:val="22"/>
          <w:szCs w:val="22"/>
        </w:rPr>
        <w:t>15.</w:t>
      </w:r>
      <w:r w:rsidRPr="00B4100D">
        <w:rPr>
          <w:b/>
          <w:sz w:val="22"/>
          <w:szCs w:val="22"/>
        </w:rPr>
        <w:tab/>
        <w:t>VARTOJIMO INSTRUKCIJA</w:t>
      </w:r>
    </w:p>
    <w:p w14:paraId="76E4A29C" w14:textId="77777777" w:rsidR="000D34E0" w:rsidRPr="00B4100D" w:rsidRDefault="000D34E0" w:rsidP="000D34E0">
      <w:pPr>
        <w:rPr>
          <w:sz w:val="22"/>
          <w:szCs w:val="22"/>
        </w:rPr>
      </w:pPr>
    </w:p>
    <w:p w14:paraId="3C3F3F85" w14:textId="77777777" w:rsidR="000D34E0" w:rsidRPr="00B4100D" w:rsidRDefault="000D34E0" w:rsidP="000D34E0">
      <w:pPr>
        <w:rPr>
          <w:sz w:val="22"/>
          <w:szCs w:val="22"/>
        </w:rPr>
      </w:pPr>
    </w:p>
    <w:p w14:paraId="6174AD1A" w14:textId="77777777" w:rsidR="000D34E0" w:rsidRPr="00B4100D" w:rsidRDefault="000D34E0" w:rsidP="000D34E0">
      <w:pPr>
        <w:pBdr>
          <w:top w:val="single" w:sz="4" w:space="1" w:color="auto"/>
          <w:left w:val="single" w:sz="4" w:space="4" w:color="auto"/>
          <w:bottom w:val="single" w:sz="4" w:space="0" w:color="auto"/>
          <w:right w:val="single" w:sz="4" w:space="4" w:color="auto"/>
        </w:pBdr>
        <w:tabs>
          <w:tab w:val="left" w:pos="567"/>
        </w:tabs>
        <w:rPr>
          <w:sz w:val="22"/>
          <w:szCs w:val="22"/>
        </w:rPr>
      </w:pPr>
      <w:r w:rsidRPr="00B4100D">
        <w:rPr>
          <w:b/>
          <w:sz w:val="22"/>
          <w:szCs w:val="22"/>
        </w:rPr>
        <w:t>16.</w:t>
      </w:r>
      <w:r w:rsidRPr="00B4100D">
        <w:rPr>
          <w:b/>
          <w:sz w:val="22"/>
          <w:szCs w:val="22"/>
        </w:rPr>
        <w:tab/>
        <w:t>INFORMACIJA BRAILIO RAŠTU</w:t>
      </w:r>
    </w:p>
    <w:p w14:paraId="5421ABD7" w14:textId="77777777" w:rsidR="000D34E0" w:rsidRPr="00B4100D" w:rsidRDefault="000D34E0" w:rsidP="000D34E0">
      <w:pPr>
        <w:rPr>
          <w:sz w:val="22"/>
          <w:szCs w:val="22"/>
        </w:rPr>
      </w:pPr>
    </w:p>
    <w:p w14:paraId="2ACA3870" w14:textId="77777777" w:rsidR="000D34E0" w:rsidRPr="00B4100D" w:rsidRDefault="000D34E0" w:rsidP="000D34E0">
      <w:pPr>
        <w:rPr>
          <w:sz w:val="22"/>
          <w:szCs w:val="22"/>
        </w:rPr>
      </w:pPr>
      <w:r w:rsidRPr="00B4100D">
        <w:rPr>
          <w:sz w:val="22"/>
          <w:szCs w:val="22"/>
        </w:rPr>
        <w:t>Hydroxychloroquine sulfate Accord</w:t>
      </w:r>
    </w:p>
    <w:p w14:paraId="2AE3F8A8" w14:textId="77777777" w:rsidR="000D34E0" w:rsidRPr="00B4100D" w:rsidRDefault="000D34E0" w:rsidP="000D34E0">
      <w:pPr>
        <w:rPr>
          <w:sz w:val="22"/>
          <w:szCs w:val="22"/>
        </w:rPr>
      </w:pPr>
    </w:p>
    <w:p w14:paraId="06C701F4" w14:textId="77777777" w:rsidR="000D34E0" w:rsidRPr="00B4100D" w:rsidRDefault="000D34E0" w:rsidP="000D34E0">
      <w:pPr>
        <w:rPr>
          <w:sz w:val="22"/>
          <w:szCs w:val="22"/>
          <w:shd w:val="clear" w:color="auto" w:fill="CCCCCC"/>
        </w:rPr>
      </w:pPr>
    </w:p>
    <w:p w14:paraId="1BA2949B" w14:textId="77777777" w:rsidR="000D34E0" w:rsidRPr="00B4100D" w:rsidRDefault="000D34E0" w:rsidP="000D34E0">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B4100D">
        <w:rPr>
          <w:b/>
          <w:sz w:val="22"/>
          <w:szCs w:val="22"/>
        </w:rPr>
        <w:t>17.</w:t>
      </w:r>
      <w:r w:rsidRPr="00B4100D">
        <w:rPr>
          <w:b/>
          <w:sz w:val="22"/>
          <w:szCs w:val="22"/>
        </w:rPr>
        <w:tab/>
        <w:t>UNIKALUS IDENTIFIKATORIUS – 2D BRŪKŠNINIS KODAS</w:t>
      </w:r>
    </w:p>
    <w:p w14:paraId="472BC32B" w14:textId="77777777" w:rsidR="000D34E0" w:rsidRPr="00B4100D" w:rsidRDefault="000D34E0" w:rsidP="000D34E0">
      <w:pPr>
        <w:rPr>
          <w:sz w:val="22"/>
          <w:szCs w:val="22"/>
        </w:rPr>
      </w:pPr>
    </w:p>
    <w:p w14:paraId="74EB1FAF" w14:textId="77777777" w:rsidR="000D34E0" w:rsidRPr="00B4100D" w:rsidRDefault="000D34E0" w:rsidP="000D34E0">
      <w:pPr>
        <w:rPr>
          <w:sz w:val="22"/>
          <w:szCs w:val="22"/>
          <w:shd w:val="clear" w:color="auto" w:fill="CCCCCC"/>
        </w:rPr>
      </w:pPr>
      <w:r w:rsidRPr="00B4100D">
        <w:rPr>
          <w:sz w:val="22"/>
          <w:szCs w:val="22"/>
          <w:highlight w:val="lightGray"/>
        </w:rPr>
        <w:t>2D brūkšninis kodas su nurodytu unikaliu identifikatoriumi.</w:t>
      </w:r>
    </w:p>
    <w:p w14:paraId="7B2B7F52" w14:textId="77777777" w:rsidR="000D34E0" w:rsidRPr="00B4100D" w:rsidRDefault="000D34E0" w:rsidP="000D34E0">
      <w:pPr>
        <w:rPr>
          <w:sz w:val="22"/>
          <w:szCs w:val="22"/>
          <w:shd w:val="clear" w:color="auto" w:fill="CCCCCC"/>
        </w:rPr>
      </w:pPr>
    </w:p>
    <w:p w14:paraId="4EC06BA4" w14:textId="77777777" w:rsidR="000D34E0" w:rsidRPr="00B4100D" w:rsidRDefault="000D34E0" w:rsidP="000D34E0">
      <w:pPr>
        <w:rPr>
          <w:sz w:val="22"/>
          <w:szCs w:val="22"/>
        </w:rPr>
      </w:pPr>
    </w:p>
    <w:p w14:paraId="46EE6059" w14:textId="77777777" w:rsidR="000D34E0" w:rsidRPr="00B4100D" w:rsidRDefault="000D34E0" w:rsidP="000D34E0">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B4100D">
        <w:rPr>
          <w:b/>
          <w:sz w:val="22"/>
          <w:szCs w:val="22"/>
        </w:rPr>
        <w:t>18.</w:t>
      </w:r>
      <w:r w:rsidRPr="00B4100D">
        <w:rPr>
          <w:b/>
          <w:sz w:val="22"/>
          <w:szCs w:val="22"/>
        </w:rPr>
        <w:tab/>
        <w:t>UNIKALUS IDENTIFIKATORIUS – ŽMONĖMS SUPRANTAMI DUOMENYS</w:t>
      </w:r>
    </w:p>
    <w:p w14:paraId="41F31424" w14:textId="77777777" w:rsidR="000D34E0" w:rsidRPr="00B4100D" w:rsidRDefault="000D34E0" w:rsidP="000D34E0">
      <w:pPr>
        <w:rPr>
          <w:sz w:val="22"/>
          <w:szCs w:val="22"/>
        </w:rPr>
      </w:pPr>
    </w:p>
    <w:p w14:paraId="255892CE" w14:textId="77777777" w:rsidR="000D34E0" w:rsidRPr="00B4100D" w:rsidRDefault="000D34E0" w:rsidP="000D34E0">
      <w:pPr>
        <w:rPr>
          <w:sz w:val="22"/>
          <w:szCs w:val="22"/>
        </w:rPr>
      </w:pPr>
      <w:r w:rsidRPr="00B4100D">
        <w:rPr>
          <w:sz w:val="22"/>
          <w:szCs w:val="22"/>
        </w:rPr>
        <w:t>PC: {numeris}</w:t>
      </w:r>
    </w:p>
    <w:p w14:paraId="5204A7A0" w14:textId="77777777" w:rsidR="000D34E0" w:rsidRPr="00B4100D" w:rsidRDefault="000D34E0" w:rsidP="000D34E0">
      <w:pPr>
        <w:rPr>
          <w:sz w:val="22"/>
          <w:szCs w:val="22"/>
        </w:rPr>
      </w:pPr>
      <w:r w:rsidRPr="00B4100D">
        <w:rPr>
          <w:sz w:val="22"/>
          <w:szCs w:val="22"/>
        </w:rPr>
        <w:t xml:space="preserve">SN: {numeris} </w:t>
      </w:r>
    </w:p>
    <w:p w14:paraId="179F8735" w14:textId="77777777" w:rsidR="000D34E0" w:rsidRPr="00B4100D" w:rsidRDefault="000D34E0" w:rsidP="000D34E0">
      <w:pPr>
        <w:rPr>
          <w:sz w:val="22"/>
          <w:szCs w:val="22"/>
        </w:rPr>
      </w:pPr>
      <w:r w:rsidRPr="00B4100D">
        <w:rPr>
          <w:sz w:val="22"/>
          <w:szCs w:val="22"/>
          <w:highlight w:val="lightGray"/>
        </w:rPr>
        <w:t xml:space="preserve">NN: {numeris} </w:t>
      </w:r>
      <w:r w:rsidRPr="00B4100D">
        <w:rPr>
          <w:sz w:val="22"/>
          <w:szCs w:val="22"/>
        </w:rPr>
        <w:br w:type="page"/>
      </w:r>
    </w:p>
    <w:p w14:paraId="5E12CD2D"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rPr>
          <w:b/>
          <w:sz w:val="22"/>
          <w:szCs w:val="22"/>
        </w:rPr>
      </w:pPr>
      <w:r w:rsidRPr="00B4100D">
        <w:rPr>
          <w:b/>
          <w:sz w:val="22"/>
          <w:szCs w:val="22"/>
        </w:rPr>
        <w:lastRenderedPageBreak/>
        <w:t xml:space="preserve">MINIMALI INFORMACIJA ANT </w:t>
      </w:r>
      <w:bookmarkStart w:id="70" w:name="_Hlk35699971"/>
      <w:r w:rsidRPr="00B4100D">
        <w:rPr>
          <w:b/>
          <w:sz w:val="22"/>
          <w:szCs w:val="22"/>
        </w:rPr>
        <w:t xml:space="preserve">LIZDINIŲ PLOKŠTELIŲ </w:t>
      </w:r>
      <w:bookmarkEnd w:id="70"/>
    </w:p>
    <w:p w14:paraId="125617C9"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rPr>
          <w:b/>
          <w:sz w:val="22"/>
          <w:szCs w:val="22"/>
        </w:rPr>
      </w:pPr>
    </w:p>
    <w:p w14:paraId="0BDB24BB" w14:textId="77777777" w:rsidR="000D34E0" w:rsidRPr="00B4100D" w:rsidRDefault="000D34E0" w:rsidP="000D34E0">
      <w:pPr>
        <w:pBdr>
          <w:top w:val="single" w:sz="4" w:space="1" w:color="auto"/>
          <w:left w:val="single" w:sz="4" w:space="4" w:color="auto"/>
          <w:bottom w:val="single" w:sz="4" w:space="1" w:color="auto"/>
          <w:right w:val="single" w:sz="4" w:space="4" w:color="auto"/>
        </w:pBdr>
        <w:ind w:left="567" w:hanging="567"/>
        <w:rPr>
          <w:b/>
          <w:sz w:val="22"/>
          <w:szCs w:val="22"/>
        </w:rPr>
      </w:pPr>
      <w:r w:rsidRPr="00B4100D">
        <w:rPr>
          <w:b/>
          <w:sz w:val="22"/>
          <w:szCs w:val="22"/>
        </w:rPr>
        <w:t>LIZDINĖ PLOKŠTELĖ</w:t>
      </w:r>
    </w:p>
    <w:p w14:paraId="711CE1F0" w14:textId="77777777" w:rsidR="000D34E0" w:rsidRPr="00B4100D" w:rsidRDefault="000D34E0" w:rsidP="000D34E0">
      <w:pPr>
        <w:rPr>
          <w:sz w:val="22"/>
          <w:szCs w:val="22"/>
        </w:rPr>
      </w:pPr>
    </w:p>
    <w:p w14:paraId="7C14A361" w14:textId="77777777" w:rsidR="000D34E0" w:rsidRPr="00B4100D" w:rsidRDefault="000D34E0" w:rsidP="000D34E0">
      <w:pPr>
        <w:rPr>
          <w:sz w:val="22"/>
          <w:szCs w:val="22"/>
        </w:rPr>
      </w:pPr>
    </w:p>
    <w:p w14:paraId="3ECCAF5B"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t>1.</w:t>
      </w:r>
      <w:r w:rsidRPr="00B4100D">
        <w:rPr>
          <w:b/>
          <w:sz w:val="22"/>
          <w:szCs w:val="22"/>
        </w:rPr>
        <w:tab/>
      </w:r>
      <w:r w:rsidRPr="00B4100D">
        <w:rPr>
          <w:b/>
          <w:caps/>
          <w:sz w:val="22"/>
          <w:szCs w:val="22"/>
        </w:rPr>
        <w:t>VAISTINIO</w:t>
      </w:r>
      <w:r w:rsidRPr="00B4100D">
        <w:rPr>
          <w:b/>
          <w:sz w:val="22"/>
          <w:szCs w:val="22"/>
        </w:rPr>
        <w:t xml:space="preserve"> PREPARATO PAVADINIMAS</w:t>
      </w:r>
    </w:p>
    <w:p w14:paraId="4D701E49" w14:textId="77777777" w:rsidR="000D34E0" w:rsidRPr="00B4100D" w:rsidRDefault="000D34E0" w:rsidP="000D34E0">
      <w:pPr>
        <w:tabs>
          <w:tab w:val="left" w:pos="567"/>
        </w:tabs>
        <w:rPr>
          <w:sz w:val="22"/>
          <w:szCs w:val="22"/>
        </w:rPr>
      </w:pPr>
    </w:p>
    <w:p w14:paraId="6146A365" w14:textId="77777777" w:rsidR="000D34E0" w:rsidRPr="00B4100D" w:rsidRDefault="000D34E0" w:rsidP="000D34E0">
      <w:pPr>
        <w:tabs>
          <w:tab w:val="left" w:pos="567"/>
        </w:tabs>
        <w:rPr>
          <w:sz w:val="22"/>
          <w:szCs w:val="22"/>
        </w:rPr>
      </w:pPr>
      <w:r w:rsidRPr="00B4100D">
        <w:rPr>
          <w:sz w:val="22"/>
          <w:szCs w:val="22"/>
        </w:rPr>
        <w:t>Hydroxychloroquine sulfate Accord 200 mg plėvele dengtos tabletės</w:t>
      </w:r>
    </w:p>
    <w:p w14:paraId="6DF74177" w14:textId="408541FB" w:rsidR="000D34E0" w:rsidRPr="00B4100D" w:rsidRDefault="00F57393" w:rsidP="000D34E0">
      <w:pPr>
        <w:tabs>
          <w:tab w:val="left" w:pos="567"/>
        </w:tabs>
        <w:rPr>
          <w:iCs/>
          <w:sz w:val="22"/>
          <w:szCs w:val="22"/>
        </w:rPr>
      </w:pPr>
      <w:r w:rsidRPr="00B4100D">
        <w:rPr>
          <w:iCs/>
          <w:sz w:val="22"/>
          <w:szCs w:val="22"/>
        </w:rPr>
        <w:t>h</w:t>
      </w:r>
      <w:r w:rsidR="000D34E0" w:rsidRPr="00B4100D">
        <w:rPr>
          <w:iCs/>
          <w:sz w:val="22"/>
          <w:szCs w:val="22"/>
        </w:rPr>
        <w:t>ydroxychloroquini sulfas</w:t>
      </w:r>
    </w:p>
    <w:p w14:paraId="41976206" w14:textId="77777777" w:rsidR="000D34E0" w:rsidRPr="00B4100D" w:rsidRDefault="000D34E0" w:rsidP="000D34E0">
      <w:pPr>
        <w:tabs>
          <w:tab w:val="left" w:pos="567"/>
        </w:tabs>
        <w:rPr>
          <w:sz w:val="22"/>
          <w:szCs w:val="22"/>
        </w:rPr>
      </w:pPr>
    </w:p>
    <w:p w14:paraId="67985A51" w14:textId="77777777" w:rsidR="000D34E0" w:rsidRPr="00B4100D" w:rsidRDefault="000D34E0" w:rsidP="000D34E0">
      <w:pPr>
        <w:tabs>
          <w:tab w:val="left" w:pos="567"/>
        </w:tabs>
        <w:rPr>
          <w:sz w:val="22"/>
          <w:szCs w:val="22"/>
        </w:rPr>
      </w:pPr>
    </w:p>
    <w:p w14:paraId="5ACDC2F8"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t>2.</w:t>
      </w:r>
      <w:r w:rsidRPr="00B4100D">
        <w:rPr>
          <w:b/>
          <w:sz w:val="22"/>
          <w:szCs w:val="22"/>
        </w:rPr>
        <w:tab/>
      </w:r>
      <w:r w:rsidRPr="00B4100D">
        <w:rPr>
          <w:b/>
          <w:caps/>
          <w:sz w:val="22"/>
          <w:szCs w:val="22"/>
        </w:rPr>
        <w:t>REGISTRUOTOJO pavadinimas</w:t>
      </w:r>
    </w:p>
    <w:p w14:paraId="22BD935D" w14:textId="77777777" w:rsidR="000D34E0" w:rsidRPr="00B4100D" w:rsidRDefault="000D34E0" w:rsidP="000D34E0">
      <w:pPr>
        <w:tabs>
          <w:tab w:val="left" w:pos="567"/>
        </w:tabs>
        <w:rPr>
          <w:sz w:val="22"/>
          <w:szCs w:val="22"/>
        </w:rPr>
      </w:pPr>
    </w:p>
    <w:p w14:paraId="5DCB2682" w14:textId="77777777" w:rsidR="000D34E0" w:rsidRPr="00B4100D" w:rsidRDefault="000D34E0" w:rsidP="000D34E0">
      <w:pPr>
        <w:tabs>
          <w:tab w:val="left" w:pos="567"/>
        </w:tabs>
        <w:rPr>
          <w:sz w:val="22"/>
          <w:szCs w:val="22"/>
        </w:rPr>
      </w:pPr>
      <w:r w:rsidRPr="00B4100D">
        <w:rPr>
          <w:sz w:val="22"/>
          <w:szCs w:val="22"/>
        </w:rPr>
        <w:t>Accord</w:t>
      </w:r>
    </w:p>
    <w:p w14:paraId="55912D41" w14:textId="77777777" w:rsidR="000D34E0" w:rsidRPr="00B4100D" w:rsidRDefault="000D34E0" w:rsidP="000D34E0">
      <w:pPr>
        <w:tabs>
          <w:tab w:val="left" w:pos="567"/>
        </w:tabs>
        <w:rPr>
          <w:sz w:val="22"/>
          <w:szCs w:val="22"/>
        </w:rPr>
      </w:pPr>
    </w:p>
    <w:p w14:paraId="3D820343" w14:textId="77777777" w:rsidR="000D34E0" w:rsidRPr="00B4100D" w:rsidRDefault="000D34E0" w:rsidP="000D34E0">
      <w:pPr>
        <w:tabs>
          <w:tab w:val="left" w:pos="567"/>
        </w:tabs>
        <w:rPr>
          <w:sz w:val="22"/>
          <w:szCs w:val="22"/>
        </w:rPr>
      </w:pPr>
    </w:p>
    <w:p w14:paraId="3FC3E35A" w14:textId="77777777" w:rsidR="000D34E0" w:rsidRPr="00B4100D" w:rsidRDefault="000D34E0" w:rsidP="000D34E0">
      <w:pPr>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B4100D">
        <w:rPr>
          <w:b/>
          <w:sz w:val="22"/>
          <w:szCs w:val="22"/>
        </w:rPr>
        <w:t>3.</w:t>
      </w:r>
      <w:r w:rsidRPr="00B4100D">
        <w:rPr>
          <w:b/>
          <w:sz w:val="22"/>
          <w:szCs w:val="22"/>
        </w:rPr>
        <w:tab/>
        <w:t>TINKAMUMO LAIKAS</w:t>
      </w:r>
    </w:p>
    <w:p w14:paraId="58F5CE82" w14:textId="77777777" w:rsidR="000D34E0" w:rsidRPr="00B4100D" w:rsidRDefault="000D34E0" w:rsidP="000D34E0">
      <w:pPr>
        <w:tabs>
          <w:tab w:val="left" w:pos="567"/>
        </w:tabs>
        <w:rPr>
          <w:sz w:val="22"/>
          <w:szCs w:val="22"/>
        </w:rPr>
      </w:pPr>
    </w:p>
    <w:p w14:paraId="690030C2" w14:textId="77777777" w:rsidR="00086A1A" w:rsidRPr="00B4100D" w:rsidRDefault="000D34E0" w:rsidP="00086A1A">
      <w:pPr>
        <w:rPr>
          <w:sz w:val="22"/>
          <w:szCs w:val="22"/>
        </w:rPr>
      </w:pPr>
      <w:r w:rsidRPr="00B4100D">
        <w:rPr>
          <w:sz w:val="22"/>
          <w:szCs w:val="22"/>
        </w:rPr>
        <w:t>EXP</w:t>
      </w:r>
      <w:r w:rsidR="00086A1A" w:rsidRPr="00B4100D">
        <w:rPr>
          <w:sz w:val="22"/>
          <w:szCs w:val="22"/>
        </w:rPr>
        <w:t xml:space="preserve"> {mm/MMMM}</w:t>
      </w:r>
    </w:p>
    <w:p w14:paraId="475B7305" w14:textId="77777777" w:rsidR="000D34E0" w:rsidRPr="00B4100D" w:rsidRDefault="000D34E0" w:rsidP="000D34E0">
      <w:pPr>
        <w:tabs>
          <w:tab w:val="left" w:pos="567"/>
        </w:tabs>
        <w:rPr>
          <w:sz w:val="22"/>
          <w:szCs w:val="22"/>
        </w:rPr>
      </w:pPr>
    </w:p>
    <w:p w14:paraId="1A5859EA" w14:textId="77777777" w:rsidR="000D34E0" w:rsidRPr="00B4100D" w:rsidRDefault="000D34E0" w:rsidP="000D34E0">
      <w:pPr>
        <w:tabs>
          <w:tab w:val="left" w:pos="567"/>
        </w:tabs>
        <w:rPr>
          <w:sz w:val="22"/>
          <w:szCs w:val="22"/>
        </w:rPr>
      </w:pPr>
    </w:p>
    <w:p w14:paraId="4A7E2A58" w14:textId="77777777" w:rsidR="000D34E0" w:rsidRPr="00B4100D" w:rsidRDefault="000D34E0" w:rsidP="000D34E0">
      <w:pPr>
        <w:tabs>
          <w:tab w:val="left" w:pos="567"/>
        </w:tabs>
        <w:rPr>
          <w:sz w:val="22"/>
          <w:szCs w:val="22"/>
        </w:rPr>
      </w:pPr>
    </w:p>
    <w:p w14:paraId="652B3E9E" w14:textId="77777777" w:rsidR="000D34E0" w:rsidRPr="00B4100D" w:rsidRDefault="000D34E0" w:rsidP="000D34E0">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t>4.</w:t>
      </w:r>
      <w:r w:rsidRPr="00B4100D">
        <w:rPr>
          <w:b/>
          <w:sz w:val="22"/>
          <w:szCs w:val="22"/>
        </w:rPr>
        <w:tab/>
        <w:t>SERIJOS NUMERIS</w:t>
      </w:r>
    </w:p>
    <w:p w14:paraId="470E2CA2" w14:textId="77777777" w:rsidR="000D34E0" w:rsidRPr="00B4100D" w:rsidRDefault="000D34E0" w:rsidP="000D34E0">
      <w:pPr>
        <w:tabs>
          <w:tab w:val="left" w:pos="567"/>
        </w:tabs>
        <w:rPr>
          <w:sz w:val="22"/>
          <w:szCs w:val="22"/>
        </w:rPr>
      </w:pPr>
    </w:p>
    <w:p w14:paraId="05D318A6" w14:textId="77777777" w:rsidR="000D34E0" w:rsidRPr="00B4100D" w:rsidRDefault="000D34E0" w:rsidP="000D34E0">
      <w:pPr>
        <w:tabs>
          <w:tab w:val="left" w:pos="567"/>
        </w:tabs>
        <w:outlineLvl w:val="0"/>
        <w:rPr>
          <w:b/>
          <w:sz w:val="22"/>
          <w:szCs w:val="22"/>
        </w:rPr>
      </w:pPr>
      <w:r w:rsidRPr="00B4100D">
        <w:rPr>
          <w:sz w:val="22"/>
          <w:szCs w:val="22"/>
        </w:rPr>
        <w:t>Lot</w:t>
      </w:r>
    </w:p>
    <w:p w14:paraId="0E654AF6" w14:textId="77777777" w:rsidR="000D34E0" w:rsidRPr="00B4100D" w:rsidRDefault="000D34E0" w:rsidP="000D34E0">
      <w:pPr>
        <w:tabs>
          <w:tab w:val="left" w:pos="567"/>
        </w:tabs>
        <w:rPr>
          <w:sz w:val="22"/>
          <w:szCs w:val="22"/>
        </w:rPr>
      </w:pPr>
    </w:p>
    <w:p w14:paraId="5EF96AC0" w14:textId="77777777" w:rsidR="000D34E0" w:rsidRPr="00B4100D" w:rsidRDefault="000D34E0" w:rsidP="000D34E0">
      <w:pPr>
        <w:tabs>
          <w:tab w:val="left" w:pos="567"/>
        </w:tabs>
        <w:rPr>
          <w:sz w:val="22"/>
          <w:szCs w:val="22"/>
        </w:rPr>
      </w:pPr>
    </w:p>
    <w:p w14:paraId="2181281C" w14:textId="77777777" w:rsidR="000D34E0" w:rsidRPr="00B4100D" w:rsidRDefault="000D34E0" w:rsidP="000D34E0">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B4100D">
        <w:rPr>
          <w:b/>
          <w:sz w:val="22"/>
          <w:szCs w:val="22"/>
        </w:rPr>
        <w:t>5.</w:t>
      </w:r>
      <w:r w:rsidRPr="00B4100D">
        <w:rPr>
          <w:b/>
          <w:sz w:val="22"/>
          <w:szCs w:val="22"/>
        </w:rPr>
        <w:tab/>
        <w:t>KITA</w:t>
      </w:r>
    </w:p>
    <w:p w14:paraId="72EC8446" w14:textId="77777777" w:rsidR="000D34E0" w:rsidRPr="00B4100D" w:rsidRDefault="000D34E0" w:rsidP="000D34E0">
      <w:pPr>
        <w:rPr>
          <w:sz w:val="22"/>
          <w:szCs w:val="22"/>
        </w:rPr>
      </w:pPr>
    </w:p>
    <w:p w14:paraId="769B63EB" w14:textId="77777777" w:rsidR="000D34E0" w:rsidRPr="00B4100D" w:rsidRDefault="000D34E0" w:rsidP="000D34E0">
      <w:pPr>
        <w:rPr>
          <w:sz w:val="22"/>
          <w:szCs w:val="22"/>
        </w:rPr>
      </w:pPr>
    </w:p>
    <w:p w14:paraId="42551D31" w14:textId="77777777" w:rsidR="000D34E0" w:rsidRPr="00B4100D" w:rsidRDefault="000D34E0">
      <w:pPr>
        <w:rPr>
          <w:sz w:val="22"/>
          <w:szCs w:val="22"/>
        </w:rPr>
      </w:pPr>
      <w:r w:rsidRPr="00B4100D">
        <w:br w:type="page"/>
      </w:r>
    </w:p>
    <w:p w14:paraId="564DAD27" w14:textId="77777777" w:rsidR="00986560" w:rsidRPr="00B4100D" w:rsidRDefault="00986560" w:rsidP="00986560">
      <w:pPr>
        <w:pStyle w:val="TTEMEASMCA"/>
        <w:rPr>
          <w:lang w:val="lt-LT"/>
        </w:rPr>
      </w:pPr>
    </w:p>
    <w:p w14:paraId="7CF88E86" w14:textId="77777777" w:rsidR="00986560" w:rsidRPr="00B4100D" w:rsidRDefault="00986560" w:rsidP="006E671E">
      <w:pPr>
        <w:pStyle w:val="BTEMEASMCA"/>
      </w:pPr>
    </w:p>
    <w:p w14:paraId="6680B751" w14:textId="77777777" w:rsidR="00986560" w:rsidRPr="00B4100D" w:rsidRDefault="00986560" w:rsidP="006E671E">
      <w:pPr>
        <w:pStyle w:val="BTEMEASMCA"/>
      </w:pPr>
    </w:p>
    <w:p w14:paraId="73059C61" w14:textId="77777777" w:rsidR="00986560" w:rsidRPr="00B4100D" w:rsidRDefault="00986560" w:rsidP="00C475DF">
      <w:pPr>
        <w:pStyle w:val="BTEMEASMCA"/>
      </w:pPr>
    </w:p>
    <w:p w14:paraId="394D1C0A" w14:textId="77777777" w:rsidR="00986560" w:rsidRPr="00B4100D" w:rsidRDefault="00986560" w:rsidP="00CA2561">
      <w:pPr>
        <w:pStyle w:val="BTEMEASMCA"/>
      </w:pPr>
    </w:p>
    <w:p w14:paraId="5E398D90" w14:textId="77777777" w:rsidR="00986560" w:rsidRPr="00B4100D" w:rsidRDefault="00986560" w:rsidP="00CA2561">
      <w:pPr>
        <w:pStyle w:val="BTEMEASMCA"/>
      </w:pPr>
    </w:p>
    <w:p w14:paraId="60F8B6A9" w14:textId="77777777" w:rsidR="00986560" w:rsidRPr="00B4100D" w:rsidRDefault="00986560">
      <w:pPr>
        <w:pStyle w:val="BTEMEASMCA"/>
      </w:pPr>
    </w:p>
    <w:p w14:paraId="40845A12" w14:textId="77777777" w:rsidR="00986560" w:rsidRPr="00B4100D" w:rsidRDefault="00986560">
      <w:pPr>
        <w:pStyle w:val="BTEMEASMCA"/>
      </w:pPr>
    </w:p>
    <w:p w14:paraId="308034DD" w14:textId="77777777" w:rsidR="00986560" w:rsidRPr="00B4100D" w:rsidRDefault="00986560">
      <w:pPr>
        <w:pStyle w:val="BTEMEASMCA"/>
      </w:pPr>
    </w:p>
    <w:p w14:paraId="4178D156" w14:textId="77777777" w:rsidR="00986560" w:rsidRPr="00B4100D" w:rsidRDefault="00986560">
      <w:pPr>
        <w:pStyle w:val="BTEMEASMCA"/>
      </w:pPr>
    </w:p>
    <w:p w14:paraId="53039BEB" w14:textId="77777777" w:rsidR="00986560" w:rsidRPr="00B4100D" w:rsidRDefault="00986560">
      <w:pPr>
        <w:pStyle w:val="BTEMEASMCA"/>
      </w:pPr>
    </w:p>
    <w:p w14:paraId="4C8171BE" w14:textId="77777777" w:rsidR="00986560" w:rsidRPr="00B4100D" w:rsidRDefault="00986560">
      <w:pPr>
        <w:pStyle w:val="BTEMEASMCA"/>
      </w:pPr>
    </w:p>
    <w:p w14:paraId="1CF56B07" w14:textId="77777777" w:rsidR="00986560" w:rsidRPr="00B4100D" w:rsidRDefault="00986560">
      <w:pPr>
        <w:pStyle w:val="BTEMEASMCA"/>
      </w:pPr>
    </w:p>
    <w:p w14:paraId="0E17BFB1" w14:textId="77777777" w:rsidR="00986560" w:rsidRPr="00B4100D" w:rsidRDefault="00986560">
      <w:pPr>
        <w:pStyle w:val="BTEMEASMCA"/>
      </w:pPr>
    </w:p>
    <w:p w14:paraId="40219C1A" w14:textId="77777777" w:rsidR="00986560" w:rsidRPr="00B4100D" w:rsidRDefault="00986560">
      <w:pPr>
        <w:pStyle w:val="BTEMEASMCA"/>
      </w:pPr>
    </w:p>
    <w:p w14:paraId="646E7120" w14:textId="77777777" w:rsidR="00986560" w:rsidRPr="00B4100D" w:rsidRDefault="00986560">
      <w:pPr>
        <w:pStyle w:val="BTEMEASMCA"/>
      </w:pPr>
    </w:p>
    <w:p w14:paraId="7BF6D71A" w14:textId="77777777" w:rsidR="00986560" w:rsidRPr="00B4100D" w:rsidRDefault="00986560">
      <w:pPr>
        <w:pStyle w:val="BTEMEASMCA"/>
      </w:pPr>
    </w:p>
    <w:p w14:paraId="47A6F1A9" w14:textId="77777777" w:rsidR="00986560" w:rsidRPr="00B4100D" w:rsidRDefault="00986560">
      <w:pPr>
        <w:pStyle w:val="BTEMEASMCA"/>
      </w:pPr>
    </w:p>
    <w:p w14:paraId="6A91CBEA" w14:textId="77777777" w:rsidR="00986560" w:rsidRPr="00B4100D" w:rsidRDefault="00986560">
      <w:pPr>
        <w:pStyle w:val="BTEMEASMCA"/>
      </w:pPr>
    </w:p>
    <w:p w14:paraId="7648C2F2" w14:textId="77777777" w:rsidR="00986560" w:rsidRPr="00B4100D" w:rsidRDefault="00986560">
      <w:pPr>
        <w:pStyle w:val="BTEMEASMCA"/>
      </w:pPr>
    </w:p>
    <w:p w14:paraId="606BB02E" w14:textId="77777777" w:rsidR="00986560" w:rsidRPr="00B4100D" w:rsidRDefault="00986560">
      <w:pPr>
        <w:pStyle w:val="BTEMEASMCA"/>
      </w:pPr>
    </w:p>
    <w:p w14:paraId="1E52AEB4" w14:textId="77777777" w:rsidR="00986560" w:rsidRPr="00B4100D" w:rsidRDefault="00986560">
      <w:pPr>
        <w:pStyle w:val="BTEMEASMCA"/>
      </w:pPr>
    </w:p>
    <w:p w14:paraId="6504E8A2" w14:textId="77777777" w:rsidR="00986560" w:rsidRPr="00B4100D" w:rsidRDefault="00986560" w:rsidP="00986560">
      <w:pPr>
        <w:pStyle w:val="TTEMEASMCA"/>
        <w:rPr>
          <w:lang w:val="lt-LT" w:eastAsia="x-none"/>
        </w:rPr>
      </w:pPr>
      <w:bookmarkStart w:id="71" w:name="_Toc129243137"/>
      <w:bookmarkStart w:id="72" w:name="_Toc129243262"/>
    </w:p>
    <w:p w14:paraId="06F86CC3" w14:textId="77777777" w:rsidR="00986560" w:rsidRPr="00B4100D" w:rsidRDefault="00986560" w:rsidP="00986560">
      <w:pPr>
        <w:pStyle w:val="TTEMEASMCA"/>
        <w:rPr>
          <w:lang w:val="lt-LT" w:eastAsia="x-none"/>
        </w:rPr>
      </w:pPr>
      <w:r w:rsidRPr="00B4100D">
        <w:rPr>
          <w:lang w:val="lt-LT" w:eastAsia="x-none"/>
        </w:rPr>
        <w:t>B. PAKUOTĖS LAPELIS</w:t>
      </w:r>
      <w:bookmarkEnd w:id="71"/>
      <w:bookmarkEnd w:id="72"/>
    </w:p>
    <w:p w14:paraId="0371398E" w14:textId="77777777" w:rsidR="00986560" w:rsidRPr="00B4100D" w:rsidRDefault="00986560" w:rsidP="00986560">
      <w:pPr>
        <w:pStyle w:val="TTEMEASMCA"/>
        <w:rPr>
          <w:lang w:val="lt-LT" w:eastAsia="x-none"/>
        </w:rPr>
      </w:pPr>
      <w:r w:rsidRPr="00B4100D">
        <w:rPr>
          <w:lang w:val="lt-LT" w:eastAsia="x-none"/>
        </w:rPr>
        <w:br w:type="page"/>
      </w:r>
      <w:bookmarkStart w:id="73" w:name="_Toc129243138"/>
      <w:bookmarkStart w:id="74" w:name="_Toc129243263"/>
      <w:r w:rsidRPr="00B4100D">
        <w:rPr>
          <w:caps w:val="0"/>
          <w:lang w:val="lt-LT" w:eastAsia="x-none"/>
        </w:rPr>
        <w:lastRenderedPageBreak/>
        <w:t>Pakuotės lapelis: informacija vartotojui</w:t>
      </w:r>
      <w:bookmarkEnd w:id="73"/>
      <w:bookmarkEnd w:id="74"/>
    </w:p>
    <w:p w14:paraId="29B99F5B" w14:textId="77777777" w:rsidR="00986560" w:rsidRPr="00B4100D" w:rsidRDefault="00986560" w:rsidP="006E671E">
      <w:pPr>
        <w:pStyle w:val="BTEMEASMCA"/>
      </w:pPr>
    </w:p>
    <w:p w14:paraId="51232453" w14:textId="77777777" w:rsidR="00986560" w:rsidRPr="00B4100D" w:rsidRDefault="002C315D" w:rsidP="00986560">
      <w:pPr>
        <w:jc w:val="center"/>
        <w:rPr>
          <w:b/>
          <w:sz w:val="22"/>
          <w:szCs w:val="22"/>
        </w:rPr>
      </w:pPr>
      <w:r w:rsidRPr="00B4100D">
        <w:rPr>
          <w:b/>
          <w:sz w:val="22"/>
          <w:szCs w:val="22"/>
        </w:rPr>
        <w:t xml:space="preserve">Hydroxychloroquine sulfate Accord </w:t>
      </w:r>
      <w:r w:rsidR="00986560" w:rsidRPr="00B4100D">
        <w:rPr>
          <w:b/>
          <w:sz w:val="22"/>
          <w:szCs w:val="22"/>
        </w:rPr>
        <w:t>200 mg plėvele dengtos tabletės</w:t>
      </w:r>
    </w:p>
    <w:p w14:paraId="4C355BD1" w14:textId="10BB97F4" w:rsidR="00986560" w:rsidRPr="00B4100D" w:rsidRDefault="00807F74" w:rsidP="006E671E">
      <w:pPr>
        <w:pStyle w:val="BTeEMEASMCA"/>
      </w:pPr>
      <w:r w:rsidRPr="00B4100D">
        <w:t>h</w:t>
      </w:r>
      <w:r w:rsidR="00986560" w:rsidRPr="00B4100D">
        <w:t>idroksichlorokvino sulfatas</w:t>
      </w:r>
    </w:p>
    <w:p w14:paraId="36104EB2" w14:textId="77777777" w:rsidR="00986560" w:rsidRPr="00B4100D" w:rsidRDefault="00986560" w:rsidP="006E671E">
      <w:pPr>
        <w:pStyle w:val="BTEMEASMCA"/>
      </w:pPr>
    </w:p>
    <w:p w14:paraId="2AA7E07A" w14:textId="77777777" w:rsidR="00986560" w:rsidRPr="00B4100D" w:rsidRDefault="00986560" w:rsidP="00986560">
      <w:pPr>
        <w:suppressAutoHyphens/>
        <w:rPr>
          <w:sz w:val="22"/>
          <w:szCs w:val="22"/>
        </w:rPr>
      </w:pPr>
      <w:r w:rsidRPr="00B4100D">
        <w:rPr>
          <w:b/>
          <w:sz w:val="22"/>
          <w:szCs w:val="22"/>
        </w:rPr>
        <w:t>Atidžiai perskaitykite visą šį lapelį, prieš pradėdami vartoti vaistą, nes jame pateikiama Jums svarbi informacija.</w:t>
      </w:r>
    </w:p>
    <w:p w14:paraId="055B6BAF" w14:textId="77777777" w:rsidR="00986560" w:rsidRPr="00B4100D" w:rsidRDefault="00986560" w:rsidP="009C3222">
      <w:pPr>
        <w:numPr>
          <w:ilvl w:val="0"/>
          <w:numId w:val="4"/>
        </w:numPr>
        <w:ind w:left="567" w:hanging="567"/>
        <w:rPr>
          <w:sz w:val="22"/>
          <w:szCs w:val="22"/>
        </w:rPr>
      </w:pPr>
      <w:r w:rsidRPr="00B4100D">
        <w:rPr>
          <w:sz w:val="22"/>
          <w:szCs w:val="22"/>
        </w:rPr>
        <w:t>Neišmeskite šio lapelio, nes vėl gali prireikti jį perskaityti.</w:t>
      </w:r>
    </w:p>
    <w:p w14:paraId="1F3ED75E" w14:textId="77777777" w:rsidR="00986560" w:rsidRPr="00B4100D" w:rsidRDefault="00986560" w:rsidP="009C3222">
      <w:pPr>
        <w:numPr>
          <w:ilvl w:val="0"/>
          <w:numId w:val="4"/>
        </w:numPr>
        <w:ind w:left="567" w:hanging="567"/>
        <w:rPr>
          <w:sz w:val="22"/>
          <w:szCs w:val="22"/>
        </w:rPr>
      </w:pPr>
      <w:r w:rsidRPr="00B4100D">
        <w:rPr>
          <w:sz w:val="22"/>
          <w:szCs w:val="22"/>
        </w:rPr>
        <w:t>Jeigu kiltų daugiau klausimų, kreipkitės į gydytoją arba vaistininką.</w:t>
      </w:r>
    </w:p>
    <w:p w14:paraId="48D8ECDE" w14:textId="77777777" w:rsidR="00986560" w:rsidRPr="00B4100D" w:rsidRDefault="00986560" w:rsidP="009C3222">
      <w:pPr>
        <w:numPr>
          <w:ilvl w:val="0"/>
          <w:numId w:val="4"/>
        </w:numPr>
        <w:ind w:left="567" w:hanging="567"/>
        <w:rPr>
          <w:sz w:val="22"/>
          <w:szCs w:val="22"/>
        </w:rPr>
      </w:pPr>
      <w:r w:rsidRPr="00B4100D">
        <w:rPr>
          <w:sz w:val="22"/>
          <w:szCs w:val="22"/>
        </w:rPr>
        <w:t>Šis vaistas skirtas tik Jums, todėl kitiems žmonėms jo duoti negalima. Vaistas gali jiems pakenkti (net tiems, kurių ligos požymiai yra tokie patys kaip Jūsų).</w:t>
      </w:r>
    </w:p>
    <w:p w14:paraId="4503D192" w14:textId="77777777" w:rsidR="00986560" w:rsidRPr="00B4100D" w:rsidRDefault="00986560" w:rsidP="009C3222">
      <w:pPr>
        <w:numPr>
          <w:ilvl w:val="0"/>
          <w:numId w:val="4"/>
        </w:numPr>
        <w:ind w:left="567" w:hanging="567"/>
        <w:rPr>
          <w:sz w:val="22"/>
          <w:szCs w:val="22"/>
        </w:rPr>
      </w:pPr>
      <w:r w:rsidRPr="00B4100D">
        <w:rPr>
          <w:sz w:val="22"/>
          <w:szCs w:val="22"/>
        </w:rPr>
        <w:t>Jeigu pasireiškė šalutinis poveikis (net jeigu jis šiame lapelyje nenurodytas), kreipkitės į gydytoją arba vaistininką. Žr. 4 skyrių.</w:t>
      </w:r>
    </w:p>
    <w:p w14:paraId="3E8BAE79" w14:textId="77777777" w:rsidR="00986560" w:rsidRPr="00B4100D" w:rsidRDefault="00986560" w:rsidP="006E671E">
      <w:pPr>
        <w:pStyle w:val="BTEMEASMCA"/>
      </w:pPr>
    </w:p>
    <w:p w14:paraId="0FB12908" w14:textId="77777777" w:rsidR="00986560" w:rsidRPr="00B4100D" w:rsidRDefault="00986560" w:rsidP="00DD2B86">
      <w:pPr>
        <w:pStyle w:val="BTbEMEASMCA"/>
      </w:pPr>
      <w:r w:rsidRPr="00B4100D">
        <w:t>Apie ką rašoma šiame lapelyje?</w:t>
      </w:r>
    </w:p>
    <w:p w14:paraId="1A7FDFEA" w14:textId="77777777" w:rsidR="00986560" w:rsidRPr="00B4100D" w:rsidRDefault="00986560" w:rsidP="00DD2B86">
      <w:pPr>
        <w:pStyle w:val="BTbEMEASMCA"/>
      </w:pPr>
    </w:p>
    <w:p w14:paraId="36BDDCD7" w14:textId="206BEC59" w:rsidR="00986560" w:rsidRPr="00B4100D" w:rsidRDefault="00986560">
      <w:pPr>
        <w:pStyle w:val="BTEMEASMCA"/>
      </w:pPr>
      <w:r w:rsidRPr="00B4100D">
        <w:t>1.</w:t>
      </w:r>
      <w:r w:rsidRPr="00B4100D">
        <w:tab/>
        <w:t xml:space="preserve">Kas yra </w:t>
      </w:r>
      <w:r w:rsidR="0061121A" w:rsidRPr="00B4100D">
        <w:t>Hydroxychloroquine sulfate Accord</w:t>
      </w:r>
      <w:r w:rsidRPr="00B4100D">
        <w:t xml:space="preserve"> ir kam jis vartojamas</w:t>
      </w:r>
    </w:p>
    <w:p w14:paraId="2CCDECDD" w14:textId="77777777" w:rsidR="00986560" w:rsidRPr="00B4100D" w:rsidRDefault="00986560">
      <w:pPr>
        <w:pStyle w:val="BTEMEASMCA"/>
      </w:pPr>
      <w:r w:rsidRPr="00B4100D">
        <w:t>2.</w:t>
      </w:r>
      <w:r w:rsidRPr="00B4100D">
        <w:tab/>
        <w:t xml:space="preserve">Kas žinotina prieš vartojant </w:t>
      </w:r>
      <w:r w:rsidR="0061121A" w:rsidRPr="00B4100D">
        <w:rPr>
          <w:bCs/>
        </w:rPr>
        <w:t xml:space="preserve">Hydroxychloroquine sulfate Accord </w:t>
      </w:r>
    </w:p>
    <w:p w14:paraId="73049C12" w14:textId="77777777" w:rsidR="00986560" w:rsidRPr="00B4100D" w:rsidRDefault="00986560">
      <w:pPr>
        <w:pStyle w:val="BTEMEASMCA"/>
      </w:pPr>
      <w:r w:rsidRPr="00B4100D">
        <w:t>3.</w:t>
      </w:r>
      <w:r w:rsidRPr="00B4100D">
        <w:tab/>
        <w:t xml:space="preserve">Kaip vartoti </w:t>
      </w:r>
      <w:r w:rsidR="0061121A" w:rsidRPr="00B4100D">
        <w:rPr>
          <w:bCs/>
        </w:rPr>
        <w:t xml:space="preserve">Hydroxychloroquine sulfate Accord </w:t>
      </w:r>
    </w:p>
    <w:p w14:paraId="12E44AD0" w14:textId="77777777" w:rsidR="00986560" w:rsidRPr="00B4100D" w:rsidRDefault="00986560">
      <w:pPr>
        <w:pStyle w:val="BTEMEASMCA"/>
      </w:pPr>
      <w:r w:rsidRPr="00B4100D">
        <w:t>4.</w:t>
      </w:r>
      <w:r w:rsidRPr="00B4100D">
        <w:tab/>
        <w:t>Galimas šalutinis poveikis</w:t>
      </w:r>
    </w:p>
    <w:p w14:paraId="5B16D32B" w14:textId="77777777" w:rsidR="00986560" w:rsidRPr="00B4100D" w:rsidRDefault="00986560">
      <w:pPr>
        <w:pStyle w:val="BTEMEASMCA"/>
      </w:pPr>
      <w:r w:rsidRPr="00B4100D">
        <w:t>5.</w:t>
      </w:r>
      <w:r w:rsidRPr="00B4100D">
        <w:tab/>
        <w:t xml:space="preserve">Kaip laikyti </w:t>
      </w:r>
      <w:r w:rsidR="0061121A" w:rsidRPr="00B4100D">
        <w:rPr>
          <w:bCs/>
        </w:rPr>
        <w:t xml:space="preserve">Hydroxychloroquine sulfate Accord </w:t>
      </w:r>
    </w:p>
    <w:p w14:paraId="15B00F03" w14:textId="77777777" w:rsidR="00986560" w:rsidRPr="00B4100D" w:rsidRDefault="00986560">
      <w:pPr>
        <w:pStyle w:val="BTEMEASMCA"/>
      </w:pPr>
      <w:r w:rsidRPr="00B4100D">
        <w:t>6.</w:t>
      </w:r>
      <w:r w:rsidRPr="00B4100D">
        <w:tab/>
        <w:t>Pakuotės turinys ir kita informacija</w:t>
      </w:r>
    </w:p>
    <w:p w14:paraId="1E3C9945" w14:textId="77777777" w:rsidR="00986560" w:rsidRPr="00B4100D" w:rsidRDefault="00986560">
      <w:pPr>
        <w:pStyle w:val="BTEMEASMCA"/>
      </w:pPr>
    </w:p>
    <w:p w14:paraId="15D0A1DE" w14:textId="77777777" w:rsidR="00986560" w:rsidRPr="00B4100D" w:rsidRDefault="00986560">
      <w:pPr>
        <w:pStyle w:val="BTEMEASMCA"/>
      </w:pPr>
    </w:p>
    <w:p w14:paraId="7FDE8528" w14:textId="77777777" w:rsidR="00986560" w:rsidRPr="00B4100D" w:rsidRDefault="00986560" w:rsidP="00986560">
      <w:pPr>
        <w:pStyle w:val="PI-1EMEASMCA"/>
      </w:pPr>
      <w:bookmarkStart w:id="75" w:name="_Toc129243139"/>
      <w:bookmarkStart w:id="76" w:name="_Toc129243264"/>
      <w:r w:rsidRPr="00B4100D">
        <w:t>1.</w:t>
      </w:r>
      <w:r w:rsidRPr="00B4100D">
        <w:tab/>
        <w:t xml:space="preserve">Kas yra </w:t>
      </w:r>
      <w:r w:rsidR="0061121A" w:rsidRPr="00B4100D">
        <w:t>Hydroxychloroquine sulfate Accord</w:t>
      </w:r>
      <w:r w:rsidRPr="00B4100D">
        <w:t xml:space="preserve"> ir kam jis vartojamas</w:t>
      </w:r>
      <w:bookmarkEnd w:id="75"/>
      <w:bookmarkEnd w:id="76"/>
    </w:p>
    <w:p w14:paraId="16A742A0" w14:textId="77777777" w:rsidR="00986560" w:rsidRPr="00B4100D" w:rsidRDefault="00986560" w:rsidP="006E671E">
      <w:pPr>
        <w:pStyle w:val="BTEMEASMCA"/>
      </w:pPr>
    </w:p>
    <w:p w14:paraId="29B3A79A" w14:textId="77777777" w:rsidR="00986560" w:rsidRPr="00B4100D" w:rsidRDefault="0061121A" w:rsidP="00986560">
      <w:pPr>
        <w:pStyle w:val="Antrat1"/>
        <w:spacing w:before="0" w:after="0"/>
        <w:rPr>
          <w:rFonts w:ascii="Times New Roman" w:hAnsi="Times New Roman"/>
          <w:b w:val="0"/>
          <w:sz w:val="22"/>
          <w:szCs w:val="22"/>
        </w:rPr>
      </w:pPr>
      <w:r w:rsidRPr="00B4100D">
        <w:rPr>
          <w:rFonts w:ascii="Times New Roman" w:hAnsi="Times New Roman"/>
          <w:b w:val="0"/>
          <w:sz w:val="22"/>
          <w:szCs w:val="22"/>
        </w:rPr>
        <w:t>Hydroxychloroquine sulfate Accord</w:t>
      </w:r>
      <w:r w:rsidR="00986560" w:rsidRPr="00B4100D">
        <w:rPr>
          <w:rFonts w:ascii="Times New Roman" w:hAnsi="Times New Roman"/>
          <w:b w:val="0"/>
          <w:sz w:val="22"/>
          <w:szCs w:val="22"/>
        </w:rPr>
        <w:t xml:space="preserve"> sudėtyje yra </w:t>
      </w:r>
      <w:r w:rsidR="008E0938" w:rsidRPr="00B4100D">
        <w:rPr>
          <w:rFonts w:ascii="Times New Roman" w:hAnsi="Times New Roman"/>
          <w:b w:val="0"/>
          <w:sz w:val="22"/>
          <w:szCs w:val="22"/>
        </w:rPr>
        <w:t xml:space="preserve">veikliosios medžiagos </w:t>
      </w:r>
      <w:r w:rsidR="00986560" w:rsidRPr="00B4100D">
        <w:rPr>
          <w:rFonts w:ascii="Times New Roman" w:hAnsi="Times New Roman"/>
          <w:b w:val="0"/>
          <w:sz w:val="22"/>
          <w:szCs w:val="22"/>
        </w:rPr>
        <w:t>hidroksichlorokvino sulfato.</w:t>
      </w:r>
    </w:p>
    <w:p w14:paraId="6C31909D" w14:textId="77777777" w:rsidR="0061121A" w:rsidRPr="00B4100D" w:rsidRDefault="0061121A" w:rsidP="0061121A">
      <w:pPr>
        <w:rPr>
          <w:sz w:val="22"/>
          <w:szCs w:val="22"/>
          <w:lang w:eastAsia="lt-LT"/>
        </w:rPr>
      </w:pPr>
      <w:r w:rsidRPr="00B4100D">
        <w:rPr>
          <w:sz w:val="22"/>
          <w:szCs w:val="22"/>
          <w:lang w:eastAsia="lt-LT"/>
        </w:rPr>
        <w:t>Jis gali būti vartojamas:</w:t>
      </w:r>
    </w:p>
    <w:p w14:paraId="4485D6CA" w14:textId="77777777" w:rsidR="00986560" w:rsidRPr="00B4100D" w:rsidRDefault="00986560" w:rsidP="00986560">
      <w:pPr>
        <w:pStyle w:val="Antrat1"/>
        <w:spacing w:before="0" w:after="0"/>
        <w:rPr>
          <w:rFonts w:ascii="Times New Roman" w:hAnsi="Times New Roman"/>
          <w:b w:val="0"/>
          <w:i/>
          <w:sz w:val="22"/>
          <w:szCs w:val="22"/>
        </w:rPr>
      </w:pPr>
    </w:p>
    <w:p w14:paraId="5D8DD1AE" w14:textId="77777777" w:rsidR="00986560" w:rsidRPr="00B4100D" w:rsidRDefault="00986560" w:rsidP="00986560">
      <w:pPr>
        <w:pStyle w:val="Antrat1"/>
        <w:spacing w:before="0" w:after="0"/>
        <w:rPr>
          <w:rFonts w:ascii="Times New Roman" w:hAnsi="Times New Roman"/>
          <w:b w:val="0"/>
          <w:i/>
          <w:sz w:val="22"/>
          <w:szCs w:val="22"/>
        </w:rPr>
      </w:pPr>
      <w:r w:rsidRPr="00B4100D">
        <w:rPr>
          <w:rFonts w:ascii="Times New Roman" w:hAnsi="Times New Roman"/>
          <w:b w:val="0"/>
          <w:i/>
          <w:sz w:val="22"/>
          <w:szCs w:val="22"/>
        </w:rPr>
        <w:t>Suaugusiesiems</w:t>
      </w:r>
    </w:p>
    <w:p w14:paraId="24B1F94C" w14:textId="77777777" w:rsidR="00986560" w:rsidRPr="00B4100D" w:rsidRDefault="00EF74FE" w:rsidP="009C3222">
      <w:pPr>
        <w:pStyle w:val="Antrat1"/>
        <w:numPr>
          <w:ilvl w:val="0"/>
          <w:numId w:val="3"/>
        </w:numPr>
        <w:spacing w:before="0" w:after="0"/>
        <w:rPr>
          <w:rFonts w:ascii="Times New Roman" w:hAnsi="Times New Roman"/>
          <w:b w:val="0"/>
          <w:sz w:val="22"/>
          <w:szCs w:val="22"/>
        </w:rPr>
      </w:pPr>
      <w:r w:rsidRPr="00B4100D">
        <w:rPr>
          <w:rFonts w:ascii="Times New Roman" w:hAnsi="Times New Roman"/>
          <w:b w:val="0"/>
          <w:sz w:val="22"/>
          <w:szCs w:val="22"/>
        </w:rPr>
        <w:t>L</w:t>
      </w:r>
      <w:r w:rsidR="0061121A" w:rsidRPr="00B4100D">
        <w:rPr>
          <w:rFonts w:ascii="Times New Roman" w:hAnsi="Times New Roman"/>
          <w:b w:val="0"/>
          <w:sz w:val="22"/>
          <w:szCs w:val="22"/>
        </w:rPr>
        <w:t>ėtinės būklės, kuriai būdingas sąnarių, raumenų, sausgyslių ar raiščių uždegimas (reumatoidinis artritas), gydymui</w:t>
      </w:r>
      <w:r w:rsidR="00986560" w:rsidRPr="00B4100D">
        <w:rPr>
          <w:rFonts w:ascii="Times New Roman" w:hAnsi="Times New Roman"/>
          <w:b w:val="0"/>
          <w:sz w:val="22"/>
          <w:szCs w:val="22"/>
        </w:rPr>
        <w:t>.</w:t>
      </w:r>
    </w:p>
    <w:p w14:paraId="5AB5A077" w14:textId="77777777" w:rsidR="00986560" w:rsidRPr="00B4100D" w:rsidRDefault="0061121A" w:rsidP="009C3222">
      <w:pPr>
        <w:pStyle w:val="Antrat1"/>
        <w:numPr>
          <w:ilvl w:val="0"/>
          <w:numId w:val="3"/>
        </w:numPr>
        <w:spacing w:before="0" w:after="0"/>
        <w:rPr>
          <w:rFonts w:ascii="Times New Roman" w:hAnsi="Times New Roman"/>
          <w:b w:val="0"/>
          <w:sz w:val="22"/>
          <w:szCs w:val="22"/>
        </w:rPr>
      </w:pPr>
      <w:r w:rsidRPr="00B4100D">
        <w:rPr>
          <w:rFonts w:ascii="Times New Roman" w:hAnsi="Times New Roman"/>
          <w:b w:val="0"/>
          <w:sz w:val="22"/>
          <w:szCs w:val="22"/>
        </w:rPr>
        <w:t xml:space="preserve">Nuo tam tikrų ligų, </w:t>
      </w:r>
      <w:r w:rsidR="00EF74FE" w:rsidRPr="00B4100D">
        <w:rPr>
          <w:rFonts w:ascii="Times New Roman" w:hAnsi="Times New Roman"/>
          <w:b w:val="0"/>
          <w:sz w:val="22"/>
          <w:szCs w:val="22"/>
        </w:rPr>
        <w:t>kurios, be kitų požymių, sukelia odos ar sąnarių problemas (d</w:t>
      </w:r>
      <w:r w:rsidR="00986560" w:rsidRPr="00B4100D">
        <w:rPr>
          <w:rFonts w:ascii="Times New Roman" w:hAnsi="Times New Roman"/>
          <w:b w:val="0"/>
          <w:sz w:val="22"/>
          <w:szCs w:val="22"/>
        </w:rPr>
        <w:t>iskoidinė ir sisteminė raudonoji vilkligė).</w:t>
      </w:r>
    </w:p>
    <w:p w14:paraId="04D9D67E" w14:textId="77777777" w:rsidR="00986560" w:rsidRPr="00B4100D" w:rsidRDefault="008E0938" w:rsidP="009C3222">
      <w:pPr>
        <w:pStyle w:val="Antrat1"/>
        <w:numPr>
          <w:ilvl w:val="0"/>
          <w:numId w:val="3"/>
        </w:numPr>
        <w:spacing w:before="0" w:after="0"/>
        <w:rPr>
          <w:rFonts w:ascii="Times New Roman" w:hAnsi="Times New Roman"/>
          <w:b w:val="0"/>
          <w:sz w:val="22"/>
          <w:szCs w:val="22"/>
        </w:rPr>
      </w:pPr>
      <w:r w:rsidRPr="00B4100D">
        <w:rPr>
          <w:rFonts w:ascii="Times New Roman" w:hAnsi="Times New Roman"/>
          <w:b w:val="0"/>
          <w:sz w:val="22"/>
          <w:szCs w:val="22"/>
        </w:rPr>
        <w:t>O</w:t>
      </w:r>
      <w:r w:rsidR="00EF74FE" w:rsidRPr="00B4100D">
        <w:rPr>
          <w:rFonts w:ascii="Times New Roman" w:hAnsi="Times New Roman"/>
          <w:b w:val="0"/>
          <w:sz w:val="22"/>
          <w:szCs w:val="22"/>
        </w:rPr>
        <w:t xml:space="preserve">dos </w:t>
      </w:r>
      <w:r w:rsidRPr="00B4100D">
        <w:rPr>
          <w:rFonts w:ascii="Times New Roman" w:hAnsi="Times New Roman"/>
          <w:b w:val="0"/>
          <w:sz w:val="22"/>
          <w:szCs w:val="22"/>
        </w:rPr>
        <w:t>ligų, kurias</w:t>
      </w:r>
      <w:r w:rsidR="00EF74FE" w:rsidRPr="00B4100D">
        <w:rPr>
          <w:rFonts w:ascii="Times New Roman" w:hAnsi="Times New Roman"/>
          <w:b w:val="0"/>
          <w:sz w:val="22"/>
          <w:szCs w:val="22"/>
        </w:rPr>
        <w:t xml:space="preserve"> </w:t>
      </w:r>
      <w:r w:rsidRPr="00B4100D">
        <w:rPr>
          <w:rFonts w:ascii="Times New Roman" w:hAnsi="Times New Roman"/>
          <w:b w:val="0"/>
          <w:sz w:val="22"/>
          <w:szCs w:val="22"/>
        </w:rPr>
        <w:t xml:space="preserve">sukelia </w:t>
      </w:r>
      <w:r w:rsidR="00EF74FE" w:rsidRPr="00B4100D">
        <w:rPr>
          <w:rFonts w:ascii="Times New Roman" w:hAnsi="Times New Roman"/>
          <w:b w:val="0"/>
          <w:sz w:val="22"/>
          <w:szCs w:val="22"/>
        </w:rPr>
        <w:t>jautrum</w:t>
      </w:r>
      <w:r w:rsidRPr="00B4100D">
        <w:rPr>
          <w:rFonts w:ascii="Times New Roman" w:hAnsi="Times New Roman"/>
          <w:b w:val="0"/>
          <w:sz w:val="22"/>
          <w:szCs w:val="22"/>
        </w:rPr>
        <w:t>as</w:t>
      </w:r>
      <w:r w:rsidR="00EF74FE" w:rsidRPr="00B4100D">
        <w:rPr>
          <w:rFonts w:ascii="Times New Roman" w:hAnsi="Times New Roman"/>
          <w:b w:val="0"/>
          <w:sz w:val="22"/>
          <w:szCs w:val="22"/>
        </w:rPr>
        <w:t xml:space="preserve"> s</w:t>
      </w:r>
      <w:r w:rsidR="00986560" w:rsidRPr="00B4100D">
        <w:rPr>
          <w:rFonts w:ascii="Times New Roman" w:hAnsi="Times New Roman"/>
          <w:b w:val="0"/>
          <w:sz w:val="22"/>
          <w:szCs w:val="22"/>
        </w:rPr>
        <w:t>aulės švies</w:t>
      </w:r>
      <w:r w:rsidR="00EF74FE" w:rsidRPr="00B4100D">
        <w:rPr>
          <w:rFonts w:ascii="Times New Roman" w:hAnsi="Times New Roman"/>
          <w:b w:val="0"/>
          <w:sz w:val="22"/>
          <w:szCs w:val="22"/>
        </w:rPr>
        <w:t>ai (fotodermatozė</w:t>
      </w:r>
      <w:r w:rsidRPr="00B4100D">
        <w:rPr>
          <w:rFonts w:ascii="Times New Roman" w:hAnsi="Times New Roman"/>
          <w:b w:val="0"/>
          <w:sz w:val="22"/>
          <w:szCs w:val="22"/>
        </w:rPr>
        <w:t>s</w:t>
      </w:r>
      <w:r w:rsidR="00EF74FE" w:rsidRPr="00B4100D">
        <w:rPr>
          <w:rFonts w:ascii="Times New Roman" w:hAnsi="Times New Roman"/>
          <w:b w:val="0"/>
          <w:sz w:val="22"/>
          <w:szCs w:val="22"/>
        </w:rPr>
        <w:t>)</w:t>
      </w:r>
      <w:r w:rsidRPr="00B4100D">
        <w:rPr>
          <w:rFonts w:ascii="Times New Roman" w:hAnsi="Times New Roman"/>
          <w:b w:val="0"/>
          <w:sz w:val="22"/>
          <w:szCs w:val="22"/>
        </w:rPr>
        <w:t>, gydymui</w:t>
      </w:r>
      <w:r w:rsidR="00986560" w:rsidRPr="00B4100D">
        <w:rPr>
          <w:rFonts w:ascii="Times New Roman" w:hAnsi="Times New Roman"/>
          <w:b w:val="0"/>
          <w:sz w:val="22"/>
          <w:szCs w:val="22"/>
        </w:rPr>
        <w:t>.</w:t>
      </w:r>
    </w:p>
    <w:p w14:paraId="34064A69" w14:textId="77777777" w:rsidR="00986560" w:rsidRPr="00B4100D" w:rsidRDefault="00986560" w:rsidP="00986560">
      <w:pPr>
        <w:tabs>
          <w:tab w:val="left" w:pos="540"/>
        </w:tabs>
        <w:rPr>
          <w:sz w:val="22"/>
          <w:szCs w:val="22"/>
        </w:rPr>
      </w:pPr>
      <w:r w:rsidRPr="00B4100D">
        <w:rPr>
          <w:sz w:val="22"/>
          <w:szCs w:val="22"/>
        </w:rPr>
        <w:t>-</w:t>
      </w:r>
      <w:r w:rsidRPr="00B4100D">
        <w:rPr>
          <w:sz w:val="22"/>
          <w:szCs w:val="22"/>
        </w:rPr>
        <w:tab/>
      </w:r>
      <w:r w:rsidR="008E0938" w:rsidRPr="00B4100D">
        <w:rPr>
          <w:sz w:val="22"/>
          <w:szCs w:val="22"/>
        </w:rPr>
        <w:t>Ūminių m</w:t>
      </w:r>
      <w:r w:rsidRPr="00B4100D">
        <w:rPr>
          <w:sz w:val="22"/>
          <w:szCs w:val="22"/>
        </w:rPr>
        <w:t xml:space="preserve">aliarijos </w:t>
      </w:r>
      <w:r w:rsidR="008E0938" w:rsidRPr="00B4100D">
        <w:rPr>
          <w:sz w:val="22"/>
          <w:szCs w:val="22"/>
        </w:rPr>
        <w:t xml:space="preserve">atvejų </w:t>
      </w:r>
      <w:r w:rsidRPr="00B4100D">
        <w:rPr>
          <w:sz w:val="22"/>
          <w:szCs w:val="22"/>
        </w:rPr>
        <w:t>gydymui ir profilaktikai.</w:t>
      </w:r>
    </w:p>
    <w:p w14:paraId="70615F2E" w14:textId="77777777" w:rsidR="00986560" w:rsidRPr="00B4100D" w:rsidRDefault="00986560" w:rsidP="00986560">
      <w:pPr>
        <w:rPr>
          <w:sz w:val="22"/>
          <w:szCs w:val="22"/>
        </w:rPr>
      </w:pPr>
    </w:p>
    <w:p w14:paraId="628D5B06" w14:textId="77777777" w:rsidR="00986560" w:rsidRPr="00B4100D" w:rsidRDefault="00986560" w:rsidP="00986560">
      <w:pPr>
        <w:rPr>
          <w:i/>
          <w:sz w:val="22"/>
          <w:szCs w:val="22"/>
        </w:rPr>
      </w:pPr>
      <w:r w:rsidRPr="00B4100D">
        <w:rPr>
          <w:i/>
          <w:sz w:val="22"/>
          <w:szCs w:val="22"/>
        </w:rPr>
        <w:t>Vaikams</w:t>
      </w:r>
      <w:r w:rsidR="008E0938" w:rsidRPr="00B4100D">
        <w:rPr>
          <w:i/>
          <w:sz w:val="22"/>
          <w:szCs w:val="22"/>
        </w:rPr>
        <w:t xml:space="preserve"> (≥ 6 metų ir ≥ 31 kg)</w:t>
      </w:r>
    </w:p>
    <w:p w14:paraId="63E9E3FF" w14:textId="07C12677" w:rsidR="00986560" w:rsidRPr="00B4100D" w:rsidRDefault="00EF74FE" w:rsidP="009C3222">
      <w:pPr>
        <w:pStyle w:val="Antrat1"/>
        <w:numPr>
          <w:ilvl w:val="0"/>
          <w:numId w:val="5"/>
        </w:numPr>
        <w:spacing w:before="0" w:after="0"/>
        <w:rPr>
          <w:rFonts w:ascii="Times New Roman" w:hAnsi="Times New Roman"/>
          <w:b w:val="0"/>
          <w:sz w:val="22"/>
          <w:szCs w:val="22"/>
        </w:rPr>
      </w:pPr>
      <w:r w:rsidRPr="00B4100D">
        <w:rPr>
          <w:rFonts w:ascii="Times New Roman" w:hAnsi="Times New Roman"/>
          <w:b w:val="0"/>
          <w:color w:val="000000"/>
          <w:sz w:val="22"/>
          <w:szCs w:val="22"/>
        </w:rPr>
        <w:t>Vaikų reumato (jaunatvini</w:t>
      </w:r>
      <w:r w:rsidR="0013368D" w:rsidRPr="00B4100D">
        <w:rPr>
          <w:rFonts w:ascii="Times New Roman" w:hAnsi="Times New Roman"/>
          <w:b w:val="0"/>
          <w:color w:val="000000"/>
          <w:sz w:val="22"/>
          <w:szCs w:val="22"/>
        </w:rPr>
        <w:t>o</w:t>
      </w:r>
      <w:r w:rsidRPr="00B4100D">
        <w:rPr>
          <w:rFonts w:ascii="Times New Roman" w:hAnsi="Times New Roman"/>
          <w:b w:val="0"/>
          <w:color w:val="000000"/>
          <w:sz w:val="22"/>
          <w:szCs w:val="22"/>
        </w:rPr>
        <w:t xml:space="preserve"> idiopatinio artrito) gydymui kartu su kitais gydymo būdais</w:t>
      </w:r>
      <w:r w:rsidR="00986560" w:rsidRPr="00B4100D">
        <w:rPr>
          <w:rFonts w:ascii="Times New Roman" w:hAnsi="Times New Roman"/>
          <w:b w:val="0"/>
          <w:color w:val="000000"/>
          <w:sz w:val="22"/>
          <w:szCs w:val="22"/>
        </w:rPr>
        <w:t>.</w:t>
      </w:r>
    </w:p>
    <w:p w14:paraId="1EDCA048" w14:textId="77777777" w:rsidR="00EF74FE" w:rsidRPr="00B4100D" w:rsidRDefault="00EF74FE" w:rsidP="009C3222">
      <w:pPr>
        <w:pStyle w:val="Antrat1"/>
        <w:numPr>
          <w:ilvl w:val="0"/>
          <w:numId w:val="3"/>
        </w:numPr>
        <w:spacing w:before="0" w:after="0"/>
        <w:rPr>
          <w:rFonts w:ascii="Times New Roman" w:hAnsi="Times New Roman"/>
          <w:b w:val="0"/>
          <w:sz w:val="22"/>
          <w:szCs w:val="22"/>
        </w:rPr>
      </w:pPr>
      <w:r w:rsidRPr="00B4100D">
        <w:rPr>
          <w:rFonts w:ascii="Times New Roman" w:hAnsi="Times New Roman"/>
          <w:b w:val="0"/>
          <w:sz w:val="22"/>
          <w:szCs w:val="22"/>
        </w:rPr>
        <w:t>Nuo tam tikrų ligų, kurios, be kitų požymių, sukelia odos ar sąnarių problemas (diskoidinė ir sisteminė raudonoji vilkligė).</w:t>
      </w:r>
    </w:p>
    <w:p w14:paraId="10FD9A30" w14:textId="77777777" w:rsidR="00986560" w:rsidRPr="00B4100D" w:rsidRDefault="00986560" w:rsidP="00986560">
      <w:pPr>
        <w:tabs>
          <w:tab w:val="left" w:pos="540"/>
        </w:tabs>
        <w:rPr>
          <w:sz w:val="22"/>
          <w:szCs w:val="22"/>
        </w:rPr>
      </w:pPr>
      <w:r w:rsidRPr="00B4100D">
        <w:rPr>
          <w:sz w:val="22"/>
          <w:szCs w:val="22"/>
        </w:rPr>
        <w:t>-</w:t>
      </w:r>
      <w:r w:rsidRPr="00B4100D">
        <w:rPr>
          <w:sz w:val="22"/>
          <w:szCs w:val="22"/>
        </w:rPr>
        <w:tab/>
        <w:t>Maliarijos gydymui ir profilaktikai.</w:t>
      </w:r>
    </w:p>
    <w:p w14:paraId="6C10E778" w14:textId="77777777" w:rsidR="00986560" w:rsidRPr="00B4100D" w:rsidRDefault="00986560" w:rsidP="006E671E">
      <w:pPr>
        <w:pStyle w:val="BTEMEASMCA"/>
      </w:pPr>
    </w:p>
    <w:p w14:paraId="5F8CE419" w14:textId="77777777" w:rsidR="00986560" w:rsidRPr="00B4100D" w:rsidRDefault="00986560" w:rsidP="006E671E">
      <w:pPr>
        <w:pStyle w:val="BTEMEASMCA"/>
      </w:pPr>
    </w:p>
    <w:p w14:paraId="3B177683" w14:textId="77777777" w:rsidR="00986560" w:rsidRPr="00B4100D" w:rsidRDefault="00986560" w:rsidP="00986560">
      <w:pPr>
        <w:numPr>
          <w:ilvl w:val="12"/>
          <w:numId w:val="0"/>
        </w:numPr>
        <w:ind w:left="567" w:hanging="567"/>
        <w:outlineLvl w:val="0"/>
        <w:rPr>
          <w:b/>
          <w:caps/>
          <w:sz w:val="22"/>
          <w:szCs w:val="22"/>
        </w:rPr>
      </w:pPr>
      <w:bookmarkStart w:id="77" w:name="_Toc129243140"/>
      <w:bookmarkStart w:id="78" w:name="_Toc129243265"/>
      <w:r w:rsidRPr="00B4100D">
        <w:rPr>
          <w:b/>
          <w:sz w:val="22"/>
          <w:szCs w:val="22"/>
        </w:rPr>
        <w:t>2.</w:t>
      </w:r>
      <w:r w:rsidRPr="00B4100D">
        <w:rPr>
          <w:b/>
          <w:sz w:val="22"/>
          <w:szCs w:val="22"/>
        </w:rPr>
        <w:tab/>
        <w:t>Kas žinotina prieš vartojant</w:t>
      </w:r>
      <w:r w:rsidRPr="00B4100D">
        <w:rPr>
          <w:sz w:val="22"/>
          <w:szCs w:val="22"/>
        </w:rPr>
        <w:t xml:space="preserve"> </w:t>
      </w:r>
      <w:bookmarkEnd w:id="77"/>
      <w:bookmarkEnd w:id="78"/>
      <w:r w:rsidR="0061121A" w:rsidRPr="00B4100D">
        <w:rPr>
          <w:b/>
          <w:bCs/>
          <w:sz w:val="22"/>
          <w:szCs w:val="22"/>
        </w:rPr>
        <w:t xml:space="preserve">Hydroxychloroquine sulfate Accord </w:t>
      </w:r>
    </w:p>
    <w:p w14:paraId="0E2A5ADB" w14:textId="77777777" w:rsidR="00986560" w:rsidRPr="00B4100D" w:rsidRDefault="00986560" w:rsidP="00986560">
      <w:pPr>
        <w:pStyle w:val="PI-1EMEASMCA"/>
      </w:pPr>
    </w:p>
    <w:p w14:paraId="09EC402E" w14:textId="658486A1" w:rsidR="00986560" w:rsidRPr="00B4100D" w:rsidRDefault="0061121A" w:rsidP="00986560">
      <w:pPr>
        <w:pStyle w:val="PI-3EMEASMCA"/>
      </w:pPr>
      <w:bookmarkStart w:id="79" w:name="_Hlk36205959"/>
      <w:r w:rsidRPr="00B4100D">
        <w:t xml:space="preserve">Hydroxychloroquine sulfate Accord </w:t>
      </w:r>
      <w:bookmarkEnd w:id="79"/>
      <w:r w:rsidR="00986560" w:rsidRPr="00B4100D">
        <w:t xml:space="preserve">vartoti </w:t>
      </w:r>
      <w:r w:rsidR="00111382">
        <w:t>draudžiama</w:t>
      </w:r>
      <w:r w:rsidR="00CE09CD" w:rsidRPr="00B4100D">
        <w:t>, jeigu</w:t>
      </w:r>
      <w:r w:rsidR="00986560" w:rsidRPr="00B4100D">
        <w:t>:</w:t>
      </w:r>
    </w:p>
    <w:p w14:paraId="4766D62A" w14:textId="77777777" w:rsidR="00F3418F" w:rsidRPr="00B4100D" w:rsidRDefault="008E0938" w:rsidP="009C3222">
      <w:pPr>
        <w:pStyle w:val="Sraopastraipa"/>
        <w:numPr>
          <w:ilvl w:val="0"/>
          <w:numId w:val="10"/>
        </w:numPr>
        <w:ind w:left="567" w:hanging="567"/>
        <w:rPr>
          <w:sz w:val="22"/>
          <w:szCs w:val="22"/>
        </w:rPr>
      </w:pPr>
      <w:bookmarkStart w:id="80" w:name="_Hlk37754932"/>
      <w:r w:rsidRPr="00B4100D">
        <w:rPr>
          <w:sz w:val="22"/>
          <w:szCs w:val="22"/>
        </w:rPr>
        <w:t>yra alergija</w:t>
      </w:r>
      <w:r w:rsidR="00F3418F" w:rsidRPr="00B4100D">
        <w:rPr>
          <w:sz w:val="22"/>
          <w:szCs w:val="22"/>
        </w:rPr>
        <w:t>:</w:t>
      </w:r>
    </w:p>
    <w:p w14:paraId="4F32DE9A" w14:textId="1974F5AE" w:rsidR="00F3418F" w:rsidRPr="00B4100D" w:rsidRDefault="00986560" w:rsidP="009C3222">
      <w:pPr>
        <w:pStyle w:val="Sraopastraipa"/>
        <w:numPr>
          <w:ilvl w:val="0"/>
          <w:numId w:val="11"/>
        </w:numPr>
        <w:ind w:left="1134" w:hanging="567"/>
        <w:rPr>
          <w:sz w:val="22"/>
          <w:szCs w:val="22"/>
        </w:rPr>
      </w:pPr>
      <w:r w:rsidRPr="00B4100D">
        <w:rPr>
          <w:sz w:val="22"/>
          <w:szCs w:val="22"/>
        </w:rPr>
        <w:t>hidroksichlorokvin</w:t>
      </w:r>
      <w:r w:rsidR="008E0938" w:rsidRPr="00B4100D">
        <w:rPr>
          <w:sz w:val="22"/>
          <w:szCs w:val="22"/>
        </w:rPr>
        <w:t xml:space="preserve">o sulfatui </w:t>
      </w:r>
      <w:r w:rsidR="008E0938" w:rsidRPr="00B4100D">
        <w:t xml:space="preserve">ar </w:t>
      </w:r>
      <w:r w:rsidR="008E0938" w:rsidRPr="00B4100D">
        <w:rPr>
          <w:sz w:val="22"/>
          <w:szCs w:val="22"/>
        </w:rPr>
        <w:t>bet kuriai pagalbinei šio vaisto medžiagai (jos išvardytos 6 skyriuje)</w:t>
      </w:r>
      <w:r w:rsidR="001D13DE">
        <w:rPr>
          <w:sz w:val="22"/>
          <w:szCs w:val="22"/>
        </w:rPr>
        <w:t>.</w:t>
      </w:r>
      <w:r w:rsidR="001D13DE" w:rsidRPr="001D13DE">
        <w:rPr>
          <w:sz w:val="22"/>
          <w:szCs w:val="22"/>
        </w:rPr>
        <w:t xml:space="preserve"> </w:t>
      </w:r>
      <w:r w:rsidR="001D13DE" w:rsidRPr="007C3E13">
        <w:rPr>
          <w:sz w:val="22"/>
          <w:szCs w:val="22"/>
        </w:rPr>
        <w:t>Alerginės reakcijos požymiai yra: išbėrimas, rijimo ar kvėpavimo sutrikimai, lūpų, veido, gerklės ar liežuvio patinimas</w:t>
      </w:r>
      <w:r w:rsidR="00F3418F" w:rsidRPr="00B4100D">
        <w:rPr>
          <w:sz w:val="22"/>
          <w:szCs w:val="22"/>
        </w:rPr>
        <w:t>;</w:t>
      </w:r>
    </w:p>
    <w:bookmarkEnd w:id="80"/>
    <w:p w14:paraId="6D928F83" w14:textId="77777777" w:rsidR="008E0938" w:rsidRPr="00B4100D" w:rsidRDefault="008E0938" w:rsidP="009C3222">
      <w:pPr>
        <w:pStyle w:val="Sraopastraipa"/>
        <w:numPr>
          <w:ilvl w:val="0"/>
          <w:numId w:val="11"/>
        </w:numPr>
        <w:ind w:left="1134" w:hanging="567"/>
        <w:rPr>
          <w:sz w:val="22"/>
          <w:szCs w:val="22"/>
        </w:rPr>
      </w:pPr>
      <w:r w:rsidRPr="00B4100D">
        <w:rPr>
          <w:sz w:val="22"/>
          <w:szCs w:val="22"/>
        </w:rPr>
        <w:t>kitiems panašiems vaistams, tokiems kaip chinolonai ar kvininas (kiti vaistai nuo maliarijos);</w:t>
      </w:r>
    </w:p>
    <w:p w14:paraId="350BF21B" w14:textId="43062E55" w:rsidR="00C82B19" w:rsidRDefault="00986560" w:rsidP="009C3222">
      <w:pPr>
        <w:numPr>
          <w:ilvl w:val="0"/>
          <w:numId w:val="12"/>
        </w:numPr>
        <w:tabs>
          <w:tab w:val="clear" w:pos="360"/>
          <w:tab w:val="num" w:pos="567"/>
        </w:tabs>
        <w:rPr>
          <w:sz w:val="22"/>
          <w:szCs w:val="22"/>
        </w:rPr>
      </w:pPr>
      <w:r w:rsidRPr="00B4100D">
        <w:rPr>
          <w:sz w:val="22"/>
          <w:szCs w:val="22"/>
        </w:rPr>
        <w:t>Jums yra</w:t>
      </w:r>
      <w:r w:rsidR="00731A9A" w:rsidRPr="00B4100D">
        <w:rPr>
          <w:sz w:val="22"/>
          <w:szCs w:val="22"/>
        </w:rPr>
        <w:t xml:space="preserve"> </w:t>
      </w:r>
      <w:r w:rsidRPr="00B4100D">
        <w:rPr>
          <w:sz w:val="22"/>
          <w:szCs w:val="22"/>
        </w:rPr>
        <w:t>regėjimo sutrikimų</w:t>
      </w:r>
      <w:r w:rsidR="001D13DE" w:rsidRPr="001D13DE">
        <w:rPr>
          <w:sz w:val="22"/>
          <w:szCs w:val="22"/>
        </w:rPr>
        <w:t>, paveikiančių tinklainę, akies vidin</w:t>
      </w:r>
      <w:r w:rsidR="001D13DE">
        <w:rPr>
          <w:sz w:val="22"/>
          <w:szCs w:val="22"/>
        </w:rPr>
        <w:t>ę</w:t>
      </w:r>
      <w:r w:rsidR="001D13DE" w:rsidRPr="001D13DE">
        <w:rPr>
          <w:sz w:val="22"/>
          <w:szCs w:val="22"/>
        </w:rPr>
        <w:t xml:space="preserve"> dalį (makulopatija), arba pakito akių spalva arba atsirado bet koks kitas akių sutrikimas</w:t>
      </w:r>
      <w:r w:rsidR="00C82B19">
        <w:rPr>
          <w:sz w:val="22"/>
          <w:szCs w:val="22"/>
        </w:rPr>
        <w:t>;</w:t>
      </w:r>
    </w:p>
    <w:p w14:paraId="2A987F11" w14:textId="3EBC40B8" w:rsidR="00986560" w:rsidRPr="00B4100D" w:rsidRDefault="00C82B19" w:rsidP="009C3222">
      <w:pPr>
        <w:numPr>
          <w:ilvl w:val="0"/>
          <w:numId w:val="12"/>
        </w:numPr>
        <w:tabs>
          <w:tab w:val="clear" w:pos="360"/>
          <w:tab w:val="num" w:pos="567"/>
        </w:tabs>
        <w:rPr>
          <w:sz w:val="22"/>
          <w:szCs w:val="22"/>
        </w:rPr>
      </w:pPr>
      <w:r w:rsidRPr="007C3E13">
        <w:rPr>
          <w:sz w:val="22"/>
          <w:szCs w:val="22"/>
        </w:rPr>
        <w:t>sergate pigmentine tinklainės liga</w:t>
      </w:r>
      <w:r>
        <w:rPr>
          <w:sz w:val="22"/>
          <w:szCs w:val="22"/>
        </w:rPr>
        <w:t xml:space="preserve"> </w:t>
      </w:r>
      <w:r w:rsidR="00371EFE" w:rsidRPr="00B4100D">
        <w:rPr>
          <w:sz w:val="22"/>
          <w:szCs w:val="22"/>
        </w:rPr>
        <w:t>(pigmentinis retinitas)</w:t>
      </w:r>
      <w:r w:rsidR="00986560" w:rsidRPr="00B4100D">
        <w:rPr>
          <w:sz w:val="22"/>
          <w:szCs w:val="22"/>
        </w:rPr>
        <w:t>;</w:t>
      </w:r>
    </w:p>
    <w:p w14:paraId="374F6700" w14:textId="290DD5A9" w:rsidR="00CE09CD" w:rsidRPr="00B4100D" w:rsidRDefault="00CE09CD" w:rsidP="009C3222">
      <w:pPr>
        <w:numPr>
          <w:ilvl w:val="0"/>
          <w:numId w:val="12"/>
        </w:numPr>
        <w:tabs>
          <w:tab w:val="clear" w:pos="360"/>
          <w:tab w:val="num" w:pos="567"/>
        </w:tabs>
        <w:rPr>
          <w:sz w:val="22"/>
          <w:szCs w:val="22"/>
        </w:rPr>
      </w:pPr>
      <w:r w:rsidRPr="00B4100D">
        <w:rPr>
          <w:sz w:val="22"/>
          <w:szCs w:val="22"/>
        </w:rPr>
        <w:lastRenderedPageBreak/>
        <w:t>kenčiate nuo tam tikros formos raumenų silpnumo (</w:t>
      </w:r>
      <w:r w:rsidR="0013368D" w:rsidRPr="00B4100D">
        <w:rPr>
          <w:sz w:val="22"/>
          <w:szCs w:val="22"/>
        </w:rPr>
        <w:t>generalizuotos</w:t>
      </w:r>
      <w:r w:rsidRPr="00B4100D">
        <w:rPr>
          <w:sz w:val="22"/>
          <w:szCs w:val="22"/>
        </w:rPr>
        <w:t xml:space="preserve"> miastenijos);</w:t>
      </w:r>
    </w:p>
    <w:p w14:paraId="7C2F2AD6" w14:textId="77777777" w:rsidR="00986560" w:rsidRPr="00B4100D" w:rsidRDefault="00986560" w:rsidP="009C3222">
      <w:pPr>
        <w:numPr>
          <w:ilvl w:val="0"/>
          <w:numId w:val="13"/>
        </w:numPr>
        <w:rPr>
          <w:sz w:val="22"/>
          <w:szCs w:val="22"/>
        </w:rPr>
      </w:pPr>
      <w:r w:rsidRPr="00B4100D">
        <w:rPr>
          <w:sz w:val="22"/>
          <w:szCs w:val="22"/>
        </w:rPr>
        <w:t xml:space="preserve">vaikams iki 6 metų </w:t>
      </w:r>
      <w:r w:rsidR="00371EFE" w:rsidRPr="00B4100D">
        <w:rPr>
          <w:sz w:val="22"/>
          <w:szCs w:val="22"/>
        </w:rPr>
        <w:t>i</w:t>
      </w:r>
      <w:r w:rsidR="00CE09CD" w:rsidRPr="00B4100D">
        <w:rPr>
          <w:sz w:val="22"/>
          <w:szCs w:val="22"/>
        </w:rPr>
        <w:t>r</w:t>
      </w:r>
      <w:r w:rsidRPr="00B4100D">
        <w:rPr>
          <w:sz w:val="22"/>
          <w:szCs w:val="22"/>
        </w:rPr>
        <w:t xml:space="preserve"> sveriantiems mažiau kaip 3</w:t>
      </w:r>
      <w:r w:rsidR="00CE09CD" w:rsidRPr="00B4100D">
        <w:rPr>
          <w:sz w:val="22"/>
          <w:szCs w:val="22"/>
        </w:rPr>
        <w:t>1</w:t>
      </w:r>
      <w:r w:rsidRPr="00B4100D">
        <w:rPr>
          <w:sz w:val="22"/>
          <w:szCs w:val="22"/>
        </w:rPr>
        <w:t> kg</w:t>
      </w:r>
      <w:r w:rsidR="00CE09CD" w:rsidRPr="00B4100D">
        <w:rPr>
          <w:sz w:val="22"/>
          <w:szCs w:val="22"/>
        </w:rPr>
        <w:t xml:space="preserve"> Hydroxychloroquine sulfate Accord vartoti negalima</w:t>
      </w:r>
      <w:r w:rsidRPr="00B4100D">
        <w:rPr>
          <w:sz w:val="22"/>
          <w:szCs w:val="22"/>
        </w:rPr>
        <w:t>.</w:t>
      </w:r>
    </w:p>
    <w:p w14:paraId="699BC09B" w14:textId="77777777" w:rsidR="00C82B19" w:rsidRDefault="00C82B19" w:rsidP="00CE09CD">
      <w:pPr>
        <w:rPr>
          <w:sz w:val="22"/>
          <w:szCs w:val="22"/>
        </w:rPr>
      </w:pPr>
    </w:p>
    <w:p w14:paraId="388B4AA7" w14:textId="66CD35F4" w:rsidR="00CE09CD" w:rsidRPr="00B4100D" w:rsidRDefault="00CE09CD" w:rsidP="00CE09CD">
      <w:pPr>
        <w:rPr>
          <w:sz w:val="22"/>
          <w:szCs w:val="22"/>
        </w:rPr>
      </w:pPr>
      <w:r w:rsidRPr="00B4100D">
        <w:rPr>
          <w:sz w:val="22"/>
          <w:szCs w:val="22"/>
        </w:rPr>
        <w:t>Nevartokite šio vaisto, jei Jums tinka bet kuris iš ankščiau išvardytų punktų. Jei abejojate, prieš pradėdami vartoti Hydroxychloroquine sulfate Accord, pasitarkite su gydytoju arba vaistininku.</w:t>
      </w:r>
    </w:p>
    <w:p w14:paraId="52BBCCB2" w14:textId="77777777" w:rsidR="00986560" w:rsidRPr="00B4100D" w:rsidRDefault="00986560" w:rsidP="006E671E">
      <w:pPr>
        <w:pStyle w:val="BTEMEASMCA"/>
      </w:pPr>
    </w:p>
    <w:p w14:paraId="09A8B550" w14:textId="77777777" w:rsidR="00986560" w:rsidRPr="00B4100D" w:rsidRDefault="00986560" w:rsidP="00BE4841">
      <w:pPr>
        <w:rPr>
          <w:b/>
        </w:rPr>
      </w:pPr>
      <w:r w:rsidRPr="00B4100D">
        <w:rPr>
          <w:b/>
          <w:sz w:val="22"/>
          <w:szCs w:val="22"/>
        </w:rPr>
        <w:t xml:space="preserve">Įspėjimai ir atsargumo priemonės </w:t>
      </w:r>
    </w:p>
    <w:p w14:paraId="64D7EDFA" w14:textId="77777777" w:rsidR="00C82B19" w:rsidRDefault="00C82B19" w:rsidP="00C475DF">
      <w:pPr>
        <w:pStyle w:val="BTEMEASMCA"/>
      </w:pPr>
    </w:p>
    <w:p w14:paraId="28408013" w14:textId="4C7CA522" w:rsidR="00986560" w:rsidRPr="00B4100D" w:rsidRDefault="00986560" w:rsidP="00C475DF">
      <w:pPr>
        <w:pStyle w:val="BTEMEASMCA"/>
      </w:pPr>
      <w:r w:rsidRPr="00B4100D">
        <w:t xml:space="preserve">Pasitarkite su gydytoju arba vaistininku, prieš pradėdami vartoti </w:t>
      </w:r>
      <w:r w:rsidR="0061121A" w:rsidRPr="00B4100D">
        <w:t>Hydroxychloroquine sulfate Accord</w:t>
      </w:r>
      <w:r w:rsidR="00CE09CD" w:rsidRPr="00B4100D">
        <w:t>, jeigu:</w:t>
      </w:r>
    </w:p>
    <w:p w14:paraId="4D7E33B7" w14:textId="77777777" w:rsidR="00986560" w:rsidRPr="00B4100D" w:rsidRDefault="00986560" w:rsidP="009C3222">
      <w:pPr>
        <w:keepNext/>
        <w:keepLines/>
        <w:numPr>
          <w:ilvl w:val="0"/>
          <w:numId w:val="14"/>
        </w:numPr>
        <w:tabs>
          <w:tab w:val="clear" w:pos="207"/>
          <w:tab w:val="num" w:pos="567"/>
        </w:tabs>
        <w:ind w:left="567"/>
        <w:rPr>
          <w:sz w:val="22"/>
          <w:szCs w:val="22"/>
        </w:rPr>
      </w:pPr>
      <w:r w:rsidRPr="00B4100D">
        <w:rPr>
          <w:sz w:val="22"/>
          <w:szCs w:val="22"/>
        </w:rPr>
        <w:t>sergate kepenų arba inkstų ligomis;</w:t>
      </w:r>
    </w:p>
    <w:p w14:paraId="7D92D303" w14:textId="77777777" w:rsidR="00986560" w:rsidRPr="00B4100D" w:rsidRDefault="00CE09CD" w:rsidP="009C3222">
      <w:pPr>
        <w:keepNext/>
        <w:keepLines/>
        <w:numPr>
          <w:ilvl w:val="0"/>
          <w:numId w:val="14"/>
        </w:numPr>
        <w:tabs>
          <w:tab w:val="clear" w:pos="207"/>
          <w:tab w:val="num" w:pos="567"/>
        </w:tabs>
        <w:ind w:left="567"/>
        <w:rPr>
          <w:sz w:val="22"/>
          <w:szCs w:val="22"/>
        </w:rPr>
      </w:pPr>
      <w:r w:rsidRPr="00B4100D">
        <w:rPr>
          <w:sz w:val="22"/>
          <w:szCs w:val="22"/>
        </w:rPr>
        <w:t>yra sunkių</w:t>
      </w:r>
      <w:r w:rsidR="00986560" w:rsidRPr="00B4100D">
        <w:rPr>
          <w:sz w:val="22"/>
          <w:szCs w:val="22"/>
        </w:rPr>
        <w:t xml:space="preserve"> </w:t>
      </w:r>
      <w:r w:rsidRPr="00B4100D">
        <w:rPr>
          <w:sz w:val="22"/>
          <w:szCs w:val="22"/>
        </w:rPr>
        <w:t>skrandžio ar žarnyno sutrikimų</w:t>
      </w:r>
      <w:r w:rsidR="00986560" w:rsidRPr="00B4100D">
        <w:rPr>
          <w:sz w:val="22"/>
          <w:szCs w:val="22"/>
        </w:rPr>
        <w:t>;</w:t>
      </w:r>
    </w:p>
    <w:p w14:paraId="56C2BC19" w14:textId="77777777" w:rsidR="00CE09CD" w:rsidRPr="00B4100D" w:rsidRDefault="00CE09CD" w:rsidP="009C3222">
      <w:pPr>
        <w:numPr>
          <w:ilvl w:val="0"/>
          <w:numId w:val="14"/>
        </w:numPr>
        <w:tabs>
          <w:tab w:val="clear" w:pos="207"/>
          <w:tab w:val="num" w:pos="567"/>
        </w:tabs>
        <w:ind w:left="567"/>
        <w:rPr>
          <w:sz w:val="22"/>
          <w:szCs w:val="22"/>
        </w:rPr>
      </w:pPr>
      <w:r w:rsidRPr="00B4100D">
        <w:rPr>
          <w:sz w:val="22"/>
          <w:szCs w:val="22"/>
        </w:rPr>
        <w:t xml:space="preserve">turite kokių nors kraujo problemų. </w:t>
      </w:r>
      <w:r w:rsidR="000401E0" w:rsidRPr="00B4100D">
        <w:rPr>
          <w:sz w:val="22"/>
          <w:szCs w:val="22"/>
        </w:rPr>
        <w:t xml:space="preserve">Tam patikrinti </w:t>
      </w:r>
      <w:r w:rsidRPr="00B4100D">
        <w:rPr>
          <w:sz w:val="22"/>
          <w:szCs w:val="22"/>
        </w:rPr>
        <w:t>Jums gali būti atlikti kraujo tyrimai</w:t>
      </w:r>
      <w:r w:rsidR="000401E0" w:rsidRPr="00B4100D">
        <w:rPr>
          <w:sz w:val="22"/>
          <w:szCs w:val="22"/>
        </w:rPr>
        <w:t>;</w:t>
      </w:r>
    </w:p>
    <w:p w14:paraId="07B6DD5B" w14:textId="77777777" w:rsidR="00CE09CD" w:rsidRPr="00B4100D" w:rsidRDefault="000401E0" w:rsidP="009C3222">
      <w:pPr>
        <w:numPr>
          <w:ilvl w:val="0"/>
          <w:numId w:val="14"/>
        </w:numPr>
        <w:tabs>
          <w:tab w:val="clear" w:pos="207"/>
          <w:tab w:val="num" w:pos="567"/>
        </w:tabs>
        <w:ind w:left="567"/>
        <w:rPr>
          <w:sz w:val="22"/>
          <w:szCs w:val="22"/>
        </w:rPr>
      </w:pPr>
      <w:r w:rsidRPr="00B4100D">
        <w:rPr>
          <w:sz w:val="22"/>
          <w:szCs w:val="22"/>
        </w:rPr>
        <w:t>t</w:t>
      </w:r>
      <w:r w:rsidR="00CE09CD" w:rsidRPr="00B4100D">
        <w:rPr>
          <w:sz w:val="22"/>
          <w:szCs w:val="22"/>
        </w:rPr>
        <w:t>urite širdies problemų (požymiai yra dusulys ir krūtinės skausmas), kuri</w:t>
      </w:r>
      <w:r w:rsidRPr="00B4100D">
        <w:rPr>
          <w:sz w:val="22"/>
          <w:szCs w:val="22"/>
        </w:rPr>
        <w:t>as</w:t>
      </w:r>
      <w:r w:rsidR="00CE09CD" w:rsidRPr="00B4100D">
        <w:rPr>
          <w:sz w:val="22"/>
          <w:szCs w:val="22"/>
        </w:rPr>
        <w:t xml:space="preserve"> gali reikėti stebėti</w:t>
      </w:r>
      <w:r w:rsidRPr="00B4100D">
        <w:rPr>
          <w:sz w:val="22"/>
          <w:szCs w:val="22"/>
        </w:rPr>
        <w:t>;</w:t>
      </w:r>
    </w:p>
    <w:p w14:paraId="0D56B079" w14:textId="77777777" w:rsidR="00CE09CD" w:rsidRPr="00B4100D" w:rsidRDefault="000401E0" w:rsidP="009C3222">
      <w:pPr>
        <w:numPr>
          <w:ilvl w:val="0"/>
          <w:numId w:val="14"/>
        </w:numPr>
        <w:tabs>
          <w:tab w:val="clear" w:pos="207"/>
          <w:tab w:val="num" w:pos="567"/>
        </w:tabs>
        <w:ind w:left="567"/>
        <w:rPr>
          <w:sz w:val="22"/>
          <w:szCs w:val="22"/>
        </w:rPr>
      </w:pPr>
      <w:r w:rsidRPr="00B4100D">
        <w:rPr>
          <w:sz w:val="22"/>
          <w:szCs w:val="22"/>
        </w:rPr>
        <w:t>t</w:t>
      </w:r>
      <w:r w:rsidR="00CE09CD" w:rsidRPr="00B4100D">
        <w:rPr>
          <w:sz w:val="22"/>
          <w:szCs w:val="22"/>
        </w:rPr>
        <w:t>urite kokių nors nervų sistemos ar smegenų problemų</w:t>
      </w:r>
      <w:r w:rsidRPr="00B4100D">
        <w:rPr>
          <w:sz w:val="22"/>
          <w:szCs w:val="22"/>
        </w:rPr>
        <w:t>;</w:t>
      </w:r>
    </w:p>
    <w:p w14:paraId="51BCBF37" w14:textId="77777777" w:rsidR="00CE09CD" w:rsidRPr="00B4100D" w:rsidRDefault="00CE09CD" w:rsidP="009C3222">
      <w:pPr>
        <w:numPr>
          <w:ilvl w:val="0"/>
          <w:numId w:val="14"/>
        </w:numPr>
        <w:tabs>
          <w:tab w:val="clear" w:pos="207"/>
          <w:tab w:val="num" w:pos="567"/>
        </w:tabs>
        <w:ind w:left="567"/>
        <w:rPr>
          <w:sz w:val="22"/>
          <w:szCs w:val="22"/>
        </w:rPr>
      </w:pPr>
      <w:r w:rsidRPr="00B4100D">
        <w:rPr>
          <w:sz w:val="22"/>
          <w:szCs w:val="22"/>
        </w:rPr>
        <w:t xml:space="preserve">sergate </w:t>
      </w:r>
      <w:r w:rsidR="000401E0" w:rsidRPr="00B4100D">
        <w:rPr>
          <w:sz w:val="22"/>
          <w:szCs w:val="22"/>
        </w:rPr>
        <w:t>žvyneline</w:t>
      </w:r>
      <w:r w:rsidRPr="00B4100D">
        <w:rPr>
          <w:sz w:val="22"/>
          <w:szCs w:val="22"/>
        </w:rPr>
        <w:t xml:space="preserve"> (raudoni žvynuoti </w:t>
      </w:r>
      <w:r w:rsidR="000401E0" w:rsidRPr="00B4100D">
        <w:rPr>
          <w:sz w:val="22"/>
          <w:szCs w:val="22"/>
        </w:rPr>
        <w:t>lopai</w:t>
      </w:r>
      <w:r w:rsidRPr="00B4100D">
        <w:rPr>
          <w:sz w:val="22"/>
          <w:szCs w:val="22"/>
        </w:rPr>
        <w:t xml:space="preserve"> ant odos, dažniausiai pažeidžiantys kelius, alkūnes ir galvos odą)</w:t>
      </w:r>
      <w:r w:rsidR="000401E0" w:rsidRPr="00B4100D">
        <w:rPr>
          <w:sz w:val="22"/>
          <w:szCs w:val="22"/>
        </w:rPr>
        <w:t>;</w:t>
      </w:r>
    </w:p>
    <w:p w14:paraId="51006FBB" w14:textId="77777777" w:rsidR="00CE09CD" w:rsidRPr="00B4100D" w:rsidRDefault="000401E0" w:rsidP="009C3222">
      <w:pPr>
        <w:numPr>
          <w:ilvl w:val="0"/>
          <w:numId w:val="14"/>
        </w:numPr>
        <w:tabs>
          <w:tab w:val="clear" w:pos="207"/>
          <w:tab w:val="num" w:pos="567"/>
        </w:tabs>
        <w:ind w:left="567"/>
        <w:rPr>
          <w:sz w:val="22"/>
          <w:szCs w:val="22"/>
        </w:rPr>
      </w:pPr>
      <w:r w:rsidRPr="00B4100D">
        <w:rPr>
          <w:sz w:val="22"/>
          <w:szCs w:val="22"/>
        </w:rPr>
        <w:t>a</w:t>
      </w:r>
      <w:r w:rsidR="00CE09CD" w:rsidRPr="00B4100D">
        <w:rPr>
          <w:sz w:val="22"/>
          <w:szCs w:val="22"/>
        </w:rPr>
        <w:t xml:space="preserve">nksčiau blogai reagavote į </w:t>
      </w:r>
      <w:r w:rsidRPr="00B4100D">
        <w:rPr>
          <w:sz w:val="22"/>
          <w:szCs w:val="22"/>
        </w:rPr>
        <w:t>kv</w:t>
      </w:r>
      <w:r w:rsidR="00CE09CD" w:rsidRPr="00B4100D">
        <w:rPr>
          <w:sz w:val="22"/>
          <w:szCs w:val="22"/>
        </w:rPr>
        <w:t>ininą</w:t>
      </w:r>
      <w:r w:rsidRPr="00B4100D">
        <w:rPr>
          <w:sz w:val="22"/>
          <w:szCs w:val="22"/>
        </w:rPr>
        <w:t>;</w:t>
      </w:r>
    </w:p>
    <w:p w14:paraId="18CB2F1B" w14:textId="77777777" w:rsidR="00CE09CD" w:rsidRPr="00B4100D" w:rsidRDefault="00CE09CD" w:rsidP="009C3222">
      <w:pPr>
        <w:numPr>
          <w:ilvl w:val="0"/>
          <w:numId w:val="14"/>
        </w:numPr>
        <w:tabs>
          <w:tab w:val="clear" w:pos="207"/>
          <w:tab w:val="num" w:pos="567"/>
        </w:tabs>
        <w:ind w:left="567"/>
        <w:rPr>
          <w:sz w:val="22"/>
          <w:szCs w:val="22"/>
        </w:rPr>
      </w:pPr>
      <w:r w:rsidRPr="00B4100D">
        <w:rPr>
          <w:sz w:val="22"/>
          <w:szCs w:val="22"/>
        </w:rPr>
        <w:t>turite genetinę būklę, vadinamą gliukozės-6-dehidrogenazės trūkumu</w:t>
      </w:r>
      <w:r w:rsidR="000401E0" w:rsidRPr="00B4100D">
        <w:rPr>
          <w:sz w:val="22"/>
          <w:szCs w:val="22"/>
        </w:rPr>
        <w:t>;</w:t>
      </w:r>
    </w:p>
    <w:p w14:paraId="45DACDF0" w14:textId="597B70EA" w:rsidR="00CE09CD" w:rsidRPr="00B4100D" w:rsidRDefault="00CE09CD" w:rsidP="009C3222">
      <w:pPr>
        <w:numPr>
          <w:ilvl w:val="0"/>
          <w:numId w:val="14"/>
        </w:numPr>
        <w:tabs>
          <w:tab w:val="clear" w:pos="207"/>
          <w:tab w:val="num" w:pos="567"/>
        </w:tabs>
        <w:ind w:left="567"/>
        <w:rPr>
          <w:sz w:val="22"/>
          <w:szCs w:val="22"/>
        </w:rPr>
      </w:pPr>
      <w:r w:rsidRPr="00B4100D">
        <w:rPr>
          <w:sz w:val="22"/>
          <w:szCs w:val="22"/>
        </w:rPr>
        <w:t xml:space="preserve">sergate reta liga, vadinama porfirija, kuri paveikia </w:t>
      </w:r>
      <w:r w:rsidR="009C6A7D" w:rsidRPr="00B4100D">
        <w:rPr>
          <w:sz w:val="22"/>
          <w:szCs w:val="22"/>
        </w:rPr>
        <w:t xml:space="preserve">Jūsų </w:t>
      </w:r>
      <w:r w:rsidRPr="00B4100D">
        <w:rPr>
          <w:sz w:val="22"/>
          <w:szCs w:val="22"/>
        </w:rPr>
        <w:t>medžiagų apykaitą</w:t>
      </w:r>
      <w:r w:rsidR="000401E0" w:rsidRPr="00B4100D">
        <w:rPr>
          <w:sz w:val="22"/>
          <w:szCs w:val="22"/>
        </w:rPr>
        <w:t>;</w:t>
      </w:r>
    </w:p>
    <w:p w14:paraId="6D32B507" w14:textId="4C1B37CD" w:rsidR="000612F5" w:rsidRDefault="00B14844" w:rsidP="009C3222">
      <w:pPr>
        <w:numPr>
          <w:ilvl w:val="0"/>
          <w:numId w:val="14"/>
        </w:numPr>
        <w:tabs>
          <w:tab w:val="clear" w:pos="207"/>
          <w:tab w:val="num" w:pos="567"/>
        </w:tabs>
        <w:ind w:left="567"/>
        <w:rPr>
          <w:sz w:val="22"/>
          <w:szCs w:val="22"/>
        </w:rPr>
      </w:pPr>
      <w:r>
        <w:rPr>
          <w:sz w:val="22"/>
          <w:szCs w:val="22"/>
        </w:rPr>
        <w:t xml:space="preserve">yra </w:t>
      </w:r>
      <w:r w:rsidR="000612F5" w:rsidRPr="000612F5">
        <w:rPr>
          <w:sz w:val="22"/>
          <w:szCs w:val="22"/>
        </w:rPr>
        <w:t>neaktyvi lėtin</w:t>
      </w:r>
      <w:r>
        <w:rPr>
          <w:sz w:val="22"/>
          <w:szCs w:val="22"/>
        </w:rPr>
        <w:t>ė</w:t>
      </w:r>
      <w:r w:rsidR="000612F5" w:rsidRPr="000612F5">
        <w:rPr>
          <w:sz w:val="22"/>
          <w:szCs w:val="22"/>
        </w:rPr>
        <w:t xml:space="preserve"> hepatito B viruso infekcija</w:t>
      </w:r>
      <w:r>
        <w:rPr>
          <w:sz w:val="22"/>
          <w:szCs w:val="22"/>
        </w:rPr>
        <w:t>;</w:t>
      </w:r>
    </w:p>
    <w:p w14:paraId="761B53B0" w14:textId="1D6B9430" w:rsidR="0029241F" w:rsidRPr="00B4100D" w:rsidRDefault="00371EFE" w:rsidP="009C3222">
      <w:pPr>
        <w:numPr>
          <w:ilvl w:val="0"/>
          <w:numId w:val="14"/>
        </w:numPr>
        <w:tabs>
          <w:tab w:val="clear" w:pos="207"/>
          <w:tab w:val="num" w:pos="567"/>
        </w:tabs>
        <w:ind w:left="567"/>
        <w:rPr>
          <w:sz w:val="22"/>
          <w:szCs w:val="22"/>
        </w:rPr>
      </w:pPr>
      <w:r w:rsidRPr="00B4100D">
        <w:rPr>
          <w:sz w:val="22"/>
          <w:szCs w:val="22"/>
        </w:rPr>
        <w:t>h</w:t>
      </w:r>
      <w:r w:rsidR="00CE09CD" w:rsidRPr="00B4100D">
        <w:rPr>
          <w:sz w:val="22"/>
          <w:szCs w:val="22"/>
        </w:rPr>
        <w:t>idroksichlorokvinas gali sumažinti gliukozės kiekį kraujyje.</w:t>
      </w:r>
      <w:r w:rsidR="00CE09CD" w:rsidRPr="00B4100D">
        <w:t xml:space="preserve"> </w:t>
      </w:r>
      <w:r w:rsidR="00CE09CD" w:rsidRPr="00B4100D">
        <w:rPr>
          <w:sz w:val="22"/>
          <w:szCs w:val="22"/>
        </w:rPr>
        <w:t xml:space="preserve">Paprašykite savo gydytojo </w:t>
      </w:r>
      <w:r w:rsidR="000401E0" w:rsidRPr="00B4100D">
        <w:rPr>
          <w:sz w:val="22"/>
          <w:szCs w:val="22"/>
        </w:rPr>
        <w:t>su</w:t>
      </w:r>
      <w:r w:rsidR="00537B28" w:rsidRPr="00B4100D">
        <w:rPr>
          <w:sz w:val="22"/>
          <w:szCs w:val="22"/>
        </w:rPr>
        <w:t>p</w:t>
      </w:r>
      <w:r w:rsidR="000401E0" w:rsidRPr="00B4100D">
        <w:rPr>
          <w:sz w:val="22"/>
          <w:szCs w:val="22"/>
        </w:rPr>
        <w:t>a</w:t>
      </w:r>
      <w:r w:rsidR="00537B28" w:rsidRPr="00B4100D">
        <w:rPr>
          <w:sz w:val="22"/>
          <w:szCs w:val="22"/>
        </w:rPr>
        <w:t>ž</w:t>
      </w:r>
      <w:r w:rsidR="000401E0" w:rsidRPr="00B4100D">
        <w:rPr>
          <w:sz w:val="22"/>
          <w:szCs w:val="22"/>
        </w:rPr>
        <w:t>indinti</w:t>
      </w:r>
      <w:r w:rsidR="00CE09CD" w:rsidRPr="00B4100D">
        <w:rPr>
          <w:sz w:val="22"/>
          <w:szCs w:val="22"/>
        </w:rPr>
        <w:t xml:space="preserve"> </w:t>
      </w:r>
      <w:r w:rsidR="000401E0" w:rsidRPr="00B4100D">
        <w:rPr>
          <w:sz w:val="22"/>
          <w:szCs w:val="22"/>
        </w:rPr>
        <w:t>J</w:t>
      </w:r>
      <w:r w:rsidR="00CE09CD" w:rsidRPr="00B4100D">
        <w:rPr>
          <w:sz w:val="22"/>
          <w:szCs w:val="22"/>
        </w:rPr>
        <w:t xml:space="preserve">us </w:t>
      </w:r>
      <w:r w:rsidR="000401E0" w:rsidRPr="00B4100D">
        <w:rPr>
          <w:sz w:val="22"/>
          <w:szCs w:val="22"/>
        </w:rPr>
        <w:t>su</w:t>
      </w:r>
      <w:r w:rsidR="00CE09CD" w:rsidRPr="00B4100D">
        <w:rPr>
          <w:sz w:val="22"/>
          <w:szCs w:val="22"/>
        </w:rPr>
        <w:t xml:space="preserve"> žemo gliukozės kiekio kraujyje požymi</w:t>
      </w:r>
      <w:r w:rsidR="000401E0" w:rsidRPr="00B4100D">
        <w:rPr>
          <w:sz w:val="22"/>
          <w:szCs w:val="22"/>
        </w:rPr>
        <w:t>ai</w:t>
      </w:r>
      <w:r w:rsidR="00CE09CD" w:rsidRPr="00B4100D">
        <w:rPr>
          <w:sz w:val="22"/>
          <w:szCs w:val="22"/>
        </w:rPr>
        <w:t>s ir simptom</w:t>
      </w:r>
      <w:r w:rsidR="000401E0" w:rsidRPr="00B4100D">
        <w:rPr>
          <w:sz w:val="22"/>
          <w:szCs w:val="22"/>
        </w:rPr>
        <w:t>ai</w:t>
      </w:r>
      <w:r w:rsidR="00CE09CD" w:rsidRPr="00B4100D">
        <w:rPr>
          <w:sz w:val="22"/>
          <w:szCs w:val="22"/>
        </w:rPr>
        <w:t>s. Gali prireikti patikrinti gliukozės kiekį kraujyje</w:t>
      </w:r>
      <w:r w:rsidR="00C82B19">
        <w:rPr>
          <w:sz w:val="22"/>
          <w:szCs w:val="22"/>
        </w:rPr>
        <w:t>.</w:t>
      </w:r>
    </w:p>
    <w:p w14:paraId="07D3AB8A" w14:textId="4320AB89" w:rsidR="00C82B19" w:rsidRPr="00C82B19" w:rsidRDefault="00C82B19" w:rsidP="009C3222">
      <w:pPr>
        <w:numPr>
          <w:ilvl w:val="0"/>
          <w:numId w:val="14"/>
        </w:numPr>
        <w:tabs>
          <w:tab w:val="clear" w:pos="207"/>
          <w:tab w:val="num" w:pos="567"/>
        </w:tabs>
        <w:ind w:left="567"/>
        <w:rPr>
          <w:sz w:val="22"/>
          <w:szCs w:val="22"/>
        </w:rPr>
      </w:pPr>
      <w:r w:rsidRPr="00C82B19">
        <w:rPr>
          <w:sz w:val="22"/>
          <w:szCs w:val="22"/>
        </w:rPr>
        <w:t>Kai kuriems Hydroxychloroquine sulfate Accord gydomiems žmonėms, net ir tiems, kurie anksčiau nėra buvę panašių negalavimų, gali pasireikšti psichikos sveikatos sutrikimų, pvz., minčių neracionalumas, nerima</w:t>
      </w:r>
      <w:r>
        <w:rPr>
          <w:sz w:val="22"/>
          <w:szCs w:val="22"/>
        </w:rPr>
        <w:t>s</w:t>
      </w:r>
      <w:r w:rsidRPr="00C82B19">
        <w:rPr>
          <w:sz w:val="22"/>
          <w:szCs w:val="22"/>
        </w:rPr>
        <w:t>, haliucinacijos, sumišimo jausmas arba prislėgta nuotaika, įskaitant mintis apie savęs žalojimą (savižalą) arba savižudybę. Jeigu Jūs pats (-i) arba Jūsų artimieji pastebėtų bent vieną iš šių šalutinio poveikio reiškinių (žr. 4 skyrių), skubiai kreipkitės į gydytoją.</w:t>
      </w:r>
    </w:p>
    <w:p w14:paraId="63E1A5D1" w14:textId="6F869D19" w:rsidR="00A12722" w:rsidRDefault="00A12722" w:rsidP="009C3222">
      <w:pPr>
        <w:numPr>
          <w:ilvl w:val="0"/>
          <w:numId w:val="14"/>
        </w:numPr>
        <w:tabs>
          <w:tab w:val="clear" w:pos="207"/>
          <w:tab w:val="num" w:pos="567"/>
        </w:tabs>
        <w:ind w:left="567"/>
        <w:rPr>
          <w:sz w:val="22"/>
          <w:szCs w:val="22"/>
        </w:rPr>
      </w:pPr>
      <w:r w:rsidRPr="00A12722">
        <w:rPr>
          <w:sz w:val="22"/>
          <w:szCs w:val="22"/>
        </w:rPr>
        <w:t>Pranešta apie su hidroksichlorokvino vartojimu susijusį sunkų odos išbėrimą (žr. 4 skyrių</w:t>
      </w:r>
      <w:r>
        <w:rPr>
          <w:sz w:val="22"/>
          <w:szCs w:val="22"/>
        </w:rPr>
        <w:t xml:space="preserve"> </w:t>
      </w:r>
      <w:r w:rsidRPr="00A12722">
        <w:rPr>
          <w:sz w:val="22"/>
          <w:szCs w:val="22"/>
        </w:rPr>
        <w:t>„Galimas šalutinis poveikis“). Dažnai išbėrimas gali pasireikšti kartu su burnos, gerklės, nosies</w:t>
      </w:r>
      <w:r>
        <w:rPr>
          <w:sz w:val="22"/>
          <w:szCs w:val="22"/>
        </w:rPr>
        <w:t xml:space="preserve"> </w:t>
      </w:r>
      <w:r w:rsidRPr="00A12722">
        <w:rPr>
          <w:sz w:val="22"/>
          <w:szCs w:val="22"/>
        </w:rPr>
        <w:t>ar lytinių organų išopėjimu ir konjunktyvitu (akių paraudimu ir patinimu). Prieš tokį sunkų</w:t>
      </w:r>
      <w:r>
        <w:rPr>
          <w:sz w:val="22"/>
          <w:szCs w:val="22"/>
        </w:rPr>
        <w:t xml:space="preserve"> </w:t>
      </w:r>
      <w:r w:rsidRPr="00A12722">
        <w:rPr>
          <w:sz w:val="22"/>
          <w:szCs w:val="22"/>
        </w:rPr>
        <w:t>odos išbėrimą dažnai pasireiškia į gripą panašių simptomų, tokių kaip karščiavimas, galvos</w:t>
      </w:r>
      <w:r>
        <w:rPr>
          <w:sz w:val="22"/>
          <w:szCs w:val="22"/>
        </w:rPr>
        <w:t xml:space="preserve"> </w:t>
      </w:r>
      <w:r w:rsidRPr="00A12722">
        <w:rPr>
          <w:sz w:val="22"/>
          <w:szCs w:val="22"/>
        </w:rPr>
        <w:t>skausmas ir viso kūno maudimas. Išbėrimas gali progresuoti iki išplitusio pūslių atsiradimo ir</w:t>
      </w:r>
      <w:r>
        <w:rPr>
          <w:sz w:val="22"/>
          <w:szCs w:val="22"/>
        </w:rPr>
        <w:t xml:space="preserve"> </w:t>
      </w:r>
      <w:r w:rsidRPr="00A12722">
        <w:rPr>
          <w:sz w:val="22"/>
          <w:szCs w:val="22"/>
        </w:rPr>
        <w:t>odos lupimosi. Jeigu</w:t>
      </w:r>
      <w:r>
        <w:rPr>
          <w:sz w:val="22"/>
          <w:szCs w:val="22"/>
        </w:rPr>
        <w:t xml:space="preserve"> </w:t>
      </w:r>
      <w:r w:rsidRPr="00A12722">
        <w:rPr>
          <w:sz w:val="22"/>
          <w:szCs w:val="22"/>
        </w:rPr>
        <w:t>Jums atsiranda tokių odos simptomų, nutraukite hidroksichlorokvino</w:t>
      </w:r>
      <w:r>
        <w:rPr>
          <w:sz w:val="22"/>
          <w:szCs w:val="22"/>
        </w:rPr>
        <w:t xml:space="preserve"> </w:t>
      </w:r>
      <w:r w:rsidRPr="00A12722">
        <w:rPr>
          <w:sz w:val="22"/>
          <w:szCs w:val="22"/>
        </w:rPr>
        <w:t>vartojimą ir nedelsdami kreipkitės į gydytoją.</w:t>
      </w:r>
    </w:p>
    <w:p w14:paraId="37AAE69C" w14:textId="77777777" w:rsidR="00C82B19" w:rsidRPr="00B4100D" w:rsidRDefault="00C82B19" w:rsidP="009C3222">
      <w:pPr>
        <w:pStyle w:val="BTEMEASMCA"/>
        <w:numPr>
          <w:ilvl w:val="0"/>
          <w:numId w:val="14"/>
        </w:numPr>
        <w:tabs>
          <w:tab w:val="clear" w:pos="207"/>
        </w:tabs>
        <w:ind w:left="567"/>
      </w:pPr>
      <w:r w:rsidRPr="00B4100D">
        <w:t>Kai kuriems pacientams Hydroxychloroquine sulfate Accord gali sukelti širdies ritmo sutrikimus: Hydroxychloroquine sulfate Accord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 žr. poskyrį „Kiti vaistai ir Hydroxychloroquine sulfate Accord“). Jeigu gydymo laikotarpiu Jums pasireiškė stiprus juntamas širdies plakimas (palpitacija) arba nereguliarus širdies plakimas, nedelsdami apie tai turite pranešti gydytojui. Širdies sutrikimų rizika gali padidėti didėjant vaisto dozei. Todėl reikia laikytis dozavimo rekomendacijų.</w:t>
      </w:r>
    </w:p>
    <w:p w14:paraId="0B744AB7" w14:textId="77777777" w:rsidR="00A12722" w:rsidRPr="00B4100D" w:rsidRDefault="00A12722" w:rsidP="004064E5">
      <w:pPr>
        <w:tabs>
          <w:tab w:val="num" w:pos="720"/>
        </w:tabs>
        <w:rPr>
          <w:sz w:val="22"/>
          <w:szCs w:val="22"/>
        </w:rPr>
      </w:pPr>
    </w:p>
    <w:p w14:paraId="77C76FC3" w14:textId="77777777" w:rsidR="000401E0" w:rsidRPr="00B4100D" w:rsidRDefault="00986560" w:rsidP="006E671E">
      <w:pPr>
        <w:pStyle w:val="BTEMEASMCA"/>
        <w:rPr>
          <w:b/>
          <w:bCs/>
        </w:rPr>
      </w:pPr>
      <w:r w:rsidRPr="00B4100D">
        <w:rPr>
          <w:b/>
          <w:bCs/>
        </w:rPr>
        <w:t xml:space="preserve">Prieš pradedant </w:t>
      </w:r>
      <w:r w:rsidR="000401E0" w:rsidRPr="00B4100D">
        <w:rPr>
          <w:b/>
          <w:bCs/>
        </w:rPr>
        <w:t>gydymą</w:t>
      </w:r>
      <w:r w:rsidRPr="00B4100D">
        <w:rPr>
          <w:b/>
          <w:bCs/>
        </w:rPr>
        <w:t xml:space="preserve"> </w:t>
      </w:r>
      <w:r w:rsidR="0061121A" w:rsidRPr="00B4100D">
        <w:rPr>
          <w:b/>
          <w:bCs/>
        </w:rPr>
        <w:t>Hydroxychloroquine sulfate Accord</w:t>
      </w:r>
    </w:p>
    <w:p w14:paraId="69295E88" w14:textId="4E144F44" w:rsidR="00C82B19" w:rsidRDefault="00B6322B" w:rsidP="009C3222">
      <w:pPr>
        <w:pStyle w:val="BTEMEASMCA"/>
        <w:numPr>
          <w:ilvl w:val="0"/>
          <w:numId w:val="15"/>
        </w:numPr>
        <w:ind w:left="567" w:hanging="567"/>
      </w:pPr>
      <w:r w:rsidRPr="00B4100D">
        <w:t xml:space="preserve">Prieš </w:t>
      </w:r>
      <w:r w:rsidR="00371EFE" w:rsidRPr="00B4100D">
        <w:t xml:space="preserve">Jums </w:t>
      </w:r>
      <w:r w:rsidRPr="00B4100D">
        <w:t>prad</w:t>
      </w:r>
      <w:r w:rsidR="00371EFE" w:rsidRPr="00B4100D">
        <w:t>edant</w:t>
      </w:r>
      <w:r w:rsidRPr="00B4100D">
        <w:t xml:space="preserve"> vartoti šį vai</w:t>
      </w:r>
      <w:r w:rsidR="00537B28" w:rsidRPr="00B4100D">
        <w:t>s</w:t>
      </w:r>
      <w:r w:rsidRPr="00B4100D">
        <w:t>tą</w:t>
      </w:r>
      <w:r w:rsidR="00986560" w:rsidRPr="00B4100D">
        <w:t xml:space="preserve">, </w:t>
      </w:r>
      <w:r w:rsidR="00371EFE" w:rsidRPr="00B4100D">
        <w:t xml:space="preserve">gydytojas patikrins Jūsų akis, kad nustatytų ar nėra kokių </w:t>
      </w:r>
      <w:r w:rsidR="00545670" w:rsidRPr="00B4100D">
        <w:t xml:space="preserve">nukrypimų nuo normos. Ilgai vartojant šį vaistą, šį akių patikrinimą </w:t>
      </w:r>
      <w:r w:rsidR="00C82B19" w:rsidRPr="00B4100D">
        <w:t>reik</w:t>
      </w:r>
      <w:r w:rsidR="00C82B19">
        <w:t>ia</w:t>
      </w:r>
      <w:r w:rsidR="00C82B19" w:rsidRPr="00B4100D">
        <w:t xml:space="preserve"> </w:t>
      </w:r>
      <w:r w:rsidR="00545670" w:rsidRPr="00B4100D">
        <w:t>kartoti, mažiausiai kas 6 mėnesius, k</w:t>
      </w:r>
      <w:r w:rsidRPr="00B4100D">
        <w:t>ol vartosite Hydroxychloroquine sulfate Accord</w:t>
      </w:r>
      <w:r w:rsidR="00545670" w:rsidRPr="00B4100D">
        <w:t xml:space="preserve">. </w:t>
      </w:r>
    </w:p>
    <w:p w14:paraId="221838DC" w14:textId="6FF99FF7" w:rsidR="00545670" w:rsidRPr="00B4100D" w:rsidRDefault="00986560" w:rsidP="009C3222">
      <w:pPr>
        <w:pStyle w:val="BTEMEASMCA"/>
        <w:numPr>
          <w:ilvl w:val="0"/>
          <w:numId w:val="15"/>
        </w:numPr>
        <w:ind w:left="567" w:hanging="567"/>
      </w:pPr>
      <w:r w:rsidRPr="00B4100D">
        <w:t>Jeigu Jūs esate vyresnis nei 65 metų</w:t>
      </w:r>
      <w:r w:rsidR="00A7349C" w:rsidRPr="00B4100D">
        <w:t>,</w:t>
      </w:r>
      <w:r w:rsidRPr="00B4100D">
        <w:t xml:space="preserve"> vartojate </w:t>
      </w:r>
      <w:r w:rsidR="00B6322B" w:rsidRPr="00B4100D">
        <w:t>didelę dozę (2 tabletes per parą)</w:t>
      </w:r>
      <w:r w:rsidRPr="00B4100D">
        <w:t xml:space="preserve"> </w:t>
      </w:r>
      <w:r w:rsidR="00B6322B" w:rsidRPr="00B4100D">
        <w:t>arba sergate inkstų liga</w:t>
      </w:r>
      <w:r w:rsidRPr="00B4100D">
        <w:t xml:space="preserve">, </w:t>
      </w:r>
      <w:r w:rsidR="00B6322B" w:rsidRPr="00B4100D">
        <w:t>šis</w:t>
      </w:r>
      <w:r w:rsidRPr="00B4100D">
        <w:t xml:space="preserve"> </w:t>
      </w:r>
      <w:r w:rsidR="00545670" w:rsidRPr="00B4100D">
        <w:t>patikrinimas</w:t>
      </w:r>
      <w:r w:rsidRPr="00B4100D">
        <w:t xml:space="preserve"> turi būti atliekamas dažniau.</w:t>
      </w:r>
      <w:r w:rsidR="00545670" w:rsidRPr="00B4100D">
        <w:t xml:space="preserve"> </w:t>
      </w:r>
    </w:p>
    <w:p w14:paraId="164A172E" w14:textId="77777777" w:rsidR="00CA2561" w:rsidRPr="00B4100D" w:rsidRDefault="00545670" w:rsidP="006E671E">
      <w:pPr>
        <w:pStyle w:val="BTEMEASMCA"/>
      </w:pPr>
      <w:r w:rsidRPr="00B4100D">
        <w:lastRenderedPageBreak/>
        <w:t xml:space="preserve">Jei nesate tikri, ar kuris nors iš ankščiau išvardytų punktų tinka Jums, prieš vartodami Hydroxychloroquine sulfate Accord pasitarkite su gydytoju arba vaistininku. </w:t>
      </w:r>
    </w:p>
    <w:p w14:paraId="093D8FFB" w14:textId="77777777" w:rsidR="00447909" w:rsidRPr="00B4100D" w:rsidRDefault="00447909" w:rsidP="006E671E">
      <w:pPr>
        <w:pStyle w:val="BTEMEASMCA"/>
      </w:pPr>
    </w:p>
    <w:p w14:paraId="3A2AB918" w14:textId="77777777" w:rsidR="00986560" w:rsidRPr="00B4100D" w:rsidRDefault="00986560" w:rsidP="00BE4841">
      <w:pPr>
        <w:rPr>
          <w:b/>
        </w:rPr>
      </w:pPr>
      <w:r w:rsidRPr="00B4100D">
        <w:rPr>
          <w:b/>
          <w:sz w:val="22"/>
          <w:szCs w:val="22"/>
        </w:rPr>
        <w:t xml:space="preserve">Vaikams </w:t>
      </w:r>
    </w:p>
    <w:p w14:paraId="140BB220" w14:textId="77777777" w:rsidR="00986560" w:rsidRPr="00B4100D" w:rsidRDefault="00986560" w:rsidP="00C475DF">
      <w:pPr>
        <w:pStyle w:val="BTEMEASMCA"/>
      </w:pPr>
      <w:r w:rsidRPr="00B4100D">
        <w:t xml:space="preserve">Vaikams iki 6 metų </w:t>
      </w:r>
      <w:r w:rsidR="00545670" w:rsidRPr="00B4100D">
        <w:t>i</w:t>
      </w:r>
      <w:r w:rsidR="00AA74AF" w:rsidRPr="00B4100D">
        <w:t>r sveriantiems mažiau kaip 31</w:t>
      </w:r>
      <w:r w:rsidR="00545670" w:rsidRPr="00B4100D">
        <w:t> </w:t>
      </w:r>
      <w:r w:rsidR="00AA74AF" w:rsidRPr="00B4100D">
        <w:t>kg Hydroxychloroquine sulfate Accord vartoti negalima. Maži vaikai yra ypatingai jautrūs toksiniam chinolonų poveikiui, todėl Hydroxychloroquine sulfate Accord turi būti laikomas vaikams nepasiekiamoje vietoje.</w:t>
      </w:r>
    </w:p>
    <w:p w14:paraId="1FBD3863" w14:textId="77777777" w:rsidR="00986560" w:rsidRPr="00B4100D" w:rsidRDefault="00986560" w:rsidP="00CA2561">
      <w:pPr>
        <w:pStyle w:val="BTEMEASMCA"/>
      </w:pPr>
    </w:p>
    <w:p w14:paraId="392901BC" w14:textId="77777777" w:rsidR="00986560" w:rsidRPr="00B4100D" w:rsidRDefault="00986560" w:rsidP="00986560">
      <w:pPr>
        <w:pStyle w:val="PI-3EMEASMCA"/>
      </w:pPr>
      <w:r w:rsidRPr="00B4100D">
        <w:t xml:space="preserve">Kiti vaistai ir </w:t>
      </w:r>
      <w:r w:rsidR="0061121A" w:rsidRPr="00B4100D">
        <w:t>Hydroxychloroquine sulfate Accord</w:t>
      </w:r>
    </w:p>
    <w:p w14:paraId="753465FB" w14:textId="78125294" w:rsidR="00986560" w:rsidRDefault="00986560" w:rsidP="006E671E">
      <w:pPr>
        <w:pStyle w:val="BTEMEASMCA"/>
        <w:rPr>
          <w:color w:val="222222"/>
        </w:rPr>
      </w:pPr>
      <w:r w:rsidRPr="00B4100D">
        <w:t>Jeigu vartojate arba neseniai vartojote kitų vaistų</w:t>
      </w:r>
      <w:r w:rsidR="00DE4D69" w:rsidRPr="00DE4D69">
        <w:t>, įskaitant įsigytus be recepto,</w:t>
      </w:r>
      <w:r w:rsidRPr="00B4100D">
        <w:t xml:space="preserve"> arba dėl to nesate tikri, apie tai pasakykite gydytojui arba vaistininkui</w:t>
      </w:r>
      <w:r w:rsidR="00B7209D" w:rsidRPr="00B4100D">
        <w:rPr>
          <w:color w:val="222222"/>
        </w:rPr>
        <w:t>.</w:t>
      </w:r>
      <w:r w:rsidR="00DE4D69" w:rsidRPr="00DE4D69">
        <w:t xml:space="preserve"> </w:t>
      </w:r>
      <w:r w:rsidR="00DE4D69" w:rsidRPr="00DE4D69">
        <w:rPr>
          <w:color w:val="222222"/>
        </w:rPr>
        <w:t>Ypač svarbu, jei vartojate toliau išvardintų vaistų</w:t>
      </w:r>
      <w:r w:rsidR="00DE4D69">
        <w:rPr>
          <w:color w:val="222222"/>
        </w:rPr>
        <w:t>.</w:t>
      </w:r>
    </w:p>
    <w:p w14:paraId="5087631C" w14:textId="77777777" w:rsidR="00DE4D69" w:rsidRPr="00B4100D" w:rsidRDefault="00DE4D69" w:rsidP="006E671E">
      <w:pPr>
        <w:pStyle w:val="BTEMEASMCA"/>
      </w:pPr>
    </w:p>
    <w:p w14:paraId="77E7D59B"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Insulinas ar kiti vaistai nuo diabeto</w:t>
      </w:r>
      <w:r>
        <w:rPr>
          <w:sz w:val="22"/>
          <w:szCs w:val="22"/>
        </w:rPr>
        <w:t>.</w:t>
      </w:r>
    </w:p>
    <w:p w14:paraId="13FA972B"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maliarijos, pvz., meflokvin</w:t>
      </w:r>
      <w:r>
        <w:rPr>
          <w:sz w:val="22"/>
          <w:szCs w:val="22"/>
        </w:rPr>
        <w:t>as</w:t>
      </w:r>
      <w:r w:rsidRPr="00EE1857">
        <w:rPr>
          <w:sz w:val="22"/>
          <w:szCs w:val="22"/>
        </w:rPr>
        <w:t xml:space="preserve"> (nes gali padidėti traukulių rizika)</w:t>
      </w:r>
      <w:r>
        <w:rPr>
          <w:sz w:val="22"/>
          <w:szCs w:val="22"/>
        </w:rPr>
        <w:t>.</w:t>
      </w:r>
    </w:p>
    <w:p w14:paraId="0F8609D7"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epilepsijos (traukulių), ypač fenobarbitalis, fenitoinas, karbamazepinas</w:t>
      </w:r>
      <w:r>
        <w:rPr>
          <w:sz w:val="22"/>
          <w:szCs w:val="22"/>
        </w:rPr>
        <w:t>.</w:t>
      </w:r>
    </w:p>
    <w:p w14:paraId="24343FF2"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Vaistai, veikiantys odą, kraują arba akis</w:t>
      </w:r>
      <w:r>
        <w:rPr>
          <w:sz w:val="22"/>
          <w:szCs w:val="22"/>
        </w:rPr>
        <w:t>.</w:t>
      </w:r>
    </w:p>
    <w:p w14:paraId="0385DB4B"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Tamoksifenas, vartojamas krūties vėžiui gydyti</w:t>
      </w:r>
      <w:r>
        <w:rPr>
          <w:sz w:val="22"/>
          <w:szCs w:val="22"/>
        </w:rPr>
        <w:t>.</w:t>
      </w:r>
    </w:p>
    <w:p w14:paraId="413A7E73"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 xml:space="preserve">Agalsidazė (vartojama nuo retos ligos, vadinamos </w:t>
      </w:r>
      <w:r w:rsidRPr="00A9690A">
        <w:rPr>
          <w:i/>
          <w:iCs/>
          <w:sz w:val="22"/>
          <w:szCs w:val="22"/>
        </w:rPr>
        <w:t>Fabry</w:t>
      </w:r>
      <w:r w:rsidRPr="00EE1857">
        <w:rPr>
          <w:sz w:val="22"/>
          <w:szCs w:val="22"/>
        </w:rPr>
        <w:t xml:space="preserve"> liga).</w:t>
      </w:r>
    </w:p>
    <w:p w14:paraId="7C11D013" w14:textId="1D3631FB"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bakterinių infekcijų (toki</w:t>
      </w:r>
      <w:r>
        <w:rPr>
          <w:sz w:val="22"/>
          <w:szCs w:val="22"/>
        </w:rPr>
        <w:t>e</w:t>
      </w:r>
      <w:r w:rsidRPr="00EE1857">
        <w:rPr>
          <w:sz w:val="22"/>
          <w:szCs w:val="22"/>
        </w:rPr>
        <w:t xml:space="preserve"> kaip rifampicinas, klaritromicinas</w:t>
      </w:r>
      <w:r>
        <w:rPr>
          <w:sz w:val="22"/>
          <w:szCs w:val="22"/>
        </w:rPr>
        <w:t>, moksifloksacinas, azitromicinas</w:t>
      </w:r>
      <w:r w:rsidRPr="00EE1857">
        <w:rPr>
          <w:sz w:val="22"/>
          <w:szCs w:val="22"/>
        </w:rPr>
        <w:t xml:space="preserve"> ir vadinamieji amino</w:t>
      </w:r>
      <w:r>
        <w:rPr>
          <w:sz w:val="22"/>
          <w:szCs w:val="22"/>
        </w:rPr>
        <w:t>z</w:t>
      </w:r>
      <w:r w:rsidRPr="00EE1857">
        <w:rPr>
          <w:sz w:val="22"/>
          <w:szCs w:val="22"/>
        </w:rPr>
        <w:t>idai, tokie kaip gentamicinas, neomicinas ar tobramicinas)</w:t>
      </w:r>
      <w:r>
        <w:rPr>
          <w:sz w:val="22"/>
          <w:szCs w:val="22"/>
        </w:rPr>
        <w:t>.</w:t>
      </w:r>
    </w:p>
    <w:p w14:paraId="526861FC"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Cimetidinas</w:t>
      </w:r>
      <w:r>
        <w:rPr>
          <w:sz w:val="22"/>
          <w:szCs w:val="22"/>
        </w:rPr>
        <w:t xml:space="preserve">, </w:t>
      </w:r>
      <w:r w:rsidRPr="00EE1857">
        <w:rPr>
          <w:sz w:val="22"/>
          <w:szCs w:val="22"/>
        </w:rPr>
        <w:t>vartojamas skrandžio opoms gydyti</w:t>
      </w:r>
      <w:r>
        <w:rPr>
          <w:sz w:val="22"/>
          <w:szCs w:val="22"/>
        </w:rPr>
        <w:t>.</w:t>
      </w:r>
    </w:p>
    <w:p w14:paraId="0983EEC5"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Neostigminas ir piridostigminas</w:t>
      </w:r>
      <w:r>
        <w:rPr>
          <w:sz w:val="22"/>
          <w:szCs w:val="22"/>
        </w:rPr>
        <w:t xml:space="preserve">, </w:t>
      </w:r>
      <w:r w:rsidRPr="00EE1857">
        <w:rPr>
          <w:sz w:val="22"/>
          <w:szCs w:val="22"/>
        </w:rPr>
        <w:t>vartojami nuo raumenų silpnumo (</w:t>
      </w:r>
      <w:r>
        <w:rPr>
          <w:sz w:val="22"/>
          <w:szCs w:val="22"/>
        </w:rPr>
        <w:t>generalizuotos miastenijos [</w:t>
      </w:r>
      <w:r w:rsidRPr="003C1C5E">
        <w:rPr>
          <w:i/>
          <w:iCs/>
          <w:sz w:val="22"/>
          <w:szCs w:val="22"/>
        </w:rPr>
        <w:t>myasthenia gravis</w:t>
      </w:r>
      <w:r>
        <w:rPr>
          <w:sz w:val="22"/>
          <w:szCs w:val="22"/>
        </w:rPr>
        <w:t>]</w:t>
      </w:r>
      <w:r w:rsidRPr="00EE1857">
        <w:rPr>
          <w:sz w:val="22"/>
          <w:szCs w:val="22"/>
        </w:rPr>
        <w:t>)</w:t>
      </w:r>
      <w:r>
        <w:rPr>
          <w:sz w:val="22"/>
          <w:szCs w:val="22"/>
        </w:rPr>
        <w:t>.</w:t>
      </w:r>
    </w:p>
    <w:p w14:paraId="256BB676"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Pasiutligės vakcina</w:t>
      </w:r>
      <w:r>
        <w:rPr>
          <w:sz w:val="22"/>
          <w:szCs w:val="22"/>
        </w:rPr>
        <w:t>.</w:t>
      </w:r>
    </w:p>
    <w:p w14:paraId="30439DDE"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Vaistai, galintys paveikti inkstus arba kepenis</w:t>
      </w:r>
      <w:r>
        <w:rPr>
          <w:sz w:val="22"/>
          <w:szCs w:val="22"/>
        </w:rPr>
        <w:t>.</w:t>
      </w:r>
    </w:p>
    <w:p w14:paraId="2D0C0EB0"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 xml:space="preserve">Antacidiniai vaistai (nuo rėmens) ir kaolinas: </w:t>
      </w:r>
      <w:r w:rsidRPr="00422C0F">
        <w:rPr>
          <w:sz w:val="22"/>
          <w:szCs w:val="22"/>
        </w:rPr>
        <w:t>Hydroxychloroquine sulfate Accord</w:t>
      </w:r>
      <w:r w:rsidRPr="00EE1857">
        <w:rPr>
          <w:sz w:val="22"/>
          <w:szCs w:val="22"/>
        </w:rPr>
        <w:t xml:space="preserve"> </w:t>
      </w:r>
      <w:r>
        <w:rPr>
          <w:sz w:val="22"/>
          <w:szCs w:val="22"/>
        </w:rPr>
        <w:t>v</w:t>
      </w:r>
      <w:r w:rsidRPr="00EE1857">
        <w:rPr>
          <w:sz w:val="22"/>
          <w:szCs w:val="22"/>
        </w:rPr>
        <w:t>artokite mažiausiai 2 valandas</w:t>
      </w:r>
      <w:r>
        <w:rPr>
          <w:sz w:val="22"/>
          <w:szCs w:val="22"/>
        </w:rPr>
        <w:t xml:space="preserve"> prieš ar po minėtų vaistų vartojimo</w:t>
      </w:r>
      <w:r w:rsidRPr="00EE1857">
        <w:rPr>
          <w:sz w:val="22"/>
          <w:szCs w:val="22"/>
        </w:rPr>
        <w:t>.</w:t>
      </w:r>
    </w:p>
    <w:p w14:paraId="429C42E4" w14:textId="1F4082F6"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grybelinių infekcijų (pvz., itrakonazol</w:t>
      </w:r>
      <w:r>
        <w:rPr>
          <w:sz w:val="22"/>
          <w:szCs w:val="22"/>
        </w:rPr>
        <w:t>as, flukonazolas</w:t>
      </w:r>
      <w:r w:rsidRPr="00EE1857">
        <w:rPr>
          <w:sz w:val="22"/>
          <w:szCs w:val="22"/>
        </w:rPr>
        <w:t>)</w:t>
      </w:r>
      <w:r>
        <w:rPr>
          <w:sz w:val="22"/>
          <w:szCs w:val="22"/>
        </w:rPr>
        <w:t>.</w:t>
      </w:r>
    </w:p>
    <w:p w14:paraId="7FBEED35"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Vaistai nuo lipidų kiekio sutrikimų (pvz., gemfibrozilis)</w:t>
      </w:r>
      <w:r>
        <w:rPr>
          <w:sz w:val="22"/>
          <w:szCs w:val="22"/>
        </w:rPr>
        <w:t>.</w:t>
      </w:r>
    </w:p>
    <w:p w14:paraId="5A9EF5ED" w14:textId="4287F095"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ŽIV (pvz., </w:t>
      </w:r>
      <w:r>
        <w:rPr>
          <w:sz w:val="22"/>
          <w:szCs w:val="22"/>
        </w:rPr>
        <w:t xml:space="preserve">sakvinaviras, </w:t>
      </w:r>
      <w:r w:rsidRPr="00EE1857">
        <w:rPr>
          <w:sz w:val="22"/>
          <w:szCs w:val="22"/>
        </w:rPr>
        <w:t>ritonavir</w:t>
      </w:r>
      <w:r>
        <w:rPr>
          <w:sz w:val="22"/>
          <w:szCs w:val="22"/>
        </w:rPr>
        <w:t>as</w:t>
      </w:r>
      <w:r w:rsidRPr="00EE1857">
        <w:rPr>
          <w:sz w:val="22"/>
          <w:szCs w:val="22"/>
        </w:rPr>
        <w:t>)</w:t>
      </w:r>
      <w:r>
        <w:rPr>
          <w:sz w:val="22"/>
          <w:szCs w:val="22"/>
        </w:rPr>
        <w:t>.</w:t>
      </w:r>
    </w:p>
    <w:p w14:paraId="1F4D5FB0"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organų transplantacijos arba imuninės sistemos sutrikimų (pvz., ciklosporin</w:t>
      </w:r>
      <w:r>
        <w:rPr>
          <w:sz w:val="22"/>
          <w:szCs w:val="22"/>
        </w:rPr>
        <w:t>as</w:t>
      </w:r>
      <w:r w:rsidRPr="00EE1857">
        <w:rPr>
          <w:sz w:val="22"/>
          <w:szCs w:val="22"/>
        </w:rPr>
        <w:t>)</w:t>
      </w:r>
      <w:r>
        <w:rPr>
          <w:sz w:val="22"/>
          <w:szCs w:val="22"/>
        </w:rPr>
        <w:t>.</w:t>
      </w:r>
    </w:p>
    <w:p w14:paraId="765CAD90" w14:textId="77777777"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kraujo krešulių susidarymo (pvz., dabigatran</w:t>
      </w:r>
      <w:r>
        <w:rPr>
          <w:sz w:val="22"/>
          <w:szCs w:val="22"/>
        </w:rPr>
        <w:t>as</w:t>
      </w:r>
      <w:r w:rsidRPr="00EE1857">
        <w:rPr>
          <w:sz w:val="22"/>
          <w:szCs w:val="22"/>
        </w:rPr>
        <w:t>, klopidogreli</w:t>
      </w:r>
      <w:r>
        <w:rPr>
          <w:sz w:val="22"/>
          <w:szCs w:val="22"/>
        </w:rPr>
        <w:t>s</w:t>
      </w:r>
      <w:r w:rsidRPr="00EE1857">
        <w:rPr>
          <w:sz w:val="22"/>
          <w:szCs w:val="22"/>
        </w:rPr>
        <w:t>)</w:t>
      </w:r>
      <w:r>
        <w:rPr>
          <w:sz w:val="22"/>
          <w:szCs w:val="22"/>
        </w:rPr>
        <w:t>.</w:t>
      </w:r>
    </w:p>
    <w:p w14:paraId="5C7B6A37" w14:textId="089B3CD8" w:rsidR="00DE4D69" w:rsidRPr="00EE1857" w:rsidRDefault="00DE4D69" w:rsidP="009C3222">
      <w:pPr>
        <w:pStyle w:val="Sraopastraipa"/>
        <w:numPr>
          <w:ilvl w:val="0"/>
          <w:numId w:val="18"/>
        </w:numPr>
        <w:ind w:left="567" w:hanging="567"/>
        <w:rPr>
          <w:sz w:val="22"/>
          <w:szCs w:val="22"/>
        </w:rPr>
      </w:pPr>
      <w:r w:rsidRPr="00EE1857">
        <w:rPr>
          <w:sz w:val="22"/>
          <w:szCs w:val="22"/>
        </w:rPr>
        <w:t>Vaist</w:t>
      </w:r>
      <w:r>
        <w:rPr>
          <w:sz w:val="22"/>
          <w:szCs w:val="22"/>
        </w:rPr>
        <w:t>ai</w:t>
      </w:r>
      <w:r w:rsidRPr="00EE1857">
        <w:rPr>
          <w:sz w:val="22"/>
          <w:szCs w:val="22"/>
        </w:rPr>
        <w:t xml:space="preserve"> nuo širdies ligų (</w:t>
      </w:r>
      <w:r>
        <w:rPr>
          <w:sz w:val="22"/>
          <w:szCs w:val="22"/>
        </w:rPr>
        <w:t xml:space="preserve">pvz., </w:t>
      </w:r>
      <w:r w:rsidRPr="00EE1857">
        <w:rPr>
          <w:sz w:val="22"/>
          <w:szCs w:val="22"/>
        </w:rPr>
        <w:t xml:space="preserve"> digoksinas, flekainidas, propafenonas ir metoprololis)</w:t>
      </w:r>
      <w:r>
        <w:rPr>
          <w:sz w:val="22"/>
          <w:szCs w:val="22"/>
        </w:rPr>
        <w:t>.</w:t>
      </w:r>
    </w:p>
    <w:p w14:paraId="05A6B865" w14:textId="7614B72E" w:rsidR="00DE4D69" w:rsidRDefault="00DE4D69" w:rsidP="009C3222">
      <w:pPr>
        <w:pStyle w:val="Sraopastraipa"/>
        <w:numPr>
          <w:ilvl w:val="0"/>
          <w:numId w:val="18"/>
        </w:numPr>
        <w:ind w:left="567" w:hanging="567"/>
        <w:rPr>
          <w:sz w:val="22"/>
          <w:szCs w:val="22"/>
        </w:rPr>
      </w:pPr>
      <w:r w:rsidRPr="00EE1857">
        <w:rPr>
          <w:sz w:val="22"/>
          <w:szCs w:val="22"/>
        </w:rPr>
        <w:t>Prazikvantelis</w:t>
      </w:r>
      <w:r>
        <w:rPr>
          <w:sz w:val="22"/>
          <w:szCs w:val="22"/>
        </w:rPr>
        <w:t>, pentamidinas</w:t>
      </w:r>
      <w:r w:rsidRPr="00EE1857">
        <w:rPr>
          <w:sz w:val="22"/>
          <w:szCs w:val="22"/>
        </w:rPr>
        <w:t xml:space="preserve"> (vaista</w:t>
      </w:r>
      <w:r>
        <w:rPr>
          <w:sz w:val="22"/>
          <w:szCs w:val="22"/>
        </w:rPr>
        <w:t>i</w:t>
      </w:r>
      <w:r w:rsidRPr="00EE1857">
        <w:rPr>
          <w:sz w:val="22"/>
          <w:szCs w:val="22"/>
        </w:rPr>
        <w:t xml:space="preserve"> nuo parazitų)</w:t>
      </w:r>
      <w:r>
        <w:rPr>
          <w:sz w:val="22"/>
          <w:szCs w:val="22"/>
        </w:rPr>
        <w:t>.</w:t>
      </w:r>
    </w:p>
    <w:p w14:paraId="67FCAA32" w14:textId="77777777" w:rsidR="00DE4D69" w:rsidRPr="00EE1857" w:rsidRDefault="00DE4D69" w:rsidP="009C3222">
      <w:pPr>
        <w:pStyle w:val="Sraopastraipa"/>
        <w:numPr>
          <w:ilvl w:val="0"/>
          <w:numId w:val="18"/>
        </w:numPr>
        <w:ind w:left="567" w:hanging="567"/>
        <w:rPr>
          <w:sz w:val="22"/>
          <w:szCs w:val="22"/>
        </w:rPr>
      </w:pPr>
      <w:r>
        <w:rPr>
          <w:sz w:val="22"/>
          <w:szCs w:val="22"/>
        </w:rPr>
        <w:t>Vaistai nuo depresijos (</w:t>
      </w:r>
      <w:r w:rsidRPr="003E33FC">
        <w:rPr>
          <w:sz w:val="22"/>
          <w:szCs w:val="22"/>
        </w:rPr>
        <w:t>fluoksetinas, paroksetinas)</w:t>
      </w:r>
      <w:r>
        <w:rPr>
          <w:sz w:val="22"/>
          <w:szCs w:val="22"/>
        </w:rPr>
        <w:t>.</w:t>
      </w:r>
    </w:p>
    <w:p w14:paraId="631A2025" w14:textId="77777777" w:rsidR="00DE4D69" w:rsidRDefault="00DE4D69" w:rsidP="009C3222">
      <w:pPr>
        <w:pStyle w:val="Sraopastraipa"/>
        <w:numPr>
          <w:ilvl w:val="0"/>
          <w:numId w:val="18"/>
        </w:numPr>
        <w:ind w:left="567" w:hanging="567"/>
        <w:rPr>
          <w:sz w:val="22"/>
          <w:szCs w:val="22"/>
        </w:rPr>
      </w:pPr>
      <w:r>
        <w:rPr>
          <w:sz w:val="22"/>
          <w:szCs w:val="22"/>
        </w:rPr>
        <w:t>V</w:t>
      </w:r>
      <w:r w:rsidRPr="00EE1857">
        <w:rPr>
          <w:sz w:val="22"/>
          <w:szCs w:val="22"/>
        </w:rPr>
        <w:t>aistažol</w:t>
      </w:r>
      <w:r>
        <w:rPr>
          <w:sz w:val="22"/>
          <w:szCs w:val="22"/>
        </w:rPr>
        <w:t>ių preparatas</w:t>
      </w:r>
      <w:r w:rsidRPr="00EE1857">
        <w:rPr>
          <w:sz w:val="22"/>
          <w:szCs w:val="22"/>
        </w:rPr>
        <w:t xml:space="preserve"> nuo depresijos: jonažolė.</w:t>
      </w:r>
    </w:p>
    <w:p w14:paraId="76394278" w14:textId="77777777" w:rsidR="00986560" w:rsidRPr="00B4100D" w:rsidRDefault="00986560" w:rsidP="00986560">
      <w:pPr>
        <w:pStyle w:val="PI-3EMEASMCA"/>
      </w:pPr>
    </w:p>
    <w:p w14:paraId="71E468DF" w14:textId="77777777" w:rsidR="00DE4D69" w:rsidRPr="006276A4" w:rsidRDefault="00DE4D69" w:rsidP="00DE4D69">
      <w:pPr>
        <w:rPr>
          <w:b/>
          <w:bCs/>
          <w:sz w:val="22"/>
          <w:szCs w:val="22"/>
        </w:rPr>
      </w:pPr>
      <w:r w:rsidRPr="006276A4">
        <w:rPr>
          <w:b/>
          <w:bCs/>
          <w:sz w:val="22"/>
          <w:szCs w:val="22"/>
        </w:rPr>
        <w:t xml:space="preserve">Hydroxychloroquine sulfate Accord vartojimas </w:t>
      </w:r>
      <w:r>
        <w:rPr>
          <w:b/>
          <w:bCs/>
          <w:sz w:val="22"/>
          <w:szCs w:val="22"/>
        </w:rPr>
        <w:t>su</w:t>
      </w:r>
      <w:r w:rsidRPr="006276A4">
        <w:rPr>
          <w:b/>
          <w:bCs/>
          <w:sz w:val="22"/>
          <w:szCs w:val="22"/>
        </w:rPr>
        <w:t xml:space="preserve"> maistu ir gėrimais</w:t>
      </w:r>
    </w:p>
    <w:p w14:paraId="629833A9" w14:textId="77777777" w:rsidR="00DE4D69" w:rsidRDefault="00DE4D69" w:rsidP="00DE4D69">
      <w:pPr>
        <w:rPr>
          <w:sz w:val="22"/>
          <w:szCs w:val="22"/>
        </w:rPr>
      </w:pPr>
      <w:r w:rsidRPr="006276A4">
        <w:rPr>
          <w:sz w:val="22"/>
          <w:szCs w:val="22"/>
        </w:rPr>
        <w:t>Venkite vartoti greipfrutų sulčių, nes jos didina šalutinio poveikio pasireiškimo riziką.</w:t>
      </w:r>
    </w:p>
    <w:p w14:paraId="39059F23" w14:textId="77777777" w:rsidR="00E801E4" w:rsidRPr="00B4100D" w:rsidRDefault="00E801E4" w:rsidP="00722228">
      <w:pPr>
        <w:rPr>
          <w:sz w:val="22"/>
          <w:szCs w:val="22"/>
        </w:rPr>
      </w:pPr>
    </w:p>
    <w:p w14:paraId="27B6D02B" w14:textId="77777777" w:rsidR="00986560" w:rsidRPr="00B4100D" w:rsidRDefault="00986560" w:rsidP="00986560">
      <w:pPr>
        <w:pStyle w:val="PI-3EMEASMCA"/>
      </w:pPr>
      <w:r w:rsidRPr="00B4100D">
        <w:t>Nėštumas</w:t>
      </w:r>
      <w:r w:rsidR="00EF75CD" w:rsidRPr="00B4100D">
        <w:t xml:space="preserve"> ir</w:t>
      </w:r>
      <w:r w:rsidRPr="00B4100D">
        <w:t xml:space="preserve"> žindym</w:t>
      </w:r>
      <w:r w:rsidR="00EF75CD" w:rsidRPr="00B4100D">
        <w:t>as</w:t>
      </w:r>
    </w:p>
    <w:p w14:paraId="2B5CBBEB" w14:textId="33A2DDB4" w:rsidR="00986560" w:rsidRPr="009A6B44" w:rsidRDefault="00986560" w:rsidP="00B14844">
      <w:pPr>
        <w:numPr>
          <w:ilvl w:val="12"/>
          <w:numId w:val="0"/>
        </w:numPr>
        <w:tabs>
          <w:tab w:val="left" w:pos="720"/>
        </w:tabs>
        <w:ind w:right="-2"/>
        <w:rPr>
          <w:rFonts w:eastAsia="SimSun"/>
          <w:sz w:val="22"/>
          <w:szCs w:val="22"/>
          <w:lang w:eastAsia="zh-CN"/>
        </w:rPr>
      </w:pPr>
      <w:r w:rsidRPr="00B4100D">
        <w:rPr>
          <w:rFonts w:eastAsia="SimSun"/>
          <w:sz w:val="22"/>
          <w:szCs w:val="22"/>
          <w:lang w:eastAsia="zh-CN"/>
        </w:rPr>
        <w:t>Jeigu esate nėščia, žindote kūdikį, manote, kad galbūt esate nėščia</w:t>
      </w:r>
      <w:r w:rsidR="00552CD9" w:rsidRPr="00B4100D">
        <w:rPr>
          <w:rFonts w:eastAsia="SimSun"/>
          <w:sz w:val="22"/>
          <w:szCs w:val="22"/>
          <w:lang w:eastAsia="zh-CN"/>
        </w:rPr>
        <w:t>,</w:t>
      </w:r>
      <w:r w:rsidRPr="00B4100D">
        <w:rPr>
          <w:rFonts w:eastAsia="SimSun"/>
          <w:sz w:val="22"/>
          <w:szCs w:val="22"/>
          <w:lang w:eastAsia="zh-CN"/>
        </w:rPr>
        <w:t xml:space="preserve"> arba planuojate pastoti, tai prieš vartodama šį vaistą</w:t>
      </w:r>
      <w:r w:rsidR="00552CD9" w:rsidRPr="00B4100D">
        <w:rPr>
          <w:rFonts w:eastAsia="SimSun"/>
          <w:sz w:val="22"/>
          <w:szCs w:val="22"/>
          <w:lang w:eastAsia="zh-CN"/>
        </w:rPr>
        <w:t>,</w:t>
      </w:r>
      <w:r w:rsidRPr="00B4100D">
        <w:rPr>
          <w:rFonts w:eastAsia="SimSun"/>
          <w:sz w:val="22"/>
          <w:szCs w:val="22"/>
          <w:lang w:eastAsia="zh-CN"/>
        </w:rPr>
        <w:t xml:space="preserve"> pasitarkite su gydytoju arba vaistininku.</w:t>
      </w:r>
      <w:r w:rsidR="00B14844" w:rsidRPr="00B14844">
        <w:rPr>
          <w:noProof/>
          <w:szCs w:val="22"/>
        </w:rPr>
        <w:t xml:space="preserve"> </w:t>
      </w:r>
      <w:r w:rsidR="00B14844" w:rsidRPr="009A6B44">
        <w:rPr>
          <w:noProof/>
          <w:sz w:val="22"/>
          <w:szCs w:val="20"/>
        </w:rPr>
        <w:t>Gydytojas aptars su Jumis, ar Hydroxychloroquine sulfate Accord Jums tinka.</w:t>
      </w:r>
    </w:p>
    <w:p w14:paraId="1FA1E5FD" w14:textId="77777777" w:rsidR="00986560" w:rsidRPr="00B4100D" w:rsidRDefault="00986560" w:rsidP="00986560">
      <w:pPr>
        <w:pStyle w:val="PI-3EMEASMCA"/>
      </w:pPr>
    </w:p>
    <w:p w14:paraId="2100D68E" w14:textId="77777777" w:rsidR="00986560" w:rsidRPr="00B4100D" w:rsidRDefault="00986560" w:rsidP="00986560">
      <w:pPr>
        <w:pStyle w:val="PI-3EMEASMCA"/>
        <w:rPr>
          <w:b w:val="0"/>
          <w:iCs/>
          <w:u w:val="single"/>
        </w:rPr>
      </w:pPr>
      <w:r w:rsidRPr="00B4100D">
        <w:rPr>
          <w:b w:val="0"/>
          <w:iCs/>
          <w:u w:val="single"/>
        </w:rPr>
        <w:t>Nėštumas</w:t>
      </w:r>
    </w:p>
    <w:p w14:paraId="3833CF8A" w14:textId="65FCD29C" w:rsidR="002D35D1" w:rsidRPr="00B4100D" w:rsidRDefault="00B14844" w:rsidP="002D35D1">
      <w:pPr>
        <w:rPr>
          <w:sz w:val="22"/>
          <w:szCs w:val="22"/>
        </w:rPr>
      </w:pPr>
      <w:r w:rsidRPr="009A6B44">
        <w:rPr>
          <w:noProof/>
          <w:sz w:val="22"/>
          <w:szCs w:val="20"/>
        </w:rPr>
        <w:t>Hydroxychloroquine sulfate Accord</w:t>
      </w:r>
      <w:r w:rsidRPr="00B14844">
        <w:rPr>
          <w:sz w:val="22"/>
          <w:szCs w:val="22"/>
        </w:rPr>
        <w:t xml:space="preserve"> gali būti susijęs su nedideliu </w:t>
      </w:r>
      <w:r>
        <w:rPr>
          <w:sz w:val="22"/>
          <w:szCs w:val="22"/>
        </w:rPr>
        <w:t xml:space="preserve">sunkių </w:t>
      </w:r>
      <w:r w:rsidR="000F4D86">
        <w:rPr>
          <w:sz w:val="22"/>
          <w:szCs w:val="22"/>
        </w:rPr>
        <w:t>formavimosi ydų</w:t>
      </w:r>
      <w:r w:rsidRPr="00B14844">
        <w:rPr>
          <w:sz w:val="22"/>
          <w:szCs w:val="22"/>
        </w:rPr>
        <w:t xml:space="preserve"> rizikos padidėjimu ir </w:t>
      </w:r>
      <w:r>
        <w:rPr>
          <w:sz w:val="22"/>
          <w:szCs w:val="22"/>
        </w:rPr>
        <w:t xml:space="preserve">jo negalima vartoti </w:t>
      </w:r>
      <w:r w:rsidR="002D35D1" w:rsidRPr="00B4100D">
        <w:rPr>
          <w:sz w:val="22"/>
          <w:szCs w:val="22"/>
        </w:rPr>
        <w:t>nėštumo metu didelėmis paros dozėmis, nebent gydytojas pasakytų, kad tai būtina, nes gydymo nutraukimo rizika yra didesnė už galimą pavojų vaisiui.</w:t>
      </w:r>
    </w:p>
    <w:p w14:paraId="36ADC5B0" w14:textId="77777777" w:rsidR="002D35D1" w:rsidRPr="00B4100D" w:rsidRDefault="002D35D1" w:rsidP="002D35D1">
      <w:pPr>
        <w:rPr>
          <w:sz w:val="22"/>
          <w:szCs w:val="22"/>
        </w:rPr>
      </w:pPr>
      <w:r w:rsidRPr="00B4100D">
        <w:rPr>
          <w:sz w:val="22"/>
          <w:szCs w:val="22"/>
        </w:rPr>
        <w:t>Šis vaistas gali būti vartojamas nėštumo metu maliarijos profilaktikai, nes reikia tik mažų dozių.</w:t>
      </w:r>
    </w:p>
    <w:p w14:paraId="4385C1A3" w14:textId="77777777" w:rsidR="002D35D1" w:rsidRPr="00B4100D" w:rsidRDefault="002D35D1" w:rsidP="00986560">
      <w:pPr>
        <w:rPr>
          <w:sz w:val="22"/>
          <w:szCs w:val="22"/>
        </w:rPr>
      </w:pPr>
    </w:p>
    <w:p w14:paraId="7D6255BD" w14:textId="77777777" w:rsidR="00986560" w:rsidRPr="00B4100D" w:rsidRDefault="00986560" w:rsidP="00986560">
      <w:pPr>
        <w:rPr>
          <w:iCs/>
          <w:sz w:val="22"/>
          <w:szCs w:val="22"/>
          <w:u w:val="single"/>
        </w:rPr>
      </w:pPr>
      <w:r w:rsidRPr="00B4100D">
        <w:rPr>
          <w:iCs/>
          <w:sz w:val="22"/>
          <w:szCs w:val="22"/>
          <w:u w:val="single"/>
        </w:rPr>
        <w:t>Žindym</w:t>
      </w:r>
      <w:r w:rsidR="002D35D1" w:rsidRPr="00B4100D">
        <w:rPr>
          <w:iCs/>
          <w:sz w:val="22"/>
          <w:szCs w:val="22"/>
          <w:u w:val="single"/>
        </w:rPr>
        <w:t>as</w:t>
      </w:r>
    </w:p>
    <w:p w14:paraId="40803776" w14:textId="77777777" w:rsidR="002D35D1" w:rsidRPr="00B4100D" w:rsidRDefault="002D35D1" w:rsidP="00986560">
      <w:pPr>
        <w:rPr>
          <w:sz w:val="22"/>
          <w:szCs w:val="22"/>
        </w:rPr>
      </w:pPr>
      <w:r w:rsidRPr="00B4100D">
        <w:rPr>
          <w:sz w:val="22"/>
          <w:szCs w:val="22"/>
        </w:rPr>
        <w:t xml:space="preserve">Šis vaistas patenka į motinos pieną. Nėra pakankamai informacijos apie hidroksichlorokvino poveikį naujagimiams / kūdikiams. </w:t>
      </w:r>
      <w:r w:rsidR="00722228" w:rsidRPr="00B4100D">
        <w:rPr>
          <w:sz w:val="22"/>
          <w:szCs w:val="22"/>
        </w:rPr>
        <w:t>Atsižvelgiant į būklę ir gydymo trukmę, gydytojas nuspręs, ar galite vartoti</w:t>
      </w:r>
      <w:r w:rsidRPr="00B4100D">
        <w:rPr>
          <w:sz w:val="22"/>
          <w:szCs w:val="22"/>
        </w:rPr>
        <w:t xml:space="preserve"> šį vaistą žindym</w:t>
      </w:r>
      <w:r w:rsidR="00722228" w:rsidRPr="00B4100D">
        <w:rPr>
          <w:sz w:val="22"/>
          <w:szCs w:val="22"/>
        </w:rPr>
        <w:t>o metu</w:t>
      </w:r>
      <w:r w:rsidRPr="00B4100D">
        <w:rPr>
          <w:sz w:val="22"/>
          <w:szCs w:val="22"/>
        </w:rPr>
        <w:t>. Kai vartojate šį vaistą maliarijos profilaktikai kartą per savaitę, nereikia nutraukti žindymo. Tačiau šio kiekio nepakanka kūdikiui apsaugoti nuo maliarijos.</w:t>
      </w:r>
    </w:p>
    <w:p w14:paraId="11DC70D4" w14:textId="77777777" w:rsidR="002D35D1" w:rsidRPr="00B4100D" w:rsidRDefault="002D35D1" w:rsidP="00986560">
      <w:pPr>
        <w:rPr>
          <w:sz w:val="22"/>
          <w:szCs w:val="22"/>
        </w:rPr>
      </w:pPr>
    </w:p>
    <w:p w14:paraId="50E12904" w14:textId="77777777" w:rsidR="00986560" w:rsidRPr="00B4100D" w:rsidRDefault="00986560" w:rsidP="00986560">
      <w:pPr>
        <w:pStyle w:val="PI-3EMEASMCA"/>
      </w:pPr>
      <w:r w:rsidRPr="00B4100D">
        <w:lastRenderedPageBreak/>
        <w:t>Vairavimas ir mechanizmų valdymas</w:t>
      </w:r>
    </w:p>
    <w:p w14:paraId="68EF5A8A" w14:textId="77777777" w:rsidR="002D35D1" w:rsidRPr="00B4100D" w:rsidRDefault="002D35D1" w:rsidP="006E671E">
      <w:pPr>
        <w:pStyle w:val="BTEMEASMCA"/>
      </w:pPr>
      <w:r w:rsidRPr="00B4100D">
        <w:t>Vartojant šį vaistą gali atsirasti akių problemų ir svaigti galva. Tokiu atveju nevairuokite ir nenaudokite jokių įrankių ar nevaldykite mechanizmų ir nedelsdami pasakykite apie tai gydytojui.</w:t>
      </w:r>
    </w:p>
    <w:p w14:paraId="4171430A" w14:textId="77777777" w:rsidR="00986560" w:rsidRPr="00B4100D" w:rsidRDefault="00986560" w:rsidP="00986560">
      <w:pPr>
        <w:pStyle w:val="PI-3EMEASMCA"/>
      </w:pPr>
    </w:p>
    <w:p w14:paraId="3125A77B" w14:textId="77777777" w:rsidR="00986560" w:rsidRPr="00B4100D" w:rsidRDefault="0061121A" w:rsidP="00DF41AE">
      <w:pPr>
        <w:keepNext/>
        <w:rPr>
          <w:b/>
          <w:sz w:val="22"/>
          <w:szCs w:val="22"/>
        </w:rPr>
      </w:pPr>
      <w:r w:rsidRPr="00B4100D">
        <w:rPr>
          <w:b/>
          <w:sz w:val="22"/>
          <w:szCs w:val="22"/>
        </w:rPr>
        <w:t xml:space="preserve">Hydroxychloroquine sulfate Accord </w:t>
      </w:r>
      <w:r w:rsidR="00986560" w:rsidRPr="00B4100D">
        <w:rPr>
          <w:b/>
          <w:sz w:val="22"/>
          <w:szCs w:val="22"/>
        </w:rPr>
        <w:t>sudėtyje yra laktozės</w:t>
      </w:r>
    </w:p>
    <w:p w14:paraId="0C96F327" w14:textId="77777777" w:rsidR="00986560" w:rsidRPr="00B4100D" w:rsidRDefault="00986560" w:rsidP="00DF41AE">
      <w:pPr>
        <w:keepNext/>
        <w:rPr>
          <w:b/>
          <w:sz w:val="22"/>
          <w:szCs w:val="22"/>
        </w:rPr>
      </w:pPr>
      <w:r w:rsidRPr="00B4100D">
        <w:rPr>
          <w:sz w:val="22"/>
          <w:szCs w:val="22"/>
        </w:rPr>
        <w:t>Jei gydytojas Jums yra sakęs, kad netoleruojate kokių nors angliavandenių, kreipkitės į jį prieš pradėdami vartoti šį vaistą.</w:t>
      </w:r>
    </w:p>
    <w:p w14:paraId="15FACE00" w14:textId="77777777" w:rsidR="00986560" w:rsidRPr="00B4100D" w:rsidRDefault="00986560" w:rsidP="00986560">
      <w:pPr>
        <w:autoSpaceDE w:val="0"/>
        <w:autoSpaceDN w:val="0"/>
        <w:adjustRightInd w:val="0"/>
        <w:rPr>
          <w:sz w:val="22"/>
          <w:szCs w:val="22"/>
        </w:rPr>
      </w:pPr>
    </w:p>
    <w:p w14:paraId="51BD9DA1" w14:textId="77777777" w:rsidR="00986560" w:rsidRPr="00B4100D" w:rsidRDefault="00986560" w:rsidP="006E671E">
      <w:pPr>
        <w:pStyle w:val="BTEMEASMCA"/>
      </w:pPr>
    </w:p>
    <w:p w14:paraId="72551C33" w14:textId="77777777" w:rsidR="00986560" w:rsidRPr="00B4100D" w:rsidRDefault="00986560" w:rsidP="00986560">
      <w:pPr>
        <w:pStyle w:val="PI-1EMEASMCA"/>
      </w:pPr>
      <w:bookmarkStart w:id="81" w:name="_Toc129243141"/>
      <w:bookmarkStart w:id="82" w:name="_Toc129243266"/>
      <w:r w:rsidRPr="00B4100D">
        <w:t>3.</w:t>
      </w:r>
      <w:r w:rsidRPr="00B4100D">
        <w:tab/>
        <w:t xml:space="preserve">Kaip vartoti </w:t>
      </w:r>
      <w:bookmarkEnd w:id="81"/>
      <w:bookmarkEnd w:id="82"/>
      <w:r w:rsidR="0061121A" w:rsidRPr="00B4100D">
        <w:rPr>
          <w:bCs/>
        </w:rPr>
        <w:t xml:space="preserve">Hydroxychloroquine sulfate Accord </w:t>
      </w:r>
    </w:p>
    <w:p w14:paraId="4627D440" w14:textId="77777777" w:rsidR="00986560" w:rsidRPr="00B4100D" w:rsidRDefault="00986560" w:rsidP="006E671E">
      <w:pPr>
        <w:pStyle w:val="BTEMEASMCA"/>
      </w:pPr>
    </w:p>
    <w:p w14:paraId="010681AE" w14:textId="77777777" w:rsidR="00986560" w:rsidRPr="00B4100D" w:rsidRDefault="00986560" w:rsidP="006E671E">
      <w:pPr>
        <w:pStyle w:val="BTEMEASMCA"/>
      </w:pPr>
      <w:r w:rsidRPr="00B4100D">
        <w:t>Visada vartokite šį vaistą tiksliai kaip nurodė gydytojas</w:t>
      </w:r>
      <w:r w:rsidR="00807913" w:rsidRPr="00B4100D">
        <w:t xml:space="preserve"> ar vaistininkas</w:t>
      </w:r>
      <w:r w:rsidRPr="00B4100D">
        <w:t xml:space="preserve">. Jeigu abejojate, kreipkitės į gydytoją arba vaistininką. </w:t>
      </w:r>
    </w:p>
    <w:p w14:paraId="71A9AF4C" w14:textId="77777777" w:rsidR="000A6BE7" w:rsidRPr="00B4100D" w:rsidRDefault="000A6BE7" w:rsidP="00C475DF">
      <w:pPr>
        <w:pStyle w:val="BTEMEASMCA"/>
      </w:pPr>
    </w:p>
    <w:p w14:paraId="15B6F491" w14:textId="77777777" w:rsidR="0053569C" w:rsidRPr="00B4100D" w:rsidRDefault="0053569C" w:rsidP="0053569C">
      <w:pPr>
        <w:rPr>
          <w:b/>
          <w:bCs/>
        </w:rPr>
      </w:pPr>
      <w:r w:rsidRPr="00B4100D">
        <w:rPr>
          <w:b/>
          <w:bCs/>
          <w:sz w:val="22"/>
          <w:szCs w:val="22"/>
        </w:rPr>
        <w:t>Kokį kiekį vartoti</w:t>
      </w:r>
    </w:p>
    <w:p w14:paraId="26D12ABB" w14:textId="77777777" w:rsidR="00807913" w:rsidRPr="00B4100D" w:rsidRDefault="0053569C" w:rsidP="00807913">
      <w:pPr>
        <w:pStyle w:val="BTEMEASMCA"/>
      </w:pPr>
      <w:r w:rsidRPr="00B4100D">
        <w:t>Rekomenduojama dozė yra:</w:t>
      </w:r>
    </w:p>
    <w:p w14:paraId="4161096C" w14:textId="77777777" w:rsidR="007E4556" w:rsidRPr="00B4100D" w:rsidRDefault="007E4556" w:rsidP="00BE4841">
      <w:pPr>
        <w:rPr>
          <w:i/>
          <w:sz w:val="22"/>
          <w:szCs w:val="22"/>
          <w:u w:val="single"/>
        </w:rPr>
      </w:pPr>
    </w:p>
    <w:p w14:paraId="42B344A2" w14:textId="77777777" w:rsidR="00986560" w:rsidRPr="00B4100D" w:rsidRDefault="00986560" w:rsidP="00BE4841">
      <w:pPr>
        <w:rPr>
          <w:i/>
          <w:u w:val="single"/>
        </w:rPr>
      </w:pPr>
      <w:r w:rsidRPr="00B4100D">
        <w:rPr>
          <w:i/>
          <w:sz w:val="22"/>
          <w:szCs w:val="22"/>
          <w:u w:val="single"/>
        </w:rPr>
        <w:t>Suaugusie</w:t>
      </w:r>
      <w:r w:rsidR="0053569C" w:rsidRPr="00B4100D">
        <w:rPr>
          <w:i/>
          <w:sz w:val="22"/>
          <w:szCs w:val="22"/>
          <w:u w:val="single"/>
        </w:rPr>
        <w:t>siems</w:t>
      </w:r>
    </w:p>
    <w:p w14:paraId="725CD0DE" w14:textId="77777777" w:rsidR="0053569C" w:rsidRPr="00B4100D" w:rsidRDefault="0053569C" w:rsidP="0053569C">
      <w:pPr>
        <w:rPr>
          <w:i/>
          <w:iCs/>
          <w:sz w:val="22"/>
          <w:szCs w:val="22"/>
        </w:rPr>
      </w:pPr>
      <w:r w:rsidRPr="00B4100D">
        <w:rPr>
          <w:i/>
          <w:iCs/>
          <w:sz w:val="22"/>
          <w:szCs w:val="22"/>
        </w:rPr>
        <w:t>Reumatoidinis artritas</w:t>
      </w:r>
    </w:p>
    <w:p w14:paraId="6DC5C291" w14:textId="46D98C68" w:rsidR="0053569C" w:rsidRPr="00B4100D" w:rsidRDefault="0053569C" w:rsidP="0053569C">
      <w:pPr>
        <w:rPr>
          <w:sz w:val="22"/>
          <w:szCs w:val="22"/>
        </w:rPr>
      </w:pPr>
      <w:r w:rsidRPr="00B4100D">
        <w:rPr>
          <w:sz w:val="22"/>
          <w:szCs w:val="22"/>
        </w:rPr>
        <w:t xml:space="preserve">Pradinė dozė: </w:t>
      </w:r>
      <w:r w:rsidR="00EF0190">
        <w:rPr>
          <w:sz w:val="22"/>
          <w:szCs w:val="22"/>
        </w:rPr>
        <w:t>2 tabletės</w:t>
      </w:r>
      <w:r w:rsidRPr="00B4100D">
        <w:rPr>
          <w:sz w:val="22"/>
          <w:szCs w:val="22"/>
        </w:rPr>
        <w:t xml:space="preserve"> per parą</w:t>
      </w:r>
      <w:r w:rsidR="00613447" w:rsidRPr="00B4100D">
        <w:rPr>
          <w:sz w:val="22"/>
          <w:szCs w:val="22"/>
        </w:rPr>
        <w:t>.</w:t>
      </w:r>
    </w:p>
    <w:p w14:paraId="56C6207F" w14:textId="5D93EAA4" w:rsidR="0053569C" w:rsidRPr="00B4100D" w:rsidRDefault="0053569C" w:rsidP="0053569C">
      <w:pPr>
        <w:rPr>
          <w:sz w:val="22"/>
          <w:szCs w:val="22"/>
        </w:rPr>
      </w:pPr>
      <w:r w:rsidRPr="00B4100D">
        <w:rPr>
          <w:sz w:val="22"/>
          <w:szCs w:val="22"/>
        </w:rPr>
        <w:t xml:space="preserve">Palaikomoji dozė: </w:t>
      </w:r>
      <w:r w:rsidR="00EF0190">
        <w:rPr>
          <w:sz w:val="22"/>
          <w:szCs w:val="22"/>
        </w:rPr>
        <w:t>1 tabletė</w:t>
      </w:r>
      <w:r w:rsidRPr="00B4100D">
        <w:rPr>
          <w:sz w:val="22"/>
          <w:szCs w:val="22"/>
        </w:rPr>
        <w:t xml:space="preserve"> per parą, vėliau galimai </w:t>
      </w:r>
      <w:r w:rsidR="00EF0190">
        <w:rPr>
          <w:sz w:val="22"/>
          <w:szCs w:val="22"/>
        </w:rPr>
        <w:t>1 tabletė</w:t>
      </w:r>
      <w:r w:rsidRPr="00B4100D">
        <w:rPr>
          <w:sz w:val="22"/>
          <w:szCs w:val="22"/>
        </w:rPr>
        <w:t xml:space="preserve"> kas antrą </w:t>
      </w:r>
      <w:r w:rsidR="00490C5A" w:rsidRPr="00B4100D">
        <w:rPr>
          <w:sz w:val="22"/>
          <w:szCs w:val="22"/>
        </w:rPr>
        <w:t>parą</w:t>
      </w:r>
      <w:r w:rsidRPr="00B4100D">
        <w:rPr>
          <w:sz w:val="22"/>
          <w:szCs w:val="22"/>
        </w:rPr>
        <w:t>.</w:t>
      </w:r>
    </w:p>
    <w:p w14:paraId="09D990AA" w14:textId="77777777" w:rsidR="0053569C" w:rsidRPr="00B4100D" w:rsidRDefault="0053569C" w:rsidP="0053569C">
      <w:pPr>
        <w:rPr>
          <w:sz w:val="22"/>
          <w:szCs w:val="22"/>
        </w:rPr>
      </w:pPr>
    </w:p>
    <w:p w14:paraId="7A8F8C24" w14:textId="77777777" w:rsidR="0053569C" w:rsidRPr="00B4100D" w:rsidRDefault="0053569C" w:rsidP="0053569C">
      <w:pPr>
        <w:rPr>
          <w:i/>
          <w:iCs/>
          <w:sz w:val="22"/>
          <w:szCs w:val="22"/>
        </w:rPr>
      </w:pPr>
      <w:r w:rsidRPr="00B4100D">
        <w:rPr>
          <w:i/>
          <w:iCs/>
          <w:sz w:val="22"/>
          <w:szCs w:val="22"/>
        </w:rPr>
        <w:t>Sisteminė ir diskoidinė raudonoji vilkligė</w:t>
      </w:r>
    </w:p>
    <w:p w14:paraId="70003EBB" w14:textId="7C0E935B" w:rsidR="0053569C" w:rsidRPr="00B4100D" w:rsidRDefault="0053569C" w:rsidP="0053569C">
      <w:pPr>
        <w:rPr>
          <w:sz w:val="22"/>
          <w:szCs w:val="22"/>
        </w:rPr>
      </w:pPr>
      <w:r w:rsidRPr="00B4100D">
        <w:rPr>
          <w:sz w:val="22"/>
          <w:szCs w:val="22"/>
        </w:rPr>
        <w:t xml:space="preserve">Pradinė dozė: </w:t>
      </w:r>
      <w:r w:rsidR="00EF0190">
        <w:rPr>
          <w:sz w:val="22"/>
          <w:szCs w:val="22"/>
        </w:rPr>
        <w:t>2–3 tabletės</w:t>
      </w:r>
      <w:r w:rsidR="00613447" w:rsidRPr="00B4100D">
        <w:rPr>
          <w:sz w:val="22"/>
          <w:szCs w:val="22"/>
        </w:rPr>
        <w:t xml:space="preserve"> </w:t>
      </w:r>
      <w:r w:rsidRPr="00B4100D">
        <w:rPr>
          <w:sz w:val="22"/>
          <w:szCs w:val="22"/>
        </w:rPr>
        <w:t>per parą.</w:t>
      </w:r>
    </w:p>
    <w:p w14:paraId="54737D4D" w14:textId="1B8D9C42" w:rsidR="0053569C" w:rsidRPr="00B4100D" w:rsidRDefault="0053569C" w:rsidP="0053569C">
      <w:pPr>
        <w:rPr>
          <w:sz w:val="22"/>
          <w:szCs w:val="22"/>
        </w:rPr>
      </w:pPr>
      <w:r w:rsidRPr="00B4100D">
        <w:rPr>
          <w:sz w:val="22"/>
          <w:szCs w:val="22"/>
        </w:rPr>
        <w:t xml:space="preserve">Palaikomoji dozė: </w:t>
      </w:r>
      <w:r w:rsidR="00EF0190">
        <w:rPr>
          <w:sz w:val="22"/>
          <w:szCs w:val="22"/>
        </w:rPr>
        <w:t>1-2 tabletės</w:t>
      </w:r>
      <w:r w:rsidR="00613447" w:rsidRPr="00B4100D">
        <w:rPr>
          <w:sz w:val="22"/>
          <w:szCs w:val="22"/>
        </w:rPr>
        <w:t xml:space="preserve"> </w:t>
      </w:r>
      <w:r w:rsidRPr="00B4100D">
        <w:rPr>
          <w:sz w:val="22"/>
          <w:szCs w:val="22"/>
        </w:rPr>
        <w:t>per parą.</w:t>
      </w:r>
    </w:p>
    <w:p w14:paraId="6D9AC611" w14:textId="77777777" w:rsidR="0053569C" w:rsidRPr="00B4100D" w:rsidRDefault="0053569C" w:rsidP="0053569C">
      <w:pPr>
        <w:rPr>
          <w:sz w:val="22"/>
          <w:szCs w:val="22"/>
        </w:rPr>
      </w:pPr>
    </w:p>
    <w:p w14:paraId="65AD64DF" w14:textId="77777777" w:rsidR="0053569C" w:rsidRPr="00B4100D" w:rsidRDefault="0053569C" w:rsidP="0053569C">
      <w:pPr>
        <w:rPr>
          <w:i/>
          <w:iCs/>
          <w:sz w:val="22"/>
          <w:szCs w:val="22"/>
        </w:rPr>
      </w:pPr>
      <w:r w:rsidRPr="00B4100D">
        <w:rPr>
          <w:i/>
          <w:iCs/>
          <w:sz w:val="22"/>
          <w:szCs w:val="22"/>
        </w:rPr>
        <w:t>Odos būklė dėl saulės spindulių</w:t>
      </w:r>
    </w:p>
    <w:p w14:paraId="4F75D567" w14:textId="77777777" w:rsidR="00EF0190" w:rsidRDefault="0053569C" w:rsidP="0053569C">
      <w:pPr>
        <w:rPr>
          <w:sz w:val="22"/>
          <w:szCs w:val="22"/>
        </w:rPr>
      </w:pPr>
      <w:r w:rsidRPr="00B4100D">
        <w:rPr>
          <w:sz w:val="22"/>
          <w:szCs w:val="22"/>
        </w:rPr>
        <w:t xml:space="preserve">Gydoma tik tais laikotarpiais, kai esate veikiami dideliu kiekiu šviesos. </w:t>
      </w:r>
    </w:p>
    <w:p w14:paraId="4803B207" w14:textId="145F6375" w:rsidR="0053569C" w:rsidRPr="00B4100D" w:rsidRDefault="0053569C" w:rsidP="0053569C">
      <w:pPr>
        <w:rPr>
          <w:sz w:val="22"/>
          <w:szCs w:val="22"/>
        </w:rPr>
      </w:pPr>
      <w:r w:rsidRPr="00B4100D">
        <w:rPr>
          <w:sz w:val="22"/>
          <w:szCs w:val="22"/>
        </w:rPr>
        <w:t xml:space="preserve">Suaugusiesiems: paprastai pakanka </w:t>
      </w:r>
      <w:r w:rsidR="00EF0190">
        <w:rPr>
          <w:sz w:val="22"/>
          <w:szCs w:val="22"/>
        </w:rPr>
        <w:t>2 tablečių</w:t>
      </w:r>
      <w:r w:rsidRPr="00B4100D">
        <w:rPr>
          <w:sz w:val="22"/>
          <w:szCs w:val="22"/>
        </w:rPr>
        <w:t xml:space="preserve"> per parą.</w:t>
      </w:r>
    </w:p>
    <w:p w14:paraId="50D1896A" w14:textId="77777777" w:rsidR="0053569C" w:rsidRPr="00B4100D" w:rsidRDefault="0053569C" w:rsidP="0053569C">
      <w:pPr>
        <w:rPr>
          <w:sz w:val="22"/>
          <w:szCs w:val="22"/>
        </w:rPr>
      </w:pPr>
    </w:p>
    <w:p w14:paraId="11917D4E" w14:textId="77777777" w:rsidR="0053569C" w:rsidRPr="00B4100D" w:rsidRDefault="0053569C" w:rsidP="0053569C">
      <w:pPr>
        <w:rPr>
          <w:i/>
          <w:iCs/>
          <w:sz w:val="22"/>
          <w:szCs w:val="22"/>
        </w:rPr>
      </w:pPr>
      <w:r w:rsidRPr="00B4100D">
        <w:rPr>
          <w:i/>
          <w:iCs/>
          <w:sz w:val="22"/>
          <w:szCs w:val="22"/>
        </w:rPr>
        <w:t>Maliarijos profilaktika</w:t>
      </w:r>
    </w:p>
    <w:p w14:paraId="1580CBFE" w14:textId="2A77335B" w:rsidR="0053569C" w:rsidRPr="00B4100D" w:rsidRDefault="0053569C" w:rsidP="0053569C">
      <w:pPr>
        <w:rPr>
          <w:sz w:val="22"/>
          <w:szCs w:val="22"/>
        </w:rPr>
      </w:pPr>
      <w:r w:rsidRPr="00B4100D">
        <w:rPr>
          <w:sz w:val="22"/>
          <w:szCs w:val="22"/>
        </w:rPr>
        <w:t xml:space="preserve">Suaugusiesiems: </w:t>
      </w:r>
      <w:r w:rsidR="00EF0190">
        <w:rPr>
          <w:sz w:val="22"/>
          <w:szCs w:val="22"/>
        </w:rPr>
        <w:t>2 tabletės</w:t>
      </w:r>
      <w:r w:rsidRPr="00B4100D">
        <w:rPr>
          <w:sz w:val="22"/>
          <w:szCs w:val="22"/>
        </w:rPr>
        <w:t xml:space="preserve"> per savaitę tą pačią savaitės dieną. Norėdami išvengti maliarijos, turite gydytis likus </w:t>
      </w:r>
      <w:r w:rsidR="00613447" w:rsidRPr="00B4100D">
        <w:rPr>
          <w:sz w:val="22"/>
          <w:szCs w:val="22"/>
        </w:rPr>
        <w:t xml:space="preserve">vienai </w:t>
      </w:r>
      <w:r w:rsidRPr="00B4100D">
        <w:rPr>
          <w:sz w:val="22"/>
          <w:szCs w:val="22"/>
        </w:rPr>
        <w:t>savaitei iki atvykimo į maliarijos zoną ir tęsti keturi</w:t>
      </w:r>
      <w:r w:rsidR="00613447" w:rsidRPr="00B4100D">
        <w:rPr>
          <w:sz w:val="22"/>
          <w:szCs w:val="22"/>
        </w:rPr>
        <w:t xml:space="preserve">as </w:t>
      </w:r>
      <w:r w:rsidRPr="00B4100D">
        <w:rPr>
          <w:sz w:val="22"/>
          <w:szCs w:val="22"/>
        </w:rPr>
        <w:t>savai</w:t>
      </w:r>
      <w:r w:rsidR="00613447" w:rsidRPr="00B4100D">
        <w:rPr>
          <w:sz w:val="22"/>
          <w:szCs w:val="22"/>
        </w:rPr>
        <w:t>tes</w:t>
      </w:r>
      <w:r w:rsidRPr="00B4100D">
        <w:rPr>
          <w:sz w:val="22"/>
          <w:szCs w:val="22"/>
        </w:rPr>
        <w:t xml:space="preserve"> po išvykimo iš tos srities.</w:t>
      </w:r>
    </w:p>
    <w:p w14:paraId="091E7AA9" w14:textId="77777777" w:rsidR="0053569C" w:rsidRPr="00B4100D" w:rsidRDefault="0053569C" w:rsidP="0053569C">
      <w:pPr>
        <w:rPr>
          <w:sz w:val="22"/>
          <w:szCs w:val="22"/>
        </w:rPr>
      </w:pPr>
    </w:p>
    <w:p w14:paraId="71545F63" w14:textId="45B3F467" w:rsidR="0053569C" w:rsidRPr="00B4100D" w:rsidRDefault="00EF0190" w:rsidP="0053569C">
      <w:pPr>
        <w:rPr>
          <w:i/>
          <w:iCs/>
          <w:sz w:val="22"/>
          <w:szCs w:val="22"/>
        </w:rPr>
      </w:pPr>
      <w:r>
        <w:rPr>
          <w:i/>
          <w:iCs/>
          <w:sz w:val="22"/>
          <w:szCs w:val="22"/>
        </w:rPr>
        <w:t>M</w:t>
      </w:r>
      <w:r w:rsidR="0053569C" w:rsidRPr="00B4100D">
        <w:rPr>
          <w:i/>
          <w:iCs/>
          <w:sz w:val="22"/>
          <w:szCs w:val="22"/>
        </w:rPr>
        <w:t>aliarijos gydymas</w:t>
      </w:r>
    </w:p>
    <w:p w14:paraId="4CDC496F" w14:textId="478DEC48" w:rsidR="0053569C" w:rsidRPr="00B4100D" w:rsidRDefault="0053569C" w:rsidP="0053569C">
      <w:pPr>
        <w:rPr>
          <w:sz w:val="22"/>
          <w:szCs w:val="22"/>
        </w:rPr>
      </w:pPr>
      <w:r w:rsidRPr="00B4100D">
        <w:rPr>
          <w:sz w:val="22"/>
          <w:szCs w:val="22"/>
        </w:rPr>
        <w:t xml:space="preserve">Dozė ūminio maliarijos priepuolio atveju priklauso nuo infekcijos pobūdžio. Bendra dozė yra ne didesnė kaip 2 gramai </w:t>
      </w:r>
      <w:r w:rsidR="00EF0190">
        <w:rPr>
          <w:sz w:val="22"/>
          <w:szCs w:val="22"/>
        </w:rPr>
        <w:t xml:space="preserve">(10 tablečių) </w:t>
      </w:r>
      <w:r w:rsidRPr="00B4100D">
        <w:rPr>
          <w:sz w:val="22"/>
          <w:szCs w:val="22"/>
        </w:rPr>
        <w:t>ir skiriama ne ilgiau kaip per tris dienas.</w:t>
      </w:r>
    </w:p>
    <w:p w14:paraId="39F9F387" w14:textId="77777777" w:rsidR="0053569C" w:rsidRPr="00B4100D" w:rsidRDefault="0053569C" w:rsidP="0053569C">
      <w:pPr>
        <w:rPr>
          <w:sz w:val="22"/>
          <w:szCs w:val="22"/>
        </w:rPr>
      </w:pPr>
    </w:p>
    <w:p w14:paraId="78328CF2" w14:textId="5EEB7A37" w:rsidR="006175FB" w:rsidRPr="00B4100D" w:rsidRDefault="00490C5A" w:rsidP="0053569C">
      <w:pPr>
        <w:rPr>
          <w:i/>
          <w:iCs/>
          <w:sz w:val="22"/>
          <w:szCs w:val="22"/>
          <w:u w:val="single"/>
        </w:rPr>
      </w:pPr>
      <w:r w:rsidRPr="00B4100D">
        <w:rPr>
          <w:i/>
          <w:iCs/>
          <w:sz w:val="22"/>
          <w:szCs w:val="22"/>
          <w:u w:val="single"/>
        </w:rPr>
        <w:t xml:space="preserve">Vartojimas vaikams </w:t>
      </w:r>
    </w:p>
    <w:p w14:paraId="384230C0" w14:textId="77777777" w:rsidR="0053569C" w:rsidRPr="00B4100D" w:rsidRDefault="0053569C" w:rsidP="0053569C">
      <w:pPr>
        <w:rPr>
          <w:sz w:val="22"/>
          <w:szCs w:val="22"/>
        </w:rPr>
      </w:pPr>
      <w:r w:rsidRPr="00B4100D">
        <w:rPr>
          <w:sz w:val="22"/>
          <w:szCs w:val="22"/>
        </w:rPr>
        <w:t>Gydytojas nustatys dozę pagal kūno svorį. 200 mg tabletė netinka vaikams, kurių kūno svoris mažesnis nei 31 kg.</w:t>
      </w:r>
    </w:p>
    <w:p w14:paraId="5E550C84" w14:textId="77777777" w:rsidR="0053569C" w:rsidRPr="00B4100D" w:rsidRDefault="0053569C" w:rsidP="0053569C">
      <w:pPr>
        <w:rPr>
          <w:sz w:val="22"/>
          <w:szCs w:val="22"/>
        </w:rPr>
      </w:pPr>
    </w:p>
    <w:p w14:paraId="7FCE0AD3" w14:textId="77777777" w:rsidR="0053569C" w:rsidRPr="00B4100D" w:rsidRDefault="0053569C" w:rsidP="0053569C">
      <w:pPr>
        <w:rPr>
          <w:i/>
          <w:iCs/>
          <w:sz w:val="22"/>
          <w:szCs w:val="22"/>
          <w:u w:val="single"/>
        </w:rPr>
      </w:pPr>
      <w:r w:rsidRPr="00B4100D">
        <w:rPr>
          <w:i/>
          <w:iCs/>
          <w:sz w:val="22"/>
          <w:szCs w:val="22"/>
          <w:u w:val="single"/>
        </w:rPr>
        <w:t>Sutrikusi inkstų ir kepenų funkcija</w:t>
      </w:r>
    </w:p>
    <w:p w14:paraId="1E824FEB" w14:textId="77777777" w:rsidR="0053569C" w:rsidRPr="00B4100D" w:rsidRDefault="0053569C" w:rsidP="0053569C">
      <w:pPr>
        <w:rPr>
          <w:sz w:val="22"/>
          <w:szCs w:val="22"/>
        </w:rPr>
      </w:pPr>
      <w:r w:rsidRPr="00B4100D">
        <w:rPr>
          <w:sz w:val="22"/>
          <w:szCs w:val="22"/>
        </w:rPr>
        <w:t>Jei sutrikusi inkstų ar kepenų funkcija, gydytojas gali skirti mažesnę dozę.</w:t>
      </w:r>
    </w:p>
    <w:p w14:paraId="0840A93D" w14:textId="77777777" w:rsidR="0053569C" w:rsidRPr="00B4100D" w:rsidRDefault="0053569C" w:rsidP="0053569C">
      <w:pPr>
        <w:rPr>
          <w:sz w:val="22"/>
          <w:szCs w:val="22"/>
        </w:rPr>
      </w:pPr>
    </w:p>
    <w:p w14:paraId="33A94BD9" w14:textId="77777777" w:rsidR="0053569C" w:rsidRPr="00B4100D" w:rsidRDefault="0053569C" w:rsidP="0053569C">
      <w:pPr>
        <w:rPr>
          <w:i/>
          <w:iCs/>
          <w:sz w:val="22"/>
          <w:szCs w:val="22"/>
          <w:u w:val="single"/>
        </w:rPr>
      </w:pPr>
      <w:r w:rsidRPr="00B4100D">
        <w:rPr>
          <w:i/>
          <w:iCs/>
          <w:sz w:val="22"/>
          <w:szCs w:val="22"/>
          <w:u w:val="single"/>
        </w:rPr>
        <w:t>Gydymo trukmė</w:t>
      </w:r>
    </w:p>
    <w:p w14:paraId="00CF90A3" w14:textId="77777777" w:rsidR="0053569C" w:rsidRPr="00B4100D" w:rsidRDefault="0053569C" w:rsidP="0053569C">
      <w:pPr>
        <w:rPr>
          <w:sz w:val="22"/>
          <w:szCs w:val="22"/>
        </w:rPr>
      </w:pPr>
      <w:r w:rsidRPr="00B4100D">
        <w:rPr>
          <w:sz w:val="22"/>
          <w:szCs w:val="22"/>
        </w:rPr>
        <w:t>Laikykitės gydytojo nurodymų dėl gydymo trukmės. Ilgalaikiam gydymui šiuo vaistu gydytojas paskirs mažiausią galimą dozę. Gydant sąnarių sutrikimus, šio vaisto reikia kelioms savaitėms, kad būtų pasiektas geriausias poveikis.</w:t>
      </w:r>
    </w:p>
    <w:p w14:paraId="35EC77A9" w14:textId="77777777" w:rsidR="00613447" w:rsidRPr="00B4100D" w:rsidRDefault="00613447" w:rsidP="0053569C">
      <w:pPr>
        <w:rPr>
          <w:sz w:val="22"/>
          <w:szCs w:val="22"/>
        </w:rPr>
      </w:pPr>
    </w:p>
    <w:p w14:paraId="4BB75BF2" w14:textId="77777777" w:rsidR="00613447" w:rsidRPr="00B4100D" w:rsidRDefault="00613447" w:rsidP="00613447">
      <w:pPr>
        <w:rPr>
          <w:b/>
          <w:bCs/>
        </w:rPr>
      </w:pPr>
      <w:r w:rsidRPr="00B4100D">
        <w:rPr>
          <w:b/>
          <w:bCs/>
          <w:sz w:val="22"/>
          <w:szCs w:val="22"/>
        </w:rPr>
        <w:t>Šio vaisto vartojimas</w:t>
      </w:r>
    </w:p>
    <w:p w14:paraId="544F3824" w14:textId="77777777" w:rsidR="00613447" w:rsidRPr="00B4100D" w:rsidRDefault="00613447" w:rsidP="009C3222">
      <w:pPr>
        <w:pStyle w:val="BTEMEASMCA"/>
        <w:numPr>
          <w:ilvl w:val="1"/>
          <w:numId w:val="16"/>
        </w:numPr>
        <w:ind w:left="567" w:hanging="567"/>
      </w:pPr>
      <w:r w:rsidRPr="00B4100D">
        <w:t>Šį vaistą išgerkite.</w:t>
      </w:r>
    </w:p>
    <w:p w14:paraId="7E29A620" w14:textId="4C18FEB8" w:rsidR="00613447" w:rsidRDefault="00613447" w:rsidP="009C3222">
      <w:pPr>
        <w:pStyle w:val="BTEMEASMCA"/>
        <w:numPr>
          <w:ilvl w:val="1"/>
          <w:numId w:val="16"/>
        </w:numPr>
        <w:ind w:left="567" w:hanging="567"/>
      </w:pPr>
      <w:r w:rsidRPr="00B4100D">
        <w:t xml:space="preserve">Nurykite tabletes </w:t>
      </w:r>
      <w:r w:rsidR="00EA6BC4" w:rsidRPr="00B4100D">
        <w:t>visas</w:t>
      </w:r>
      <w:r w:rsidR="00EA6BC4" w:rsidRPr="00B4100D" w:rsidDel="00DE4D69">
        <w:t xml:space="preserve"> </w:t>
      </w:r>
      <w:r w:rsidRPr="00B4100D">
        <w:t>valgio</w:t>
      </w:r>
      <w:r w:rsidR="00DE4D69">
        <w:t xml:space="preserve"> metu arba</w:t>
      </w:r>
      <w:r w:rsidR="00DE4D69" w:rsidRPr="00DE4D69">
        <w:t xml:space="preserve"> užgerdami stikline pieno. Tablečių netraiškykite ir nekramtykite</w:t>
      </w:r>
      <w:r w:rsidRPr="00B4100D">
        <w:t>.</w:t>
      </w:r>
    </w:p>
    <w:p w14:paraId="2EA71368" w14:textId="79290257" w:rsidR="00EF0190" w:rsidRPr="00B4100D" w:rsidRDefault="00EF0190" w:rsidP="009C3222">
      <w:pPr>
        <w:pStyle w:val="BTEMEASMCA"/>
        <w:numPr>
          <w:ilvl w:val="1"/>
          <w:numId w:val="16"/>
        </w:numPr>
        <w:ind w:left="567" w:hanging="567"/>
      </w:pPr>
      <w:r w:rsidRPr="00EF0190">
        <w:t xml:space="preserve">Tabletes galima </w:t>
      </w:r>
      <w:r>
        <w:t>vartoti</w:t>
      </w:r>
      <w:r w:rsidRPr="00EF0190">
        <w:t xml:space="preserve"> vieną kartą per </w:t>
      </w:r>
      <w:r>
        <w:t>par</w:t>
      </w:r>
      <w:r w:rsidRPr="00EF0190">
        <w:t>ą arba padal</w:t>
      </w:r>
      <w:r w:rsidR="00FE47DB">
        <w:t>ijus per</w:t>
      </w:r>
      <w:r w:rsidRPr="00EF0190">
        <w:t xml:space="preserve"> du ar tris kartus per </w:t>
      </w:r>
      <w:r w:rsidR="00FE47DB">
        <w:t>par</w:t>
      </w:r>
      <w:r w:rsidRPr="00EF0190">
        <w:t>ą.</w:t>
      </w:r>
    </w:p>
    <w:p w14:paraId="1ED70CCB" w14:textId="77777777" w:rsidR="00613447" w:rsidRPr="00B4100D" w:rsidRDefault="00613447" w:rsidP="009C3222">
      <w:pPr>
        <w:pStyle w:val="BTEMEASMCA"/>
        <w:numPr>
          <w:ilvl w:val="1"/>
          <w:numId w:val="16"/>
        </w:numPr>
        <w:ind w:left="567" w:hanging="567"/>
      </w:pPr>
      <w:r w:rsidRPr="00B4100D">
        <w:lastRenderedPageBreak/>
        <w:t>Jei vartojate šį vaistą nuo odos problemų, susijusių su jautrumu saulės spinduliams, Hydroxychloroquine sulfate Accord vartokite tik laikotarpiu, kai yra stiprus šviesos poveikis.</w:t>
      </w:r>
    </w:p>
    <w:p w14:paraId="3B128244" w14:textId="77777777" w:rsidR="00613447" w:rsidRPr="00B4100D" w:rsidRDefault="00613447" w:rsidP="009C3222">
      <w:pPr>
        <w:pStyle w:val="BTEMEASMCA"/>
        <w:numPr>
          <w:ilvl w:val="1"/>
          <w:numId w:val="16"/>
        </w:numPr>
        <w:ind w:left="567" w:hanging="567"/>
      </w:pPr>
      <w:r w:rsidRPr="00B4100D">
        <w:t>Gydytojas apskaičiuos dozę, atsižvelgdamas į Jūsų kūno svorį. Jei jaučiate, kad vaisto poveikis yra per silpnas ar per stiprus, nekeiskite dozės patys, o kreipkitės į gydytoją.</w:t>
      </w:r>
    </w:p>
    <w:p w14:paraId="501C3F39" w14:textId="1E7FF49D" w:rsidR="00613447" w:rsidRPr="00B4100D" w:rsidRDefault="00613447" w:rsidP="009C3222">
      <w:pPr>
        <w:pStyle w:val="BTEMEASMCA"/>
        <w:numPr>
          <w:ilvl w:val="1"/>
          <w:numId w:val="16"/>
        </w:numPr>
        <w:ind w:left="567" w:hanging="567"/>
      </w:pPr>
      <w:r w:rsidRPr="00B4100D">
        <w:t xml:space="preserve">Jei ilgą laiką (daugiau nei 6 mėnesius) vartojate šį vaistą nuo reumatoidinio artrito ir nejaučiate, kad jis Jums padeda, kreipkitės į gydytoją. </w:t>
      </w:r>
      <w:r w:rsidR="002442BB" w:rsidRPr="00B4100D">
        <w:t>T</w:t>
      </w:r>
      <w:r w:rsidRPr="00B4100D">
        <w:t>odėl, kad gali tekti nutraukti gydymą.</w:t>
      </w:r>
    </w:p>
    <w:p w14:paraId="66B24359" w14:textId="77777777" w:rsidR="00613447" w:rsidRPr="00B4100D" w:rsidRDefault="00613447" w:rsidP="00613447">
      <w:pPr>
        <w:pStyle w:val="BTEMEASMCA"/>
      </w:pPr>
    </w:p>
    <w:p w14:paraId="5FCE9EC6" w14:textId="77777777" w:rsidR="00986560" w:rsidRPr="00B4100D" w:rsidRDefault="00986560" w:rsidP="006F0246">
      <w:pPr>
        <w:pStyle w:val="PI-3EMEASMCA"/>
        <w:widowControl w:val="0"/>
      </w:pPr>
      <w:r w:rsidRPr="00B4100D">
        <w:t xml:space="preserve">Ką daryti pavartojus per didelę </w:t>
      </w:r>
      <w:r w:rsidR="0061121A" w:rsidRPr="00B4100D">
        <w:t xml:space="preserve">Hydroxychloroquine sulfate Accord </w:t>
      </w:r>
      <w:r w:rsidRPr="00B4100D">
        <w:t>dozę?</w:t>
      </w:r>
    </w:p>
    <w:p w14:paraId="14ADEBEC" w14:textId="63BFF71B" w:rsidR="0053569C" w:rsidRPr="00B4100D" w:rsidRDefault="0053569C" w:rsidP="009C3222">
      <w:pPr>
        <w:pStyle w:val="Sraopastraipa"/>
        <w:widowControl w:val="0"/>
        <w:numPr>
          <w:ilvl w:val="0"/>
          <w:numId w:val="17"/>
        </w:numPr>
        <w:ind w:left="567" w:hanging="567"/>
        <w:rPr>
          <w:sz w:val="22"/>
          <w:szCs w:val="22"/>
        </w:rPr>
      </w:pPr>
      <w:r w:rsidRPr="00B4100D">
        <w:rPr>
          <w:sz w:val="22"/>
          <w:szCs w:val="22"/>
        </w:rPr>
        <w:t xml:space="preserve">Pavartojus per didelę Hydroxychloroquine sulfate Accord dozę, </w:t>
      </w:r>
      <w:r w:rsidRPr="000874A7">
        <w:rPr>
          <w:b/>
          <w:bCs/>
          <w:sz w:val="22"/>
          <w:szCs w:val="22"/>
        </w:rPr>
        <w:t>nedelsdami</w:t>
      </w:r>
      <w:r w:rsidRPr="00B4100D">
        <w:rPr>
          <w:sz w:val="22"/>
          <w:szCs w:val="22"/>
        </w:rPr>
        <w:t xml:space="preserve"> praneškite</w:t>
      </w:r>
      <w:r w:rsidR="00537B28" w:rsidRPr="00B4100D">
        <w:rPr>
          <w:sz w:val="22"/>
          <w:szCs w:val="22"/>
        </w:rPr>
        <w:t xml:space="preserve"> </w:t>
      </w:r>
      <w:r w:rsidRPr="00B4100D">
        <w:rPr>
          <w:sz w:val="22"/>
          <w:szCs w:val="22"/>
        </w:rPr>
        <w:t xml:space="preserve">gydytojui arba vykite į ligoninės </w:t>
      </w:r>
      <w:r w:rsidR="00F7394E" w:rsidRPr="00B4100D">
        <w:rPr>
          <w:sz w:val="22"/>
          <w:szCs w:val="22"/>
        </w:rPr>
        <w:t xml:space="preserve">skubios </w:t>
      </w:r>
      <w:r w:rsidRPr="00B4100D">
        <w:rPr>
          <w:sz w:val="22"/>
          <w:szCs w:val="22"/>
        </w:rPr>
        <w:t>pagalbos skyrių. Pasiimkite vaistą su savimi.</w:t>
      </w:r>
    </w:p>
    <w:p w14:paraId="6F4075FA" w14:textId="23B3E385" w:rsidR="0053569C" w:rsidRPr="00B4100D" w:rsidRDefault="0053569C" w:rsidP="009C3222">
      <w:pPr>
        <w:pStyle w:val="Sraopastraipa"/>
        <w:widowControl w:val="0"/>
        <w:numPr>
          <w:ilvl w:val="0"/>
          <w:numId w:val="17"/>
        </w:numPr>
        <w:ind w:left="567" w:hanging="567"/>
        <w:rPr>
          <w:sz w:val="22"/>
          <w:szCs w:val="22"/>
        </w:rPr>
      </w:pPr>
      <w:r w:rsidRPr="00B4100D">
        <w:rPr>
          <w:sz w:val="22"/>
          <w:szCs w:val="22"/>
        </w:rPr>
        <w:t>Tai yra tam, kad gydytojas žinotų, k</w:t>
      </w:r>
      <w:r w:rsidR="00E43D81" w:rsidRPr="00B4100D">
        <w:rPr>
          <w:sz w:val="22"/>
          <w:szCs w:val="22"/>
        </w:rPr>
        <w:t>ą</w:t>
      </w:r>
      <w:r w:rsidRPr="00B4100D">
        <w:rPr>
          <w:sz w:val="22"/>
          <w:szCs w:val="22"/>
        </w:rPr>
        <w:t xml:space="preserve"> vartojote. Gali atsirasti to</w:t>
      </w:r>
      <w:r w:rsidR="00F7394E" w:rsidRPr="00B4100D">
        <w:rPr>
          <w:sz w:val="22"/>
          <w:szCs w:val="22"/>
        </w:rPr>
        <w:t>k</w:t>
      </w:r>
      <w:r w:rsidRPr="00B4100D">
        <w:rPr>
          <w:sz w:val="22"/>
          <w:szCs w:val="22"/>
        </w:rPr>
        <w:t>s poveikis: galvos skausmas, regėjimo problemos, kraujospūdžio sumažėjimas, traukuliai (</w:t>
      </w:r>
      <w:r w:rsidR="006F0246" w:rsidRPr="00B4100D">
        <w:rPr>
          <w:sz w:val="22"/>
          <w:szCs w:val="22"/>
        </w:rPr>
        <w:t>priepuo</w:t>
      </w:r>
      <w:r w:rsidRPr="00B4100D">
        <w:rPr>
          <w:sz w:val="22"/>
          <w:szCs w:val="22"/>
        </w:rPr>
        <w:t xml:space="preserve">liai), širdies </w:t>
      </w:r>
      <w:r w:rsidR="00FE47DB" w:rsidRPr="00FE47DB">
        <w:rPr>
          <w:sz w:val="22"/>
          <w:szCs w:val="22"/>
        </w:rPr>
        <w:t>sutrikimai, sukeliantys netolygų širdies plakimą</w:t>
      </w:r>
      <w:r w:rsidRPr="00B4100D">
        <w:rPr>
          <w:sz w:val="22"/>
          <w:szCs w:val="22"/>
        </w:rPr>
        <w:t xml:space="preserve">, po kurių gali kilti staigus sunkus kvėpavimo sutrikimas ir galbūt širdies priepuolis. </w:t>
      </w:r>
      <w:r w:rsidR="006F0246" w:rsidRPr="00B4100D">
        <w:rPr>
          <w:sz w:val="22"/>
          <w:szCs w:val="22"/>
        </w:rPr>
        <w:t>Hydroxychloroquine sulfate Accord perdozavimas</w:t>
      </w:r>
      <w:r w:rsidRPr="00B4100D">
        <w:rPr>
          <w:sz w:val="22"/>
          <w:szCs w:val="22"/>
        </w:rPr>
        <w:t xml:space="preserve"> gali baigtis mirtimi</w:t>
      </w:r>
      <w:r w:rsidR="006F0246" w:rsidRPr="00B4100D">
        <w:rPr>
          <w:sz w:val="22"/>
          <w:szCs w:val="22"/>
        </w:rPr>
        <w:t>.</w:t>
      </w:r>
    </w:p>
    <w:p w14:paraId="16FAEF55" w14:textId="5677A25F" w:rsidR="0053569C" w:rsidRPr="00B4100D" w:rsidRDefault="0053569C" w:rsidP="009C3222">
      <w:pPr>
        <w:pStyle w:val="Sraopastraipa"/>
        <w:widowControl w:val="0"/>
        <w:numPr>
          <w:ilvl w:val="0"/>
          <w:numId w:val="17"/>
        </w:numPr>
        <w:ind w:left="567" w:hanging="567"/>
        <w:rPr>
          <w:sz w:val="22"/>
          <w:szCs w:val="22"/>
        </w:rPr>
      </w:pPr>
      <w:r w:rsidRPr="00B4100D">
        <w:rPr>
          <w:sz w:val="22"/>
          <w:szCs w:val="22"/>
        </w:rPr>
        <w:t>Maži</w:t>
      </w:r>
      <w:r w:rsidR="00F7394E" w:rsidRPr="00B4100D">
        <w:rPr>
          <w:sz w:val="22"/>
          <w:szCs w:val="22"/>
        </w:rPr>
        <w:t>ems</w:t>
      </w:r>
      <w:r w:rsidRPr="00B4100D">
        <w:rPr>
          <w:sz w:val="22"/>
          <w:szCs w:val="22"/>
        </w:rPr>
        <w:t xml:space="preserve"> vaika</w:t>
      </w:r>
      <w:r w:rsidR="00F7394E" w:rsidRPr="00B4100D">
        <w:rPr>
          <w:sz w:val="22"/>
          <w:szCs w:val="22"/>
        </w:rPr>
        <w:t>ms</w:t>
      </w:r>
      <w:r w:rsidRPr="00B4100D">
        <w:rPr>
          <w:sz w:val="22"/>
          <w:szCs w:val="22"/>
        </w:rPr>
        <w:t xml:space="preserve"> ir kūdikia</w:t>
      </w:r>
      <w:r w:rsidR="006F0246" w:rsidRPr="00B4100D">
        <w:rPr>
          <w:sz w:val="22"/>
          <w:szCs w:val="22"/>
        </w:rPr>
        <w:t>ms</w:t>
      </w:r>
      <w:r w:rsidRPr="00B4100D">
        <w:rPr>
          <w:sz w:val="22"/>
          <w:szCs w:val="22"/>
        </w:rPr>
        <w:t xml:space="preserve"> </w:t>
      </w:r>
      <w:r w:rsidR="006F0246" w:rsidRPr="00B4100D">
        <w:rPr>
          <w:sz w:val="22"/>
          <w:szCs w:val="22"/>
        </w:rPr>
        <w:t xml:space="preserve">kyla </w:t>
      </w:r>
      <w:r w:rsidRPr="00B4100D">
        <w:rPr>
          <w:sz w:val="22"/>
          <w:szCs w:val="22"/>
        </w:rPr>
        <w:t>ypating</w:t>
      </w:r>
      <w:r w:rsidR="006F0246" w:rsidRPr="00B4100D">
        <w:rPr>
          <w:sz w:val="22"/>
          <w:szCs w:val="22"/>
        </w:rPr>
        <w:t>as</w:t>
      </w:r>
      <w:r w:rsidRPr="00B4100D">
        <w:rPr>
          <w:sz w:val="22"/>
          <w:szCs w:val="22"/>
        </w:rPr>
        <w:t xml:space="preserve"> pavoj</w:t>
      </w:r>
      <w:r w:rsidR="006F0246" w:rsidRPr="00B4100D">
        <w:rPr>
          <w:sz w:val="22"/>
          <w:szCs w:val="22"/>
        </w:rPr>
        <w:t>us</w:t>
      </w:r>
      <w:r w:rsidRPr="00B4100D">
        <w:rPr>
          <w:sz w:val="22"/>
          <w:szCs w:val="22"/>
        </w:rPr>
        <w:t xml:space="preserve">, jei </w:t>
      </w:r>
      <w:r w:rsidR="006F0246" w:rsidRPr="00B4100D">
        <w:rPr>
          <w:sz w:val="22"/>
          <w:szCs w:val="22"/>
        </w:rPr>
        <w:t xml:space="preserve">jie </w:t>
      </w:r>
      <w:r w:rsidRPr="00B4100D">
        <w:rPr>
          <w:sz w:val="22"/>
          <w:szCs w:val="22"/>
        </w:rPr>
        <w:t xml:space="preserve">netyčia pavartoja </w:t>
      </w:r>
      <w:r w:rsidR="006F0246" w:rsidRPr="00B4100D">
        <w:rPr>
          <w:sz w:val="22"/>
          <w:szCs w:val="22"/>
        </w:rPr>
        <w:t>Hydroxychloroquine sulfate Accord</w:t>
      </w:r>
      <w:r w:rsidRPr="00B4100D">
        <w:rPr>
          <w:sz w:val="22"/>
          <w:szCs w:val="22"/>
        </w:rPr>
        <w:t>. Nedelsdami vežkite vaiką į ligoninę</w:t>
      </w:r>
      <w:r w:rsidR="006F0246" w:rsidRPr="00B4100D">
        <w:rPr>
          <w:sz w:val="22"/>
          <w:szCs w:val="22"/>
        </w:rPr>
        <w:t>.</w:t>
      </w:r>
    </w:p>
    <w:p w14:paraId="33BC5EEE" w14:textId="77777777" w:rsidR="0053569C" w:rsidRPr="00B4100D" w:rsidRDefault="0053569C" w:rsidP="006F0246">
      <w:pPr>
        <w:widowControl w:val="0"/>
        <w:rPr>
          <w:sz w:val="22"/>
          <w:szCs w:val="22"/>
        </w:rPr>
      </w:pPr>
    </w:p>
    <w:p w14:paraId="5C929C23" w14:textId="77777777" w:rsidR="00986560" w:rsidRPr="00B4100D" w:rsidRDefault="00986560" w:rsidP="00986560">
      <w:pPr>
        <w:pStyle w:val="PI-3EMEASMCA"/>
      </w:pPr>
      <w:r w:rsidRPr="00B4100D">
        <w:t xml:space="preserve">Pamiršus pavartoti </w:t>
      </w:r>
      <w:r w:rsidR="0061121A" w:rsidRPr="00B4100D">
        <w:t>Hydroxychloroquine sulfate Accord</w:t>
      </w:r>
    </w:p>
    <w:p w14:paraId="7F7CD615" w14:textId="77777777" w:rsidR="00986560" w:rsidRPr="00B4100D" w:rsidRDefault="00986560" w:rsidP="006F0246">
      <w:pPr>
        <w:pStyle w:val="BTEMEASMCA"/>
      </w:pPr>
      <w:r w:rsidRPr="00B4100D">
        <w:t>Jei užmiršote laiku išgerti vaist</w:t>
      </w:r>
      <w:r w:rsidR="006F0246" w:rsidRPr="00B4100D">
        <w:t>ą</w:t>
      </w:r>
      <w:r w:rsidRPr="00B4100D">
        <w:t xml:space="preserve">, išgerkite, kai tik prisiminsite. </w:t>
      </w:r>
      <w:r w:rsidR="006F0246" w:rsidRPr="00B4100D">
        <w:t xml:space="preserve">Tačiau jei jau beveik atėjo laikas kitai dozei, praleistos dozės negerkite. </w:t>
      </w:r>
      <w:r w:rsidRPr="000874A7">
        <w:rPr>
          <w:b/>
          <w:bCs/>
        </w:rPr>
        <w:t>Negalima</w:t>
      </w:r>
      <w:r w:rsidRPr="00B4100D">
        <w:t xml:space="preserve"> vartoti dvigubos dozės, norint kompensuoti praleistą dozę.</w:t>
      </w:r>
    </w:p>
    <w:p w14:paraId="732DEEFE" w14:textId="77777777" w:rsidR="00986560" w:rsidRPr="00B4100D" w:rsidRDefault="00986560" w:rsidP="00C475DF">
      <w:pPr>
        <w:pStyle w:val="BTEMEASMCA"/>
      </w:pPr>
    </w:p>
    <w:p w14:paraId="443680C8" w14:textId="77777777" w:rsidR="00986560" w:rsidRPr="00B4100D" w:rsidRDefault="00986560" w:rsidP="00986560">
      <w:pPr>
        <w:pStyle w:val="PI-3EMEASMCA"/>
      </w:pPr>
      <w:r w:rsidRPr="00B4100D">
        <w:t xml:space="preserve">Nustojus vartoti </w:t>
      </w:r>
      <w:r w:rsidR="0061121A" w:rsidRPr="00B4100D">
        <w:t>Hydroxychloroquine sulfate Accord</w:t>
      </w:r>
    </w:p>
    <w:p w14:paraId="79F751E5" w14:textId="77777777" w:rsidR="00986560" w:rsidRPr="00B4100D" w:rsidRDefault="006F0246" w:rsidP="006E671E">
      <w:pPr>
        <w:pStyle w:val="BTEMEASMCA"/>
      </w:pPr>
      <w:r w:rsidRPr="00B4100D">
        <w:t xml:space="preserve">Vaistą vartokite tol, kol jo vartojimą nurodys nutraukti gydytojas. Nenustokite vartoti Hydroxychloroquine sulfate Accord tik todėl, kad pasijusite geriau. Jei nustosite, Jūsų liga vėl gali pasunkėti. </w:t>
      </w:r>
    </w:p>
    <w:p w14:paraId="200DA4D8" w14:textId="77777777" w:rsidR="00986560" w:rsidRPr="00B4100D" w:rsidRDefault="00986560" w:rsidP="006E671E">
      <w:pPr>
        <w:pStyle w:val="BTEMEASMCA"/>
      </w:pPr>
    </w:p>
    <w:p w14:paraId="4679C69D" w14:textId="77777777" w:rsidR="00986560" w:rsidRPr="00B4100D" w:rsidRDefault="00986560" w:rsidP="00C475DF">
      <w:pPr>
        <w:pStyle w:val="BTEMEASMCA"/>
      </w:pPr>
      <w:r w:rsidRPr="00B4100D">
        <w:t>Jeigu kiltų daugiau klausimų dėl šio vaisto vartojimo, kreipkitės į gydytoją arba vaistininką.</w:t>
      </w:r>
    </w:p>
    <w:p w14:paraId="48C54E33" w14:textId="77777777" w:rsidR="00986560" w:rsidRPr="00B4100D" w:rsidRDefault="00986560" w:rsidP="00CA2561">
      <w:pPr>
        <w:pStyle w:val="BTEMEASMCA"/>
      </w:pPr>
    </w:p>
    <w:p w14:paraId="5455DA36" w14:textId="77777777" w:rsidR="00986560" w:rsidRPr="00B4100D" w:rsidRDefault="00986560" w:rsidP="00CA2561">
      <w:pPr>
        <w:pStyle w:val="BTEMEASMCA"/>
      </w:pPr>
    </w:p>
    <w:p w14:paraId="7CA121BB" w14:textId="77777777" w:rsidR="00986560" w:rsidRPr="00B4100D" w:rsidRDefault="00986560" w:rsidP="00986560">
      <w:pPr>
        <w:pStyle w:val="PI-1EMEASMCA"/>
      </w:pPr>
      <w:bookmarkStart w:id="83" w:name="_Toc129243142"/>
      <w:bookmarkStart w:id="84" w:name="_Toc129243267"/>
      <w:r w:rsidRPr="00B4100D">
        <w:t>4.</w:t>
      </w:r>
      <w:r w:rsidRPr="00B4100D">
        <w:tab/>
        <w:t>Galimas šalutinis poveikis</w:t>
      </w:r>
      <w:bookmarkEnd w:id="83"/>
      <w:bookmarkEnd w:id="84"/>
    </w:p>
    <w:p w14:paraId="4C97F426" w14:textId="77777777" w:rsidR="00986560" w:rsidRPr="00B4100D" w:rsidRDefault="00986560" w:rsidP="006E671E">
      <w:pPr>
        <w:pStyle w:val="BTEMEASMCA"/>
      </w:pPr>
    </w:p>
    <w:p w14:paraId="7C7E4153" w14:textId="77777777" w:rsidR="00986560" w:rsidRPr="00B4100D" w:rsidRDefault="00986560" w:rsidP="006E671E">
      <w:pPr>
        <w:pStyle w:val="BTEMEASMCA"/>
      </w:pPr>
      <w:r w:rsidRPr="00B4100D">
        <w:t>Šis vaistas, kaip ir visi kiti, gali sukelti šalutinį poveikį, nors jis pasireiškia ne visiems žmonėms.</w:t>
      </w:r>
    </w:p>
    <w:p w14:paraId="129D0018" w14:textId="77777777" w:rsidR="003F3154" w:rsidRDefault="003F3154" w:rsidP="00C475DF">
      <w:pPr>
        <w:pStyle w:val="BTEMEASMCA"/>
      </w:pPr>
    </w:p>
    <w:p w14:paraId="7663AADF" w14:textId="77777777" w:rsidR="00EA6BC4" w:rsidRDefault="00EA6BC4" w:rsidP="00EA6BC4">
      <w:pPr>
        <w:pStyle w:val="BTEMEASMCA"/>
        <w:rPr>
          <w:b/>
          <w:bCs/>
        </w:rPr>
      </w:pPr>
      <w:r w:rsidRPr="00B4100D">
        <w:rPr>
          <w:b/>
          <w:bCs/>
        </w:rPr>
        <w:t>Nustokite vartoti Hydroxychloroquine sulfate Accord ir nedelsdami kreipkitės į gydytoją arba vykite į ligoninę, jei</w:t>
      </w:r>
      <w:r>
        <w:rPr>
          <w:b/>
          <w:bCs/>
        </w:rPr>
        <w:t>:</w:t>
      </w:r>
    </w:p>
    <w:p w14:paraId="689F1CF4" w14:textId="77777777" w:rsidR="00EA6BC4" w:rsidRDefault="00EA6BC4" w:rsidP="009C3222">
      <w:pPr>
        <w:pStyle w:val="BTEMEASMCA"/>
        <w:numPr>
          <w:ilvl w:val="0"/>
          <w:numId w:val="27"/>
        </w:numPr>
        <w:ind w:left="567" w:hanging="567"/>
      </w:pPr>
      <w:r w:rsidRPr="00111B84">
        <w:t xml:space="preserve">Jums pasireiškė alerginė reakcija. Požymiai gali būti: raudonas arba gumbuotas </w:t>
      </w:r>
      <w:r>
        <w:t>iš</w:t>
      </w:r>
      <w:r w:rsidRPr="00111B84">
        <w:t>bėrimas, rijimo ar kvėpavimo sutrikimai, akių vokų, lūpų, veido, gerklės ar liežuvio patinimas.</w:t>
      </w:r>
    </w:p>
    <w:p w14:paraId="15681391" w14:textId="77777777" w:rsidR="00EA6BC4" w:rsidRPr="00B4100D" w:rsidRDefault="00EA6BC4" w:rsidP="00C475DF">
      <w:pPr>
        <w:pStyle w:val="BTEMEASMCA"/>
      </w:pPr>
    </w:p>
    <w:p w14:paraId="2C1964C6" w14:textId="6825FA41" w:rsidR="00B35D3F" w:rsidRPr="00B4100D" w:rsidRDefault="00B35D3F" w:rsidP="00FE47DB">
      <w:pPr>
        <w:pStyle w:val="BTEMEASMCA"/>
        <w:rPr>
          <w:b/>
          <w:bCs/>
        </w:rPr>
      </w:pPr>
      <w:r w:rsidRPr="00B4100D">
        <w:rPr>
          <w:b/>
          <w:bCs/>
        </w:rPr>
        <w:t>Nustokite vartoti Hydroxychloroquine sulfate Accord ir nedelsdami kreipkitės į gydytoją, jei</w:t>
      </w:r>
      <w:r w:rsidR="00613447" w:rsidRPr="00B4100D">
        <w:rPr>
          <w:b/>
          <w:bCs/>
        </w:rPr>
        <w:t xml:space="preserve"> Jums atsiras bet kuris iš toliau išvardytų </w:t>
      </w:r>
      <w:r w:rsidR="00EA6BC4">
        <w:rPr>
          <w:b/>
          <w:bCs/>
        </w:rPr>
        <w:t xml:space="preserve">sunkių </w:t>
      </w:r>
      <w:r w:rsidR="00613447" w:rsidRPr="00B4100D">
        <w:rPr>
          <w:b/>
          <w:bCs/>
        </w:rPr>
        <w:t>šalutini</w:t>
      </w:r>
      <w:r w:rsidR="00FE47DB">
        <w:rPr>
          <w:b/>
          <w:bCs/>
        </w:rPr>
        <w:t>o</w:t>
      </w:r>
      <w:r w:rsidR="00613447" w:rsidRPr="00B4100D">
        <w:rPr>
          <w:b/>
          <w:bCs/>
        </w:rPr>
        <w:t xml:space="preserve"> poveiki</w:t>
      </w:r>
      <w:r w:rsidR="00FE47DB">
        <w:rPr>
          <w:b/>
          <w:bCs/>
        </w:rPr>
        <w:t>o reiškinių</w:t>
      </w:r>
      <w:r w:rsidR="00EA6BC4">
        <w:rPr>
          <w:b/>
          <w:bCs/>
        </w:rPr>
        <w:t xml:space="preserve"> – </w:t>
      </w:r>
      <w:r w:rsidR="00EA6BC4" w:rsidRPr="00EA6BC4">
        <w:rPr>
          <w:b/>
          <w:bCs/>
        </w:rPr>
        <w:t>Jums gali prireikti skubios medicininės pagalbos</w:t>
      </w:r>
      <w:r w:rsidRPr="00B4100D">
        <w:rPr>
          <w:b/>
          <w:bCs/>
        </w:rPr>
        <w:t>:</w:t>
      </w:r>
    </w:p>
    <w:p w14:paraId="289E5723" w14:textId="77777777" w:rsidR="00EA6BC4" w:rsidRPr="000874A7" w:rsidRDefault="00EA6BC4" w:rsidP="009C3222">
      <w:pPr>
        <w:pStyle w:val="BTEMEASMCA"/>
        <w:numPr>
          <w:ilvl w:val="0"/>
          <w:numId w:val="27"/>
        </w:numPr>
        <w:tabs>
          <w:tab w:val="clear" w:pos="540"/>
          <w:tab w:val="left" w:pos="567"/>
        </w:tabs>
        <w:ind w:left="567" w:hanging="567"/>
      </w:pPr>
      <w:r w:rsidRPr="000874A7">
        <w:t>Mintys apie savęs žalojimą arba savižudybę (žr. 2 skyrių „Įspėjimai ir atsargumo priemonės“) (dažnis nežinomas: dažnis negali būti apskaičiuotas pagal turimus duomenis).</w:t>
      </w:r>
    </w:p>
    <w:p w14:paraId="5D819D26" w14:textId="77777777" w:rsidR="00EA6BC4" w:rsidRPr="000874A7" w:rsidRDefault="00EA6BC4" w:rsidP="009C3222">
      <w:pPr>
        <w:pStyle w:val="BTEMEASMCA"/>
        <w:numPr>
          <w:ilvl w:val="0"/>
          <w:numId w:val="27"/>
        </w:numPr>
        <w:tabs>
          <w:tab w:val="clear" w:pos="540"/>
          <w:tab w:val="left" w:pos="567"/>
        </w:tabs>
        <w:ind w:left="567" w:hanging="567"/>
      </w:pPr>
      <w:r w:rsidRPr="000874A7">
        <w:t>Turite bet kokių akių sutrikimų. Tai apima Jūsų akių spalvos pokyčius ir regėjimo problemas, tokias kaip neryškus vaizdus, jautrumas šviesai arba pakitęs spalvų matymas.</w:t>
      </w:r>
    </w:p>
    <w:p w14:paraId="5076A6ED" w14:textId="77777777" w:rsidR="00EA6BC4" w:rsidRPr="000874A7" w:rsidRDefault="00EA6BC4" w:rsidP="009C3222">
      <w:pPr>
        <w:pStyle w:val="BTEMEASMCA"/>
        <w:numPr>
          <w:ilvl w:val="0"/>
          <w:numId w:val="27"/>
        </w:numPr>
        <w:tabs>
          <w:tab w:val="clear" w:pos="540"/>
          <w:tab w:val="left" w:pos="567"/>
        </w:tabs>
        <w:ind w:left="567" w:hanging="567"/>
      </w:pPr>
      <w:r w:rsidRPr="000874A7">
        <w:t>Jums yra raumenų silpnumas, mėšlungis, sustingimas ar spazmai arba jutimo pakitimai, pvz., dilgčiojimas.</w:t>
      </w:r>
    </w:p>
    <w:p w14:paraId="72EEB00E" w14:textId="77777777" w:rsidR="00EA6BC4" w:rsidRPr="000874A7" w:rsidRDefault="00EA6BC4" w:rsidP="009C3222">
      <w:pPr>
        <w:pStyle w:val="BTEMEASMCA"/>
        <w:numPr>
          <w:ilvl w:val="0"/>
          <w:numId w:val="27"/>
        </w:numPr>
        <w:tabs>
          <w:tab w:val="clear" w:pos="540"/>
          <w:tab w:val="left" w:pos="567"/>
        </w:tabs>
        <w:ind w:left="567" w:hanging="567"/>
      </w:pPr>
      <w:r w:rsidRPr="000874A7">
        <w:t>Jei vartojate šį vaistą ilgą laiką, gydytojas retkarčiais patikrins Jūsų raumenis ir sausgysles, kad įsitikintų, ar jie tinkamai veikia.</w:t>
      </w:r>
    </w:p>
    <w:p w14:paraId="0EA9B558" w14:textId="0A787655" w:rsidR="00A12722" w:rsidRPr="000874A7" w:rsidRDefault="00A12722" w:rsidP="009C3222">
      <w:pPr>
        <w:pStyle w:val="BTEMEASMCA"/>
        <w:numPr>
          <w:ilvl w:val="0"/>
          <w:numId w:val="27"/>
        </w:numPr>
        <w:ind w:left="567" w:hanging="567"/>
      </w:pPr>
      <w:r w:rsidRPr="000874A7">
        <w:t>Sunkios odos reakcijos (žr. 2 skyrių „Įspėjimai ir atsargumo priemonės“), tokios kaip:</w:t>
      </w:r>
    </w:p>
    <w:p w14:paraId="4F5A029E" w14:textId="43577DB3" w:rsidR="00A12722" w:rsidRDefault="00A12722" w:rsidP="009C3222">
      <w:pPr>
        <w:pStyle w:val="BTEMEASMCA"/>
        <w:numPr>
          <w:ilvl w:val="0"/>
          <w:numId w:val="26"/>
        </w:numPr>
        <w:tabs>
          <w:tab w:val="clear" w:pos="540"/>
          <w:tab w:val="left" w:pos="851"/>
        </w:tabs>
        <w:ind w:left="851" w:hanging="284"/>
      </w:pPr>
      <w:r>
        <w:t xml:space="preserve">išbėrimas kartu su karščiavimu, į gripą panašiais simptomais ir limfmazgių padidėjimu. Tai gali būti būklė, vadinama reakcija į vaistą su eozinofilija ir sisteminiais simptomais (angl. </w:t>
      </w:r>
      <w:r w:rsidRPr="00A12722">
        <w:rPr>
          <w:i/>
          <w:iCs/>
        </w:rPr>
        <w:t>drug reaction with eosinophilia and systemic symptoms, DRESS</w:t>
      </w:r>
      <w:r>
        <w:t>);</w:t>
      </w:r>
    </w:p>
    <w:p w14:paraId="60136BCB" w14:textId="4284E916" w:rsidR="00A12722" w:rsidRDefault="00A12722" w:rsidP="009C3222">
      <w:pPr>
        <w:pStyle w:val="BTEMEASMCA"/>
        <w:numPr>
          <w:ilvl w:val="0"/>
          <w:numId w:val="26"/>
        </w:numPr>
        <w:tabs>
          <w:tab w:val="clear" w:pos="540"/>
          <w:tab w:val="left" w:pos="851"/>
        </w:tabs>
        <w:ind w:left="851" w:hanging="284"/>
      </w:pPr>
      <w:r>
        <w:t xml:space="preserve">pūslių atsiradimas, išplitęs odos pleiskanojimas, pūliais užpildytos dėmės kartu su karščiavimu. Tai gali būti būklė, vadinama ūmine išplitusia egzantemine pustulioze (angl. </w:t>
      </w:r>
      <w:r w:rsidRPr="000874A7">
        <w:t>acute generalised exanthematous pustulosis, AGEP</w:t>
      </w:r>
      <w:r>
        <w:t>);</w:t>
      </w:r>
    </w:p>
    <w:p w14:paraId="173968B0" w14:textId="21C5ABAC" w:rsidR="00A12722" w:rsidRDefault="00A12722" w:rsidP="009C3222">
      <w:pPr>
        <w:pStyle w:val="BTEMEASMCA"/>
        <w:numPr>
          <w:ilvl w:val="0"/>
          <w:numId w:val="26"/>
        </w:numPr>
        <w:tabs>
          <w:tab w:val="clear" w:pos="540"/>
          <w:tab w:val="left" w:pos="851"/>
        </w:tabs>
        <w:ind w:left="851" w:hanging="284"/>
      </w:pPr>
      <w:r>
        <w:lastRenderedPageBreak/>
        <w:t>odos pūslių susidarymas arba lupimasis aplink lūpas, akis, burną, nosį ir lytinius organus, į gripą panašūs simptomai ir karščiavimas. Tai gali būti būklė, vadinama Stivenso-Džonsono (</w:t>
      </w:r>
      <w:r w:rsidRPr="000874A7">
        <w:t>Stevens-Johnson</w:t>
      </w:r>
      <w:r>
        <w:t>) sindromu (</w:t>
      </w:r>
      <w:r w:rsidRPr="000874A7">
        <w:t>SJS</w:t>
      </w:r>
      <w:r>
        <w:t>);</w:t>
      </w:r>
    </w:p>
    <w:p w14:paraId="3B139C82" w14:textId="51F17DB0" w:rsidR="00A12722" w:rsidRDefault="00A12722" w:rsidP="009C3222">
      <w:pPr>
        <w:pStyle w:val="BTEMEASMCA"/>
        <w:numPr>
          <w:ilvl w:val="0"/>
          <w:numId w:val="26"/>
        </w:numPr>
        <w:tabs>
          <w:tab w:val="clear" w:pos="540"/>
          <w:tab w:val="left" w:pos="851"/>
        </w:tabs>
        <w:ind w:left="851" w:hanging="284"/>
      </w:pPr>
      <w:r>
        <w:t>daugybinės odos pažaidos, odos niežėjimas, sąnarių maudimas, karščiavimas ir bendrasis negalavimas. Tai gali būti būklė, vadinama toksine epidermio nekrolize (TEN);</w:t>
      </w:r>
    </w:p>
    <w:p w14:paraId="62E74CEF" w14:textId="0D151813" w:rsidR="00B14844" w:rsidRDefault="00A12722" w:rsidP="009C3222">
      <w:pPr>
        <w:pStyle w:val="BTEMEASMCA"/>
        <w:numPr>
          <w:ilvl w:val="0"/>
          <w:numId w:val="26"/>
        </w:numPr>
        <w:tabs>
          <w:tab w:val="clear" w:pos="540"/>
          <w:tab w:val="left" w:pos="851"/>
        </w:tabs>
        <w:ind w:left="851" w:hanging="284"/>
      </w:pPr>
      <w:r>
        <w:t>odos reakcija, įskaitant iškilusias, skausmingas slyvos spalvos žaizdeles, ypač ant rankų, plaštakų, pirštų, veido ir kaklo; kartu gali pasireikšti karščiavimas. Tai gali būti būklė, vadinama Svyto (</w:t>
      </w:r>
      <w:r w:rsidRPr="000874A7">
        <w:t>Sweet</w:t>
      </w:r>
      <w:r>
        <w:t>) sindromu.</w:t>
      </w:r>
    </w:p>
    <w:p w14:paraId="6407E0F4" w14:textId="77777777" w:rsidR="00D00B77" w:rsidRDefault="00D00B77" w:rsidP="009C3222">
      <w:pPr>
        <w:pStyle w:val="BTEMEASMCA"/>
        <w:numPr>
          <w:ilvl w:val="0"/>
          <w:numId w:val="27"/>
        </w:numPr>
        <w:tabs>
          <w:tab w:val="clear" w:pos="540"/>
          <w:tab w:val="left" w:pos="567"/>
        </w:tabs>
        <w:ind w:left="567" w:hanging="567"/>
      </w:pPr>
      <w:r>
        <w:t>Galite lengviau nei įprastai</w:t>
      </w:r>
      <w:r w:rsidRPr="00647E56">
        <w:t xml:space="preserve"> </w:t>
      </w:r>
      <w:r>
        <w:t>užsikrėsti infekcijomis. Tai gali būti dėl kaulų čiulpų slopinimo arba kraujo sutrikimo, vadinamo agranulocitoze.</w:t>
      </w:r>
    </w:p>
    <w:p w14:paraId="1D4DD067" w14:textId="77777777" w:rsidR="00D00B77" w:rsidRDefault="00D00B77" w:rsidP="009C3222">
      <w:pPr>
        <w:pStyle w:val="BTEMEASMCA"/>
        <w:numPr>
          <w:ilvl w:val="0"/>
          <w:numId w:val="27"/>
        </w:numPr>
        <w:tabs>
          <w:tab w:val="clear" w:pos="540"/>
          <w:tab w:val="left" w:pos="567"/>
        </w:tabs>
        <w:ind w:left="567" w:hanging="567"/>
      </w:pPr>
      <w:r>
        <w:t>Gali lengviau nei įprastai</w:t>
      </w:r>
      <w:r w:rsidRPr="00647E56">
        <w:t xml:space="preserve"> </w:t>
      </w:r>
      <w:r>
        <w:t>atsirasti mėlynių. Tai gali būti dėl kraujo sutrikimo, vadinamo trombocitopenija.</w:t>
      </w:r>
    </w:p>
    <w:p w14:paraId="4D40B823" w14:textId="77777777" w:rsidR="00D00B77" w:rsidRDefault="00D00B77" w:rsidP="009C3222">
      <w:pPr>
        <w:pStyle w:val="BTEMEASMCA"/>
        <w:numPr>
          <w:ilvl w:val="0"/>
          <w:numId w:val="27"/>
        </w:numPr>
        <w:tabs>
          <w:tab w:val="clear" w:pos="540"/>
          <w:tab w:val="left" w:pos="567"/>
        </w:tabs>
        <w:ind w:left="567" w:hanging="567"/>
      </w:pPr>
      <w:r>
        <w:t>Jaučiatės pavargę, alpstate arba svaigstate, o oda blyški. Tai gali būti vadinamosios anemijos simptomai.</w:t>
      </w:r>
    </w:p>
    <w:p w14:paraId="46E503CF" w14:textId="77777777" w:rsidR="00D00B77" w:rsidRDefault="00D00B77" w:rsidP="009C3222">
      <w:pPr>
        <w:pStyle w:val="BTEMEASMCA"/>
        <w:numPr>
          <w:ilvl w:val="0"/>
          <w:numId w:val="27"/>
        </w:numPr>
        <w:tabs>
          <w:tab w:val="clear" w:pos="540"/>
          <w:tab w:val="left" w:pos="567"/>
        </w:tabs>
        <w:ind w:left="567" w:hanging="567"/>
      </w:pPr>
      <w:r>
        <w:t>Jaučiate silpnumą, dusulį, lengviau nei įprastai atsiranda mėlynių ir lengviau nei įprastai susergate infekcijomis. Tai gali būti vadinamosios aplazinės anemijos simptomai.</w:t>
      </w:r>
    </w:p>
    <w:p w14:paraId="3DD3B6D0" w14:textId="540107DB" w:rsidR="00D00B77" w:rsidRPr="00B14844" w:rsidRDefault="00D00B77" w:rsidP="009C3222">
      <w:pPr>
        <w:pStyle w:val="BTEMEASMCA"/>
        <w:numPr>
          <w:ilvl w:val="0"/>
          <w:numId w:val="26"/>
        </w:numPr>
        <w:ind w:left="567" w:hanging="567"/>
      </w:pPr>
      <w:r>
        <w:t>Kepenų sutrikimai. S</w:t>
      </w:r>
      <w:r w:rsidRPr="00B14844">
        <w:t>imptomai gali būti bendras negalavimas su gelta (odos ir akių pageltimas) arba be jos</w:t>
      </w:r>
      <w:r>
        <w:t>,</w:t>
      </w:r>
      <w:r w:rsidRPr="00B14844">
        <w:t xml:space="preserve"> tamsus šlapimas, pykinimas, vėmimas ir (arba) pilvo skausmas. Buvo </w:t>
      </w:r>
      <w:r>
        <w:t>nustaty</w:t>
      </w:r>
      <w:r w:rsidRPr="00B14844">
        <w:t>ti reti kepenų nepakankamumo atvejai (įskaitant mirtinus atvejus).</w:t>
      </w:r>
    </w:p>
    <w:p w14:paraId="79D09043" w14:textId="77777777" w:rsidR="00D00B77" w:rsidRDefault="00D00B77" w:rsidP="009C3222">
      <w:pPr>
        <w:pStyle w:val="BTEMEASMCA"/>
        <w:numPr>
          <w:ilvl w:val="0"/>
          <w:numId w:val="27"/>
        </w:numPr>
        <w:tabs>
          <w:tab w:val="clear" w:pos="540"/>
          <w:tab w:val="left" w:pos="567"/>
        </w:tabs>
        <w:ind w:left="567" w:hanging="567"/>
      </w:pPr>
      <w:r>
        <w:t>Nenormalus širdies ritmas, gyvybei pavojingas nereguliarus širdies ritmas (matomas EKG) (žr. skyrių „Įspėjimai ir atsargumo priemonės“) (dažnis negali būti apskaičiuotas pagal turimus duomenis).</w:t>
      </w:r>
    </w:p>
    <w:p w14:paraId="22B49A09" w14:textId="77777777" w:rsidR="00A12722" w:rsidRPr="00B4100D" w:rsidRDefault="00A12722" w:rsidP="00A12722">
      <w:pPr>
        <w:pStyle w:val="BTEMEASMCA"/>
      </w:pPr>
    </w:p>
    <w:p w14:paraId="4077F645" w14:textId="375DB7E9" w:rsidR="00375FC8" w:rsidRPr="00B4100D" w:rsidRDefault="00375FC8" w:rsidP="00C475DF">
      <w:pPr>
        <w:pStyle w:val="BTEMEASMCA"/>
        <w:rPr>
          <w:u w:val="single"/>
        </w:rPr>
      </w:pPr>
      <w:bookmarkStart w:id="85" w:name="_Hlk37769862"/>
      <w:r w:rsidRPr="00B4100D">
        <w:rPr>
          <w:u w:val="single"/>
        </w:rPr>
        <w:t>Ret</w:t>
      </w:r>
      <w:r w:rsidR="00FE47DB">
        <w:rPr>
          <w:u w:val="single"/>
        </w:rPr>
        <w:t>i</w:t>
      </w:r>
      <w:r w:rsidRPr="00B4100D">
        <w:rPr>
          <w:u w:val="single"/>
        </w:rPr>
        <w:t xml:space="preserve"> šalutini</w:t>
      </w:r>
      <w:r w:rsidR="000B0C49">
        <w:rPr>
          <w:u w:val="single"/>
        </w:rPr>
        <w:t>o</w:t>
      </w:r>
      <w:r w:rsidRPr="00B4100D">
        <w:rPr>
          <w:u w:val="single"/>
        </w:rPr>
        <w:t xml:space="preserve"> poveiki</w:t>
      </w:r>
      <w:r w:rsidR="000B0C49">
        <w:rPr>
          <w:u w:val="single"/>
        </w:rPr>
        <w:t>o reiškiniai</w:t>
      </w:r>
      <w:r w:rsidRPr="00B4100D">
        <w:rPr>
          <w:u w:val="single"/>
        </w:rPr>
        <w:t xml:space="preserve"> (</w:t>
      </w:r>
      <w:r w:rsidRPr="00B4100D">
        <w:rPr>
          <w:iCs/>
          <w:u w:val="single"/>
        </w:rPr>
        <w:t xml:space="preserve">gali pasireikšti </w:t>
      </w:r>
      <w:r w:rsidR="00F7394E" w:rsidRPr="00B4100D">
        <w:rPr>
          <w:iCs/>
          <w:u w:val="single"/>
        </w:rPr>
        <w:t xml:space="preserve">rečiau </w:t>
      </w:r>
      <w:r w:rsidR="000923F3" w:rsidRPr="00B4100D">
        <w:rPr>
          <w:iCs/>
          <w:u w:val="single"/>
        </w:rPr>
        <w:t xml:space="preserve">kaip </w:t>
      </w:r>
      <w:r w:rsidRPr="00B4100D">
        <w:rPr>
          <w:rFonts w:eastAsia="Calibri"/>
          <w:iCs/>
          <w:u w:val="single"/>
        </w:rPr>
        <w:t>1 iš 1</w:t>
      </w:r>
      <w:r w:rsidR="000B0C49">
        <w:rPr>
          <w:rFonts w:eastAsia="Calibri"/>
          <w:iCs/>
          <w:u w:val="single"/>
        </w:rPr>
        <w:t> </w:t>
      </w:r>
      <w:r w:rsidRPr="00B4100D">
        <w:rPr>
          <w:rFonts w:eastAsia="Calibri"/>
          <w:iCs/>
          <w:u w:val="single"/>
        </w:rPr>
        <w:t>000</w:t>
      </w:r>
      <w:r w:rsidR="000B0C49">
        <w:rPr>
          <w:rFonts w:eastAsia="Calibri"/>
          <w:iCs/>
          <w:u w:val="single"/>
        </w:rPr>
        <w:t xml:space="preserve"> </w:t>
      </w:r>
      <w:r w:rsidR="000B0C49" w:rsidRPr="000B0C49">
        <w:rPr>
          <w:rFonts w:eastAsia="Calibri"/>
          <w:iCs/>
          <w:u w:val="single"/>
        </w:rPr>
        <w:t>asmenų</w:t>
      </w:r>
      <w:r w:rsidRPr="00B4100D">
        <w:rPr>
          <w:iCs/>
          <w:u w:val="single"/>
        </w:rPr>
        <w:t>):</w:t>
      </w:r>
    </w:p>
    <w:bookmarkEnd w:id="85"/>
    <w:p w14:paraId="552F8B15" w14:textId="21652E41" w:rsidR="000923F3" w:rsidRPr="00B4100D" w:rsidRDefault="000923F3" w:rsidP="009C3222">
      <w:pPr>
        <w:pStyle w:val="Sraopastraipa"/>
        <w:numPr>
          <w:ilvl w:val="0"/>
          <w:numId w:val="19"/>
        </w:numPr>
        <w:ind w:left="567" w:hanging="567"/>
        <w:rPr>
          <w:iCs/>
          <w:sz w:val="22"/>
          <w:szCs w:val="22"/>
        </w:rPr>
      </w:pPr>
      <w:r w:rsidRPr="00B4100D">
        <w:rPr>
          <w:iCs/>
          <w:sz w:val="22"/>
          <w:szCs w:val="22"/>
        </w:rPr>
        <w:t>Akių sutrikimai</w:t>
      </w:r>
      <w:r w:rsidR="000B0C49">
        <w:rPr>
          <w:iCs/>
          <w:sz w:val="22"/>
          <w:szCs w:val="22"/>
        </w:rPr>
        <w:t>, įskaitant</w:t>
      </w:r>
      <w:r w:rsidRPr="00B4100D">
        <w:rPr>
          <w:iCs/>
          <w:sz w:val="22"/>
          <w:szCs w:val="22"/>
        </w:rPr>
        <w:t xml:space="preserve"> akių spalvos pokyčius ir regėjimo sutrikimus, tokius kaip neryškus matymas, jautrumas šviesai ar tai, kaip matote spalvą. Jei šie sutrikimai pastebimi anksti, paprastai jie sumažės, nutraukus gydymą Hydroxychloroquine sulfate Accord. Jei sutrikimai pastebimi tik vėliau, nutraukus gydymą, jie vis tiek gali egzistuoti arba dar labiau sustiprėti.</w:t>
      </w:r>
    </w:p>
    <w:p w14:paraId="1BF7928D" w14:textId="0472CE62" w:rsidR="000923F3" w:rsidRPr="00B4100D" w:rsidRDefault="000923F3" w:rsidP="009C3222">
      <w:pPr>
        <w:pStyle w:val="Sraopastraipa"/>
        <w:numPr>
          <w:ilvl w:val="0"/>
          <w:numId w:val="19"/>
        </w:numPr>
        <w:ind w:left="567" w:hanging="567"/>
        <w:rPr>
          <w:iCs/>
          <w:sz w:val="22"/>
          <w:szCs w:val="22"/>
        </w:rPr>
      </w:pPr>
      <w:r w:rsidRPr="00B4100D">
        <w:rPr>
          <w:iCs/>
          <w:sz w:val="22"/>
          <w:szCs w:val="22"/>
        </w:rPr>
        <w:t>Priepuoliai</w:t>
      </w:r>
      <w:r w:rsidR="000B0C49">
        <w:rPr>
          <w:iCs/>
          <w:sz w:val="22"/>
          <w:szCs w:val="22"/>
        </w:rPr>
        <w:t xml:space="preserve"> / </w:t>
      </w:r>
      <w:r w:rsidRPr="00B4100D">
        <w:rPr>
          <w:iCs/>
          <w:sz w:val="22"/>
          <w:szCs w:val="22"/>
        </w:rPr>
        <w:t>traukuliai</w:t>
      </w:r>
      <w:r w:rsidR="007B0210" w:rsidRPr="00B4100D">
        <w:rPr>
          <w:iCs/>
          <w:sz w:val="22"/>
          <w:szCs w:val="22"/>
        </w:rPr>
        <w:t>.</w:t>
      </w:r>
    </w:p>
    <w:p w14:paraId="28C44BCB" w14:textId="47EDF127" w:rsidR="000923F3" w:rsidRPr="00B4100D" w:rsidRDefault="000B0C49" w:rsidP="009C3222">
      <w:pPr>
        <w:pStyle w:val="Sraopastraipa"/>
        <w:numPr>
          <w:ilvl w:val="0"/>
          <w:numId w:val="19"/>
        </w:numPr>
        <w:ind w:left="567" w:hanging="567"/>
        <w:rPr>
          <w:iCs/>
          <w:sz w:val="22"/>
          <w:szCs w:val="22"/>
        </w:rPr>
      </w:pPr>
      <w:r w:rsidRPr="000B0C49">
        <w:rPr>
          <w:iCs/>
          <w:sz w:val="22"/>
          <w:szCs w:val="22"/>
        </w:rPr>
        <w:t xml:space="preserve">Pasunkėjęs kvėpavimas, kosulys, </w:t>
      </w:r>
      <w:r>
        <w:rPr>
          <w:iCs/>
          <w:sz w:val="22"/>
          <w:szCs w:val="22"/>
        </w:rPr>
        <w:t xml:space="preserve">aukštas </w:t>
      </w:r>
      <w:r w:rsidRPr="000B0C49">
        <w:rPr>
          <w:iCs/>
          <w:sz w:val="22"/>
          <w:szCs w:val="22"/>
        </w:rPr>
        <w:t xml:space="preserve">kraujospūdis, patinimas, padažnėjęs širdies susitraukimų dažnis, mažas šlapimo kiekis – tai gali būti širdies raumens susilpnėjimo (kardiomiopatijos ar širdies nepakankamumo) požymiai ir </w:t>
      </w:r>
      <w:r>
        <w:rPr>
          <w:iCs/>
          <w:sz w:val="22"/>
          <w:szCs w:val="22"/>
        </w:rPr>
        <w:t xml:space="preserve">tai </w:t>
      </w:r>
      <w:r w:rsidRPr="000B0C49">
        <w:rPr>
          <w:iCs/>
          <w:sz w:val="22"/>
          <w:szCs w:val="22"/>
        </w:rPr>
        <w:t>gali būti mirtin</w:t>
      </w:r>
      <w:r>
        <w:rPr>
          <w:iCs/>
          <w:sz w:val="22"/>
          <w:szCs w:val="22"/>
        </w:rPr>
        <w:t>a</w:t>
      </w:r>
      <w:r w:rsidR="000923F3" w:rsidRPr="00B4100D">
        <w:rPr>
          <w:iCs/>
          <w:sz w:val="22"/>
          <w:szCs w:val="22"/>
        </w:rPr>
        <w:t>.</w:t>
      </w:r>
    </w:p>
    <w:p w14:paraId="0D9C6A4A" w14:textId="77777777" w:rsidR="00B01F45" w:rsidRPr="00B4100D" w:rsidRDefault="00B01F45" w:rsidP="00C475DF">
      <w:pPr>
        <w:pStyle w:val="BTEMEASMCA"/>
      </w:pPr>
    </w:p>
    <w:p w14:paraId="545064AE" w14:textId="582CBA0F" w:rsidR="00B35D3F" w:rsidRPr="00B4100D" w:rsidRDefault="003F6BCF" w:rsidP="00C475DF">
      <w:pPr>
        <w:pStyle w:val="BTEMEASMCA"/>
        <w:rPr>
          <w:u w:val="single"/>
        </w:rPr>
      </w:pPr>
      <w:r w:rsidRPr="003F6BCF">
        <w:rPr>
          <w:u w:val="single"/>
        </w:rPr>
        <w:t>Šalutinio poveikio reiškiniai, kurių</w:t>
      </w:r>
      <w:r>
        <w:rPr>
          <w:u w:val="single"/>
        </w:rPr>
        <w:t xml:space="preserve"> d</w:t>
      </w:r>
      <w:r w:rsidR="00A4376F" w:rsidRPr="00B4100D">
        <w:rPr>
          <w:u w:val="single"/>
        </w:rPr>
        <w:t>ažnis nežinomas</w:t>
      </w:r>
      <w:r w:rsidR="00B01F45" w:rsidRPr="00B4100D">
        <w:rPr>
          <w:u w:val="single"/>
        </w:rPr>
        <w:t xml:space="preserve"> (negali būti apskaičiuotas pagal turimus duomenis)</w:t>
      </w:r>
      <w:r w:rsidR="00A4376F" w:rsidRPr="00B4100D">
        <w:rPr>
          <w:u w:val="single"/>
        </w:rPr>
        <w:t>:</w:t>
      </w:r>
    </w:p>
    <w:p w14:paraId="2B333FB4" w14:textId="371343AE" w:rsidR="00A4376F" w:rsidRPr="00B4100D" w:rsidRDefault="003F6BCF" w:rsidP="009C3222">
      <w:pPr>
        <w:pStyle w:val="Sraopastraipa"/>
        <w:numPr>
          <w:ilvl w:val="0"/>
          <w:numId w:val="20"/>
        </w:numPr>
        <w:tabs>
          <w:tab w:val="left" w:pos="567"/>
        </w:tabs>
        <w:ind w:left="567" w:hanging="567"/>
        <w:rPr>
          <w:sz w:val="22"/>
          <w:szCs w:val="20"/>
        </w:rPr>
      </w:pPr>
      <w:r>
        <w:rPr>
          <w:sz w:val="22"/>
          <w:szCs w:val="20"/>
        </w:rPr>
        <w:t>R</w:t>
      </w:r>
      <w:r w:rsidR="00A4376F" w:rsidRPr="00B4100D">
        <w:rPr>
          <w:sz w:val="22"/>
          <w:szCs w:val="20"/>
        </w:rPr>
        <w:t xml:space="preserve">audonas ar iškilus </w:t>
      </w:r>
      <w:r w:rsidR="00B01F45" w:rsidRPr="00B4100D">
        <w:rPr>
          <w:sz w:val="22"/>
          <w:szCs w:val="20"/>
        </w:rPr>
        <w:t>iš</w:t>
      </w:r>
      <w:r w:rsidR="00A4376F" w:rsidRPr="00B4100D">
        <w:rPr>
          <w:sz w:val="22"/>
          <w:szCs w:val="20"/>
        </w:rPr>
        <w:t>bėrimas, rijimo ar kvėpavimo sutrikimai, akių vokų, lūpų, veido, gerklės ar liežuvio patinimas</w:t>
      </w:r>
      <w:r w:rsidR="00B01F45" w:rsidRPr="00B4100D">
        <w:rPr>
          <w:sz w:val="22"/>
          <w:szCs w:val="20"/>
        </w:rPr>
        <w:t xml:space="preserve"> </w:t>
      </w:r>
      <w:r>
        <w:rPr>
          <w:sz w:val="22"/>
          <w:szCs w:val="20"/>
        </w:rPr>
        <w:t xml:space="preserve">– tai gali būti </w:t>
      </w:r>
      <w:r w:rsidR="00B01F45" w:rsidRPr="00B4100D">
        <w:rPr>
          <w:sz w:val="22"/>
          <w:szCs w:val="20"/>
        </w:rPr>
        <w:t>angioneurozinė</w:t>
      </w:r>
      <w:r>
        <w:rPr>
          <w:sz w:val="22"/>
          <w:szCs w:val="20"/>
        </w:rPr>
        <w:t>s</w:t>
      </w:r>
      <w:r w:rsidR="00B01F45" w:rsidRPr="00B4100D">
        <w:rPr>
          <w:sz w:val="22"/>
          <w:szCs w:val="20"/>
        </w:rPr>
        <w:t xml:space="preserve"> edem</w:t>
      </w:r>
      <w:r>
        <w:rPr>
          <w:sz w:val="22"/>
          <w:szCs w:val="20"/>
        </w:rPr>
        <w:t>os požymiai</w:t>
      </w:r>
      <w:r w:rsidR="00A4376F" w:rsidRPr="00B4100D">
        <w:rPr>
          <w:sz w:val="22"/>
          <w:szCs w:val="20"/>
        </w:rPr>
        <w:t>.</w:t>
      </w:r>
    </w:p>
    <w:p w14:paraId="681FA3B8" w14:textId="529F2261" w:rsidR="00B01F45" w:rsidRPr="00B4100D" w:rsidRDefault="003D5377" w:rsidP="009C3222">
      <w:pPr>
        <w:pStyle w:val="Sraopastraipa"/>
        <w:numPr>
          <w:ilvl w:val="0"/>
          <w:numId w:val="20"/>
        </w:numPr>
        <w:tabs>
          <w:tab w:val="left" w:pos="567"/>
        </w:tabs>
        <w:ind w:left="567" w:hanging="567"/>
        <w:rPr>
          <w:sz w:val="22"/>
          <w:szCs w:val="20"/>
        </w:rPr>
      </w:pPr>
      <w:r w:rsidRPr="00B4100D">
        <w:rPr>
          <w:sz w:val="22"/>
          <w:szCs w:val="20"/>
        </w:rPr>
        <w:t>S</w:t>
      </w:r>
      <w:r w:rsidR="00B01F45" w:rsidRPr="00B4100D">
        <w:rPr>
          <w:sz w:val="22"/>
          <w:szCs w:val="20"/>
        </w:rPr>
        <w:t>ilpnum</w:t>
      </w:r>
      <w:r w:rsidRPr="00B4100D">
        <w:rPr>
          <w:sz w:val="22"/>
          <w:szCs w:val="20"/>
        </w:rPr>
        <w:t>as</w:t>
      </w:r>
      <w:r w:rsidR="00B01F45" w:rsidRPr="00B4100D">
        <w:rPr>
          <w:sz w:val="22"/>
          <w:szCs w:val="20"/>
        </w:rPr>
        <w:t xml:space="preserve">, </w:t>
      </w:r>
      <w:r w:rsidRPr="00B4100D">
        <w:rPr>
          <w:sz w:val="22"/>
          <w:szCs w:val="20"/>
        </w:rPr>
        <w:t xml:space="preserve">nuovargis, </w:t>
      </w:r>
      <w:r w:rsidR="00B01F45" w:rsidRPr="00B4100D">
        <w:rPr>
          <w:sz w:val="22"/>
          <w:szCs w:val="20"/>
        </w:rPr>
        <w:t>alpim</w:t>
      </w:r>
      <w:r w:rsidRPr="00B4100D">
        <w:rPr>
          <w:sz w:val="22"/>
          <w:szCs w:val="20"/>
        </w:rPr>
        <w:t>as</w:t>
      </w:r>
      <w:r w:rsidR="00B01F45" w:rsidRPr="00B4100D">
        <w:rPr>
          <w:sz w:val="22"/>
          <w:szCs w:val="20"/>
        </w:rPr>
        <w:t xml:space="preserve"> ar galvos svaigim</w:t>
      </w:r>
      <w:r w:rsidRPr="00B4100D">
        <w:rPr>
          <w:sz w:val="22"/>
          <w:szCs w:val="20"/>
        </w:rPr>
        <w:t>as,</w:t>
      </w:r>
      <w:r w:rsidR="00B01F45" w:rsidRPr="00B4100D">
        <w:rPr>
          <w:sz w:val="22"/>
          <w:szCs w:val="20"/>
        </w:rPr>
        <w:t xml:space="preserve"> </w:t>
      </w:r>
      <w:r w:rsidRPr="00B4100D">
        <w:rPr>
          <w:sz w:val="22"/>
          <w:szCs w:val="20"/>
        </w:rPr>
        <w:t xml:space="preserve">išbalusi oda, dusulys, </w:t>
      </w:r>
      <w:r w:rsidR="00B01F45" w:rsidRPr="00B4100D">
        <w:rPr>
          <w:sz w:val="22"/>
          <w:szCs w:val="20"/>
        </w:rPr>
        <w:t xml:space="preserve">lengviau nei įprastai atsiranda </w:t>
      </w:r>
      <w:r w:rsidR="003F0976" w:rsidRPr="00B4100D">
        <w:rPr>
          <w:sz w:val="22"/>
          <w:szCs w:val="20"/>
        </w:rPr>
        <w:t>kraujosruvos</w:t>
      </w:r>
      <w:r w:rsidR="00B01F45" w:rsidRPr="00B4100D">
        <w:rPr>
          <w:sz w:val="22"/>
          <w:szCs w:val="20"/>
        </w:rPr>
        <w:t xml:space="preserve"> ir </w:t>
      </w:r>
      <w:r w:rsidRPr="00B4100D">
        <w:rPr>
          <w:sz w:val="22"/>
          <w:szCs w:val="20"/>
        </w:rPr>
        <w:t xml:space="preserve">padidėjęs </w:t>
      </w:r>
      <w:r w:rsidR="00B01F45" w:rsidRPr="00B4100D">
        <w:rPr>
          <w:sz w:val="22"/>
          <w:szCs w:val="20"/>
        </w:rPr>
        <w:t>iml</w:t>
      </w:r>
      <w:r w:rsidRPr="00B4100D">
        <w:rPr>
          <w:sz w:val="22"/>
          <w:szCs w:val="20"/>
        </w:rPr>
        <w:t>umas</w:t>
      </w:r>
      <w:r w:rsidR="00B01F45" w:rsidRPr="00B4100D">
        <w:rPr>
          <w:sz w:val="22"/>
          <w:szCs w:val="20"/>
        </w:rPr>
        <w:t xml:space="preserve"> infekcijoms</w:t>
      </w:r>
      <w:r w:rsidR="003F6BCF">
        <w:rPr>
          <w:sz w:val="22"/>
          <w:szCs w:val="20"/>
        </w:rPr>
        <w:t xml:space="preserve"> – tai gali būti kraujo sutrikimo požymiai</w:t>
      </w:r>
      <w:r w:rsidRPr="00B4100D">
        <w:rPr>
          <w:sz w:val="22"/>
          <w:szCs w:val="20"/>
        </w:rPr>
        <w:t>.</w:t>
      </w:r>
    </w:p>
    <w:p w14:paraId="774F4D59" w14:textId="3627B05F" w:rsidR="00695B8F" w:rsidRDefault="003F6BCF" w:rsidP="009C3222">
      <w:pPr>
        <w:pStyle w:val="Sraopastraipa"/>
        <w:numPr>
          <w:ilvl w:val="0"/>
          <w:numId w:val="20"/>
        </w:numPr>
        <w:tabs>
          <w:tab w:val="left" w:pos="567"/>
        </w:tabs>
        <w:ind w:left="567" w:hanging="567"/>
        <w:rPr>
          <w:sz w:val="22"/>
          <w:szCs w:val="20"/>
        </w:rPr>
      </w:pPr>
      <w:r>
        <w:rPr>
          <w:sz w:val="22"/>
          <w:szCs w:val="20"/>
        </w:rPr>
        <w:t>N</w:t>
      </w:r>
      <w:r w:rsidR="00A4376F" w:rsidRPr="00B4100D">
        <w:rPr>
          <w:sz w:val="22"/>
          <w:szCs w:val="20"/>
        </w:rPr>
        <w:t>ervingum</w:t>
      </w:r>
      <w:r>
        <w:rPr>
          <w:sz w:val="22"/>
          <w:szCs w:val="20"/>
        </w:rPr>
        <w:t>as</w:t>
      </w:r>
      <w:r w:rsidR="00A4376F" w:rsidRPr="00B4100D">
        <w:rPr>
          <w:sz w:val="22"/>
          <w:szCs w:val="20"/>
        </w:rPr>
        <w:t>, drebul</w:t>
      </w:r>
      <w:r>
        <w:rPr>
          <w:sz w:val="22"/>
          <w:szCs w:val="20"/>
        </w:rPr>
        <w:t>ys</w:t>
      </w:r>
      <w:r w:rsidR="00A4376F" w:rsidRPr="00B4100D">
        <w:rPr>
          <w:sz w:val="22"/>
          <w:szCs w:val="20"/>
        </w:rPr>
        <w:t xml:space="preserve"> ar </w:t>
      </w:r>
      <w:r w:rsidRPr="00B4100D">
        <w:rPr>
          <w:sz w:val="22"/>
          <w:szCs w:val="20"/>
        </w:rPr>
        <w:t>prakait</w:t>
      </w:r>
      <w:r>
        <w:rPr>
          <w:sz w:val="22"/>
          <w:szCs w:val="20"/>
        </w:rPr>
        <w:t xml:space="preserve">avimas, svaigulys, </w:t>
      </w:r>
      <w:r w:rsidR="00EA3421">
        <w:rPr>
          <w:sz w:val="22"/>
          <w:szCs w:val="20"/>
        </w:rPr>
        <w:t xml:space="preserve">grietas </w:t>
      </w:r>
      <w:r w:rsidR="00EA3421" w:rsidRPr="00EA3421">
        <w:rPr>
          <w:sz w:val="22"/>
          <w:szCs w:val="20"/>
        </w:rPr>
        <w:t xml:space="preserve">širdies plakimas – tai gali būti per </w:t>
      </w:r>
      <w:r w:rsidR="00EA3421">
        <w:rPr>
          <w:sz w:val="22"/>
          <w:szCs w:val="20"/>
        </w:rPr>
        <w:t>mažo</w:t>
      </w:r>
      <w:r w:rsidR="00EA3421" w:rsidRPr="00EA3421">
        <w:rPr>
          <w:sz w:val="22"/>
          <w:szCs w:val="20"/>
        </w:rPr>
        <w:t xml:space="preserve"> cukraus kiekio kraujyje (hipoglikemijos) požymiai, kurie sunkiais atvejais gali sukelti traukulius ir sąmonės netekimą</w:t>
      </w:r>
      <w:r w:rsidR="00EA3421">
        <w:rPr>
          <w:sz w:val="22"/>
          <w:szCs w:val="20"/>
        </w:rPr>
        <w:t>, o tai</w:t>
      </w:r>
      <w:r w:rsidR="00EA3421" w:rsidRPr="00EA3421">
        <w:rPr>
          <w:sz w:val="22"/>
          <w:szCs w:val="20"/>
        </w:rPr>
        <w:t xml:space="preserve"> gali būti pavojing</w:t>
      </w:r>
      <w:r w:rsidR="00EA3421">
        <w:rPr>
          <w:sz w:val="22"/>
          <w:szCs w:val="20"/>
        </w:rPr>
        <w:t>a</w:t>
      </w:r>
      <w:r w:rsidR="00EA3421" w:rsidRPr="00EA3421">
        <w:rPr>
          <w:sz w:val="22"/>
          <w:szCs w:val="20"/>
        </w:rPr>
        <w:t xml:space="preserve"> gyvybei</w:t>
      </w:r>
      <w:r w:rsidR="005D18F6" w:rsidRPr="00B4100D">
        <w:rPr>
          <w:sz w:val="22"/>
          <w:szCs w:val="20"/>
        </w:rPr>
        <w:t>.</w:t>
      </w:r>
    </w:p>
    <w:p w14:paraId="09B56AEC" w14:textId="1ADE616A" w:rsidR="00695B8F" w:rsidRDefault="00832B33" w:rsidP="009C3222">
      <w:pPr>
        <w:pStyle w:val="Sraopastraipa"/>
        <w:numPr>
          <w:ilvl w:val="0"/>
          <w:numId w:val="20"/>
        </w:numPr>
        <w:tabs>
          <w:tab w:val="left" w:pos="567"/>
        </w:tabs>
        <w:ind w:left="567" w:hanging="567"/>
        <w:rPr>
          <w:sz w:val="22"/>
          <w:szCs w:val="20"/>
        </w:rPr>
      </w:pPr>
      <w:r>
        <w:rPr>
          <w:sz w:val="22"/>
          <w:szCs w:val="20"/>
        </w:rPr>
        <w:t>Prislėgta</w:t>
      </w:r>
      <w:r w:rsidR="00586425">
        <w:rPr>
          <w:sz w:val="22"/>
          <w:szCs w:val="20"/>
        </w:rPr>
        <w:t xml:space="preserve"> nuotaika </w:t>
      </w:r>
      <w:r w:rsidR="00695B8F" w:rsidRPr="00695B8F">
        <w:rPr>
          <w:sz w:val="22"/>
          <w:szCs w:val="20"/>
        </w:rPr>
        <w:t>arba mintys apie sav</w:t>
      </w:r>
      <w:r w:rsidR="00586425">
        <w:rPr>
          <w:sz w:val="22"/>
          <w:szCs w:val="20"/>
        </w:rPr>
        <w:t>i</w:t>
      </w:r>
      <w:r w:rsidR="00695B8F" w:rsidRPr="00695B8F">
        <w:rPr>
          <w:sz w:val="22"/>
          <w:szCs w:val="20"/>
        </w:rPr>
        <w:t>žalą ar savižudybę, haliucinacijos, nervingum</w:t>
      </w:r>
      <w:r w:rsidR="001A71E8">
        <w:rPr>
          <w:sz w:val="22"/>
          <w:szCs w:val="20"/>
        </w:rPr>
        <w:t>as</w:t>
      </w:r>
      <w:r w:rsidR="00695B8F" w:rsidRPr="00695B8F">
        <w:rPr>
          <w:sz w:val="22"/>
          <w:szCs w:val="20"/>
        </w:rPr>
        <w:t xml:space="preserve"> ar nerim</w:t>
      </w:r>
      <w:r w:rsidR="001A71E8">
        <w:rPr>
          <w:sz w:val="22"/>
          <w:szCs w:val="20"/>
        </w:rPr>
        <w:t>a</w:t>
      </w:r>
      <w:r w:rsidR="006E6FAE">
        <w:rPr>
          <w:sz w:val="22"/>
          <w:szCs w:val="20"/>
        </w:rPr>
        <w:t>vimas</w:t>
      </w:r>
      <w:r w:rsidR="001A71E8">
        <w:rPr>
          <w:sz w:val="22"/>
          <w:szCs w:val="20"/>
        </w:rPr>
        <w:t>, sumišimas</w:t>
      </w:r>
      <w:r w:rsidR="00695B8F" w:rsidRPr="00695B8F">
        <w:rPr>
          <w:sz w:val="22"/>
          <w:szCs w:val="20"/>
        </w:rPr>
        <w:t xml:space="preserve">, </w:t>
      </w:r>
      <w:r w:rsidR="00695B8F" w:rsidRPr="00586425">
        <w:rPr>
          <w:sz w:val="22"/>
          <w:szCs w:val="22"/>
        </w:rPr>
        <w:t>susijaudinim</w:t>
      </w:r>
      <w:r w:rsidR="001A71E8" w:rsidRPr="00586425">
        <w:rPr>
          <w:sz w:val="22"/>
          <w:szCs w:val="22"/>
        </w:rPr>
        <w:t>as</w:t>
      </w:r>
      <w:r w:rsidR="00586425" w:rsidRPr="00586425">
        <w:rPr>
          <w:sz w:val="22"/>
          <w:szCs w:val="22"/>
        </w:rPr>
        <w:t xml:space="preserve"> (ažitacija)</w:t>
      </w:r>
      <w:r w:rsidR="00695B8F" w:rsidRPr="00586425">
        <w:rPr>
          <w:sz w:val="22"/>
          <w:szCs w:val="22"/>
        </w:rPr>
        <w:t>,</w:t>
      </w:r>
      <w:r w:rsidR="00695B8F" w:rsidRPr="00695B8F">
        <w:rPr>
          <w:sz w:val="22"/>
          <w:szCs w:val="20"/>
        </w:rPr>
        <w:t xml:space="preserve"> miego su</w:t>
      </w:r>
      <w:r w:rsidR="001A71E8">
        <w:rPr>
          <w:sz w:val="22"/>
          <w:szCs w:val="20"/>
        </w:rPr>
        <w:t>trikima</w:t>
      </w:r>
      <w:r w:rsidR="00586425">
        <w:rPr>
          <w:sz w:val="22"/>
          <w:szCs w:val="20"/>
        </w:rPr>
        <w:t>i</w:t>
      </w:r>
      <w:r w:rsidR="00695B8F" w:rsidRPr="00695B8F">
        <w:rPr>
          <w:sz w:val="22"/>
          <w:szCs w:val="20"/>
        </w:rPr>
        <w:t xml:space="preserve">, </w:t>
      </w:r>
      <w:r w:rsidR="00586425" w:rsidRPr="00695B8F">
        <w:rPr>
          <w:sz w:val="22"/>
          <w:szCs w:val="20"/>
        </w:rPr>
        <w:t>per</w:t>
      </w:r>
      <w:r w:rsidR="00586425">
        <w:rPr>
          <w:sz w:val="22"/>
          <w:szCs w:val="20"/>
        </w:rPr>
        <w:t xml:space="preserve">nelyg </w:t>
      </w:r>
      <w:r w:rsidR="00695B8F" w:rsidRPr="00695B8F">
        <w:rPr>
          <w:sz w:val="22"/>
          <w:szCs w:val="20"/>
        </w:rPr>
        <w:t>pak</w:t>
      </w:r>
      <w:r w:rsidR="001A71E8">
        <w:rPr>
          <w:sz w:val="22"/>
          <w:szCs w:val="20"/>
        </w:rPr>
        <w:t>ili nuotaika</w:t>
      </w:r>
      <w:r w:rsidR="00695B8F" w:rsidRPr="00695B8F">
        <w:rPr>
          <w:sz w:val="22"/>
          <w:szCs w:val="20"/>
        </w:rPr>
        <w:t xml:space="preserve"> ar</w:t>
      </w:r>
      <w:r w:rsidR="001A71E8">
        <w:rPr>
          <w:sz w:val="22"/>
          <w:szCs w:val="20"/>
        </w:rPr>
        <w:t xml:space="preserve"> </w:t>
      </w:r>
      <w:r w:rsidR="00586425">
        <w:rPr>
          <w:sz w:val="22"/>
          <w:szCs w:val="20"/>
        </w:rPr>
        <w:t>stiprus susijaudi</w:t>
      </w:r>
      <w:r w:rsidR="00111382">
        <w:rPr>
          <w:sz w:val="22"/>
          <w:szCs w:val="20"/>
        </w:rPr>
        <w:t>n</w:t>
      </w:r>
      <w:r w:rsidR="00586425">
        <w:rPr>
          <w:sz w:val="22"/>
          <w:szCs w:val="20"/>
        </w:rPr>
        <w:t>imas</w:t>
      </w:r>
      <w:r w:rsidR="00695B8F" w:rsidRPr="00695B8F">
        <w:rPr>
          <w:sz w:val="22"/>
          <w:szCs w:val="20"/>
        </w:rPr>
        <w:t>.</w:t>
      </w:r>
    </w:p>
    <w:p w14:paraId="436728EB" w14:textId="70646618" w:rsidR="00695B8F" w:rsidRPr="00B4100D" w:rsidRDefault="00695B8F" w:rsidP="0029241F">
      <w:pPr>
        <w:tabs>
          <w:tab w:val="num" w:pos="567"/>
        </w:tabs>
        <w:ind w:left="567" w:hanging="567"/>
        <w:rPr>
          <w:b/>
          <w:bCs/>
          <w:iCs/>
          <w:sz w:val="22"/>
          <w:szCs w:val="22"/>
        </w:rPr>
      </w:pPr>
    </w:p>
    <w:p w14:paraId="6C3A05B9" w14:textId="5651BCF9" w:rsidR="00D17DE8" w:rsidRPr="00B4100D" w:rsidRDefault="00D17DE8" w:rsidP="00BF05C8">
      <w:pPr>
        <w:keepNext/>
        <w:tabs>
          <w:tab w:val="num" w:pos="567"/>
        </w:tabs>
        <w:ind w:left="567" w:hanging="567"/>
        <w:rPr>
          <w:b/>
          <w:bCs/>
          <w:iCs/>
          <w:sz w:val="22"/>
          <w:szCs w:val="22"/>
        </w:rPr>
      </w:pPr>
      <w:r w:rsidRPr="00B4100D">
        <w:rPr>
          <w:b/>
          <w:bCs/>
          <w:iCs/>
          <w:sz w:val="22"/>
          <w:szCs w:val="22"/>
        </w:rPr>
        <w:t>Kit</w:t>
      </w:r>
      <w:r w:rsidR="00EA3421">
        <w:rPr>
          <w:b/>
          <w:bCs/>
          <w:iCs/>
          <w:sz w:val="22"/>
          <w:szCs w:val="22"/>
        </w:rPr>
        <w:t>i</w:t>
      </w:r>
      <w:r w:rsidRPr="00B4100D">
        <w:rPr>
          <w:b/>
          <w:bCs/>
          <w:iCs/>
          <w:sz w:val="22"/>
          <w:szCs w:val="22"/>
        </w:rPr>
        <w:t xml:space="preserve"> šalutini</w:t>
      </w:r>
      <w:r w:rsidR="00EA3421">
        <w:rPr>
          <w:b/>
          <w:bCs/>
          <w:iCs/>
          <w:sz w:val="22"/>
          <w:szCs w:val="22"/>
        </w:rPr>
        <w:t>o</w:t>
      </w:r>
      <w:r w:rsidRPr="00B4100D">
        <w:rPr>
          <w:b/>
          <w:bCs/>
          <w:iCs/>
          <w:sz w:val="22"/>
          <w:szCs w:val="22"/>
        </w:rPr>
        <w:t xml:space="preserve"> poveiki</w:t>
      </w:r>
      <w:r w:rsidR="00EA3421">
        <w:rPr>
          <w:b/>
          <w:bCs/>
          <w:iCs/>
          <w:sz w:val="22"/>
          <w:szCs w:val="22"/>
        </w:rPr>
        <w:t>o reiškiniai</w:t>
      </w:r>
      <w:r w:rsidR="003D5377" w:rsidRPr="00B4100D">
        <w:rPr>
          <w:b/>
          <w:bCs/>
          <w:iCs/>
          <w:sz w:val="22"/>
          <w:szCs w:val="22"/>
        </w:rPr>
        <w:t>, susiję su hidroksichlorokvino sulfatu</w:t>
      </w:r>
    </w:p>
    <w:p w14:paraId="08FA6FBD" w14:textId="77777777" w:rsidR="003D5377" w:rsidRPr="00B4100D" w:rsidRDefault="003D5377" w:rsidP="00BF05C8">
      <w:pPr>
        <w:keepNext/>
        <w:tabs>
          <w:tab w:val="num" w:pos="567"/>
        </w:tabs>
        <w:ind w:left="567" w:hanging="567"/>
        <w:rPr>
          <w:iCs/>
          <w:sz w:val="22"/>
          <w:szCs w:val="22"/>
        </w:rPr>
      </w:pPr>
    </w:p>
    <w:p w14:paraId="0A9D5DEF" w14:textId="32230849" w:rsidR="00AF37C6" w:rsidRPr="00BF05C8" w:rsidRDefault="00AF37C6" w:rsidP="00BF05C8">
      <w:pPr>
        <w:keepNext/>
        <w:rPr>
          <w:iCs/>
          <w:sz w:val="22"/>
          <w:szCs w:val="22"/>
          <w:u w:val="single"/>
        </w:rPr>
      </w:pPr>
      <w:r w:rsidRPr="00BF05C8">
        <w:rPr>
          <w:iCs/>
          <w:sz w:val="22"/>
          <w:szCs w:val="22"/>
          <w:u w:val="single"/>
        </w:rPr>
        <w:t>Dažn</w:t>
      </w:r>
      <w:r w:rsidR="00EA3421">
        <w:rPr>
          <w:iCs/>
          <w:sz w:val="22"/>
          <w:szCs w:val="22"/>
          <w:u w:val="single"/>
        </w:rPr>
        <w:t>i</w:t>
      </w:r>
      <w:r w:rsidRPr="00BF05C8">
        <w:rPr>
          <w:iCs/>
          <w:sz w:val="22"/>
          <w:szCs w:val="22"/>
          <w:u w:val="single"/>
        </w:rPr>
        <w:t xml:space="preserve"> šalutini</w:t>
      </w:r>
      <w:r w:rsidR="00EA3421">
        <w:rPr>
          <w:iCs/>
          <w:sz w:val="22"/>
          <w:szCs w:val="22"/>
          <w:u w:val="single"/>
        </w:rPr>
        <w:t>o</w:t>
      </w:r>
      <w:r w:rsidRPr="00BF05C8">
        <w:rPr>
          <w:iCs/>
          <w:sz w:val="22"/>
          <w:szCs w:val="22"/>
          <w:u w:val="single"/>
        </w:rPr>
        <w:t xml:space="preserve"> poveiki</w:t>
      </w:r>
      <w:r w:rsidR="00EA3421">
        <w:rPr>
          <w:iCs/>
          <w:sz w:val="22"/>
          <w:szCs w:val="22"/>
          <w:u w:val="single"/>
        </w:rPr>
        <w:t>o reiškiniai</w:t>
      </w:r>
      <w:r w:rsidRPr="00BF05C8">
        <w:rPr>
          <w:iCs/>
          <w:sz w:val="22"/>
          <w:szCs w:val="22"/>
          <w:u w:val="single"/>
        </w:rPr>
        <w:t xml:space="preserve"> (gali pasireikšti </w:t>
      </w:r>
      <w:r w:rsidR="003F0976" w:rsidRPr="00BF05C8">
        <w:rPr>
          <w:iCs/>
          <w:sz w:val="22"/>
          <w:szCs w:val="22"/>
          <w:u w:val="single"/>
        </w:rPr>
        <w:t>rečiau</w:t>
      </w:r>
      <w:r w:rsidRPr="00BF05C8">
        <w:rPr>
          <w:iCs/>
          <w:sz w:val="22"/>
          <w:szCs w:val="22"/>
          <w:u w:val="single"/>
        </w:rPr>
        <w:t xml:space="preserve"> kaip 1 iš 10</w:t>
      </w:r>
      <w:r w:rsidR="00EA3421">
        <w:rPr>
          <w:iCs/>
          <w:sz w:val="22"/>
          <w:szCs w:val="22"/>
          <w:u w:val="single"/>
        </w:rPr>
        <w:t xml:space="preserve"> asmenų</w:t>
      </w:r>
      <w:r w:rsidRPr="00BF05C8">
        <w:rPr>
          <w:iCs/>
          <w:sz w:val="22"/>
          <w:szCs w:val="22"/>
          <w:u w:val="single"/>
        </w:rPr>
        <w:t>):</w:t>
      </w:r>
    </w:p>
    <w:p w14:paraId="52295D1C" w14:textId="77777777" w:rsidR="00AF37C6" w:rsidRPr="00B4100D" w:rsidRDefault="004F6148" w:rsidP="009C3222">
      <w:pPr>
        <w:pStyle w:val="Sraopastraipa"/>
        <w:numPr>
          <w:ilvl w:val="0"/>
          <w:numId w:val="21"/>
        </w:numPr>
        <w:ind w:left="567" w:hanging="567"/>
        <w:rPr>
          <w:sz w:val="22"/>
          <w:szCs w:val="22"/>
        </w:rPr>
      </w:pPr>
      <w:r w:rsidRPr="00B4100D">
        <w:rPr>
          <w:sz w:val="22"/>
          <w:szCs w:val="22"/>
        </w:rPr>
        <w:t>S</w:t>
      </w:r>
      <w:r w:rsidR="00AF37C6" w:rsidRPr="00B4100D">
        <w:rPr>
          <w:sz w:val="22"/>
          <w:szCs w:val="22"/>
        </w:rPr>
        <w:t>umažėjęs apetitas (anoreksija).</w:t>
      </w:r>
    </w:p>
    <w:p w14:paraId="17E5D95C" w14:textId="77777777" w:rsidR="00AF37C6" w:rsidRPr="00B4100D" w:rsidRDefault="00AF37C6" w:rsidP="00AF37C6">
      <w:pPr>
        <w:rPr>
          <w:sz w:val="22"/>
          <w:szCs w:val="22"/>
        </w:rPr>
      </w:pPr>
    </w:p>
    <w:p w14:paraId="67D05E42" w14:textId="36F39A91" w:rsidR="00AF37C6" w:rsidRPr="00BF05C8" w:rsidRDefault="00AF37C6" w:rsidP="00AF37C6">
      <w:pPr>
        <w:rPr>
          <w:iCs/>
          <w:sz w:val="22"/>
          <w:szCs w:val="22"/>
          <w:u w:val="single"/>
        </w:rPr>
      </w:pPr>
      <w:r w:rsidRPr="00BF05C8">
        <w:rPr>
          <w:iCs/>
          <w:sz w:val="22"/>
          <w:szCs w:val="22"/>
          <w:u w:val="single"/>
        </w:rPr>
        <w:t>Nedažn</w:t>
      </w:r>
      <w:r w:rsidR="00EA3421">
        <w:rPr>
          <w:iCs/>
          <w:sz w:val="22"/>
          <w:szCs w:val="22"/>
          <w:u w:val="single"/>
        </w:rPr>
        <w:t>i</w:t>
      </w:r>
      <w:r w:rsidRPr="00BF05C8">
        <w:rPr>
          <w:iCs/>
          <w:sz w:val="22"/>
          <w:szCs w:val="22"/>
          <w:u w:val="single"/>
        </w:rPr>
        <w:t xml:space="preserve"> šalutini</w:t>
      </w:r>
      <w:r w:rsidR="00EA3421">
        <w:rPr>
          <w:iCs/>
          <w:sz w:val="22"/>
          <w:szCs w:val="22"/>
          <w:u w:val="single"/>
        </w:rPr>
        <w:t>o</w:t>
      </w:r>
      <w:r w:rsidRPr="00BF05C8">
        <w:rPr>
          <w:iCs/>
          <w:sz w:val="22"/>
          <w:szCs w:val="22"/>
          <w:u w:val="single"/>
        </w:rPr>
        <w:t xml:space="preserve"> poveiki</w:t>
      </w:r>
      <w:r w:rsidR="00EA3421">
        <w:rPr>
          <w:iCs/>
          <w:sz w:val="22"/>
          <w:szCs w:val="22"/>
          <w:u w:val="single"/>
        </w:rPr>
        <w:t>o</w:t>
      </w:r>
      <w:r w:rsidRPr="00BF05C8">
        <w:rPr>
          <w:iCs/>
          <w:sz w:val="22"/>
          <w:szCs w:val="22"/>
          <w:u w:val="single"/>
        </w:rPr>
        <w:t xml:space="preserve"> </w:t>
      </w:r>
      <w:r w:rsidR="00EA3421">
        <w:rPr>
          <w:iCs/>
          <w:sz w:val="22"/>
          <w:szCs w:val="22"/>
          <w:u w:val="single"/>
        </w:rPr>
        <w:t>reiškiniai</w:t>
      </w:r>
      <w:r w:rsidR="00EA3421" w:rsidRPr="001B6943">
        <w:rPr>
          <w:iCs/>
          <w:sz w:val="22"/>
          <w:szCs w:val="22"/>
          <w:u w:val="single"/>
        </w:rPr>
        <w:t xml:space="preserve"> </w:t>
      </w:r>
      <w:r w:rsidRPr="00BF05C8">
        <w:rPr>
          <w:iCs/>
          <w:sz w:val="22"/>
          <w:szCs w:val="22"/>
          <w:u w:val="single"/>
        </w:rPr>
        <w:t xml:space="preserve">(gali pasireikšti </w:t>
      </w:r>
      <w:r w:rsidR="003F0976" w:rsidRPr="00BF05C8">
        <w:rPr>
          <w:iCs/>
          <w:sz w:val="22"/>
          <w:szCs w:val="22"/>
          <w:u w:val="single"/>
        </w:rPr>
        <w:t xml:space="preserve">rečiau </w:t>
      </w:r>
      <w:r w:rsidRPr="00BF05C8">
        <w:rPr>
          <w:iCs/>
          <w:sz w:val="22"/>
          <w:szCs w:val="22"/>
          <w:u w:val="single"/>
        </w:rPr>
        <w:t>kaip 1 iš 100</w:t>
      </w:r>
      <w:r w:rsidR="00EA3421">
        <w:rPr>
          <w:iCs/>
          <w:sz w:val="22"/>
          <w:szCs w:val="22"/>
          <w:u w:val="single"/>
        </w:rPr>
        <w:t xml:space="preserve"> asmenų</w:t>
      </w:r>
      <w:r w:rsidRPr="00BF05C8">
        <w:rPr>
          <w:iCs/>
          <w:sz w:val="22"/>
          <w:szCs w:val="22"/>
          <w:u w:val="single"/>
        </w:rPr>
        <w:t>):</w:t>
      </w:r>
    </w:p>
    <w:p w14:paraId="3FBD00E3" w14:textId="77777777" w:rsidR="00AF37C6" w:rsidRPr="00B4100D" w:rsidRDefault="004F6148" w:rsidP="009C3222">
      <w:pPr>
        <w:pStyle w:val="Sraopastraipa"/>
        <w:numPr>
          <w:ilvl w:val="0"/>
          <w:numId w:val="22"/>
        </w:numPr>
        <w:ind w:left="567" w:hanging="567"/>
        <w:rPr>
          <w:sz w:val="22"/>
          <w:szCs w:val="22"/>
        </w:rPr>
      </w:pPr>
      <w:r w:rsidRPr="00B4100D">
        <w:rPr>
          <w:sz w:val="22"/>
          <w:szCs w:val="22"/>
        </w:rPr>
        <w:t>P</w:t>
      </w:r>
      <w:r w:rsidR="00F846BC" w:rsidRPr="00B4100D">
        <w:rPr>
          <w:sz w:val="22"/>
          <w:szCs w:val="22"/>
        </w:rPr>
        <w:t>ykinimas, viduriavimas</w:t>
      </w:r>
      <w:r w:rsidR="00AF37C6" w:rsidRPr="00B4100D">
        <w:rPr>
          <w:sz w:val="22"/>
          <w:szCs w:val="22"/>
        </w:rPr>
        <w:t xml:space="preserve"> ir pilvo skausmas. Šie simptomai paprastai išnyksta sumažinus dozę arba nutraukus gydymą.</w:t>
      </w:r>
    </w:p>
    <w:p w14:paraId="50D7E86B" w14:textId="77777777" w:rsidR="00F846BC" w:rsidRPr="00B4100D" w:rsidRDefault="004F6148" w:rsidP="009C3222">
      <w:pPr>
        <w:pStyle w:val="Sraopastraipa"/>
        <w:numPr>
          <w:ilvl w:val="0"/>
          <w:numId w:val="22"/>
        </w:numPr>
        <w:ind w:left="567" w:hanging="567"/>
        <w:rPr>
          <w:sz w:val="22"/>
          <w:szCs w:val="22"/>
        </w:rPr>
      </w:pPr>
      <w:r w:rsidRPr="00B4100D">
        <w:rPr>
          <w:sz w:val="22"/>
          <w:szCs w:val="22"/>
        </w:rPr>
        <w:t>O</w:t>
      </w:r>
      <w:r w:rsidR="00AF37C6" w:rsidRPr="00B4100D">
        <w:rPr>
          <w:sz w:val="22"/>
          <w:szCs w:val="22"/>
        </w:rPr>
        <w:t>dos išbėrimas.</w:t>
      </w:r>
    </w:p>
    <w:p w14:paraId="05FC368D" w14:textId="77777777" w:rsidR="00AF37C6" w:rsidRPr="00B4100D" w:rsidRDefault="00AF37C6" w:rsidP="00AF37C6">
      <w:pPr>
        <w:rPr>
          <w:sz w:val="22"/>
          <w:szCs w:val="22"/>
        </w:rPr>
      </w:pPr>
    </w:p>
    <w:p w14:paraId="37C5855B" w14:textId="1BBB24CF" w:rsidR="003F0976" w:rsidRPr="00B4100D" w:rsidRDefault="003F0976" w:rsidP="003F0976">
      <w:pPr>
        <w:rPr>
          <w:sz w:val="22"/>
          <w:szCs w:val="22"/>
          <w:u w:val="single"/>
        </w:rPr>
      </w:pPr>
      <w:r w:rsidRPr="00B4100D">
        <w:rPr>
          <w:sz w:val="22"/>
          <w:szCs w:val="22"/>
          <w:u w:val="single"/>
        </w:rPr>
        <w:lastRenderedPageBreak/>
        <w:t>R</w:t>
      </w:r>
      <w:r w:rsidR="006175FB" w:rsidRPr="00B4100D">
        <w:rPr>
          <w:sz w:val="22"/>
          <w:szCs w:val="22"/>
          <w:u w:val="single"/>
        </w:rPr>
        <w:t>et</w:t>
      </w:r>
      <w:r w:rsidR="00084E72">
        <w:rPr>
          <w:sz w:val="22"/>
          <w:szCs w:val="22"/>
          <w:u w:val="single"/>
        </w:rPr>
        <w:t>i</w:t>
      </w:r>
      <w:r w:rsidRPr="00B4100D">
        <w:rPr>
          <w:sz w:val="22"/>
          <w:szCs w:val="22"/>
          <w:u w:val="single"/>
        </w:rPr>
        <w:t xml:space="preserve"> </w:t>
      </w:r>
      <w:r w:rsidR="006175FB" w:rsidRPr="00B4100D">
        <w:rPr>
          <w:sz w:val="22"/>
          <w:szCs w:val="22"/>
          <w:u w:val="single"/>
        </w:rPr>
        <w:t>šalutini</w:t>
      </w:r>
      <w:r w:rsidR="00084E72">
        <w:rPr>
          <w:sz w:val="22"/>
          <w:szCs w:val="22"/>
          <w:u w:val="single"/>
        </w:rPr>
        <w:t>o</w:t>
      </w:r>
      <w:r w:rsidR="006175FB" w:rsidRPr="00B4100D">
        <w:rPr>
          <w:sz w:val="22"/>
          <w:szCs w:val="22"/>
          <w:u w:val="single"/>
        </w:rPr>
        <w:t xml:space="preserve"> poveiki</w:t>
      </w:r>
      <w:r w:rsidR="00084E72">
        <w:rPr>
          <w:sz w:val="22"/>
          <w:szCs w:val="22"/>
          <w:u w:val="single"/>
        </w:rPr>
        <w:t>o reiškiniai</w:t>
      </w:r>
      <w:r w:rsidR="006175FB" w:rsidRPr="00B4100D">
        <w:rPr>
          <w:sz w:val="22"/>
          <w:szCs w:val="22"/>
          <w:u w:val="single"/>
        </w:rPr>
        <w:t xml:space="preserve"> </w:t>
      </w:r>
      <w:r w:rsidRPr="00B4100D">
        <w:rPr>
          <w:sz w:val="22"/>
          <w:szCs w:val="22"/>
          <w:u w:val="single"/>
        </w:rPr>
        <w:t>(</w:t>
      </w:r>
      <w:r w:rsidR="006175FB" w:rsidRPr="00B4100D">
        <w:rPr>
          <w:sz w:val="22"/>
          <w:szCs w:val="22"/>
          <w:u w:val="single"/>
        </w:rPr>
        <w:t xml:space="preserve">gali pasireikšti rečiau kaip </w:t>
      </w:r>
      <w:r w:rsidRPr="00B4100D">
        <w:rPr>
          <w:sz w:val="22"/>
          <w:szCs w:val="22"/>
          <w:u w:val="single"/>
        </w:rPr>
        <w:t xml:space="preserve">1 </w:t>
      </w:r>
      <w:r w:rsidR="00084E72">
        <w:rPr>
          <w:sz w:val="22"/>
          <w:szCs w:val="22"/>
          <w:u w:val="single"/>
        </w:rPr>
        <w:t xml:space="preserve">iš </w:t>
      </w:r>
      <w:r w:rsidRPr="00B4100D">
        <w:rPr>
          <w:sz w:val="22"/>
          <w:szCs w:val="22"/>
          <w:u w:val="single"/>
        </w:rPr>
        <w:t>1</w:t>
      </w:r>
      <w:r w:rsidR="00084E72">
        <w:rPr>
          <w:sz w:val="22"/>
          <w:szCs w:val="22"/>
          <w:u w:val="single"/>
        </w:rPr>
        <w:t> </w:t>
      </w:r>
      <w:r w:rsidRPr="00B4100D">
        <w:rPr>
          <w:sz w:val="22"/>
          <w:szCs w:val="22"/>
          <w:u w:val="single"/>
        </w:rPr>
        <w:t>000</w:t>
      </w:r>
      <w:r w:rsidR="00084E72">
        <w:rPr>
          <w:sz w:val="22"/>
          <w:szCs w:val="22"/>
          <w:u w:val="single"/>
        </w:rPr>
        <w:t xml:space="preserve"> asmenų</w:t>
      </w:r>
      <w:r w:rsidRPr="00B4100D">
        <w:rPr>
          <w:sz w:val="22"/>
          <w:szCs w:val="22"/>
          <w:u w:val="single"/>
        </w:rPr>
        <w:t>)</w:t>
      </w:r>
      <w:r w:rsidR="006175FB" w:rsidRPr="00B4100D">
        <w:rPr>
          <w:sz w:val="22"/>
          <w:szCs w:val="22"/>
          <w:u w:val="single"/>
        </w:rPr>
        <w:t>:</w:t>
      </w:r>
    </w:p>
    <w:p w14:paraId="3A93C131" w14:textId="3D4D636D" w:rsidR="003F0976" w:rsidRPr="00B4100D" w:rsidRDefault="006175FB" w:rsidP="009C3222">
      <w:pPr>
        <w:pStyle w:val="Sraopastraipa"/>
        <w:numPr>
          <w:ilvl w:val="0"/>
          <w:numId w:val="25"/>
        </w:numPr>
        <w:tabs>
          <w:tab w:val="left" w:pos="567"/>
        </w:tabs>
        <w:spacing w:line="260" w:lineRule="exact"/>
        <w:ind w:left="567" w:hanging="567"/>
        <w:rPr>
          <w:sz w:val="22"/>
          <w:szCs w:val="22"/>
        </w:rPr>
      </w:pPr>
      <w:r w:rsidRPr="00B4100D">
        <w:rPr>
          <w:sz w:val="22"/>
          <w:szCs w:val="22"/>
        </w:rPr>
        <w:t>Vėmimas</w:t>
      </w:r>
      <w:r w:rsidR="003F0976" w:rsidRPr="00B4100D">
        <w:rPr>
          <w:sz w:val="22"/>
          <w:szCs w:val="22"/>
        </w:rPr>
        <w:t xml:space="preserve"> (</w:t>
      </w:r>
      <w:r w:rsidRPr="00B4100D">
        <w:rPr>
          <w:sz w:val="22"/>
          <w:szCs w:val="22"/>
        </w:rPr>
        <w:t>paprastai išnyksta sumažinus dozę arba nutraukus gydymą</w:t>
      </w:r>
      <w:r w:rsidR="003F0976" w:rsidRPr="00B4100D">
        <w:rPr>
          <w:sz w:val="22"/>
          <w:szCs w:val="22"/>
        </w:rPr>
        <w:t>).</w:t>
      </w:r>
    </w:p>
    <w:p w14:paraId="03FE72B8" w14:textId="77777777" w:rsidR="003F0976" w:rsidRPr="00B4100D" w:rsidRDefault="003F0976" w:rsidP="00BF05C8">
      <w:pPr>
        <w:pStyle w:val="Sraopastraipa"/>
        <w:tabs>
          <w:tab w:val="left" w:pos="567"/>
        </w:tabs>
        <w:ind w:left="567"/>
        <w:rPr>
          <w:sz w:val="22"/>
          <w:szCs w:val="22"/>
        </w:rPr>
      </w:pPr>
    </w:p>
    <w:p w14:paraId="5383AC6C" w14:textId="2AC50A0A" w:rsidR="00AF37C6" w:rsidRPr="00BF05C8" w:rsidRDefault="00AF37C6" w:rsidP="00AF37C6">
      <w:pPr>
        <w:rPr>
          <w:iCs/>
          <w:sz w:val="22"/>
          <w:szCs w:val="22"/>
          <w:u w:val="single"/>
        </w:rPr>
      </w:pPr>
      <w:r w:rsidRPr="00BF05C8">
        <w:rPr>
          <w:iCs/>
          <w:sz w:val="22"/>
          <w:szCs w:val="22"/>
          <w:u w:val="single"/>
        </w:rPr>
        <w:t>Labai ret</w:t>
      </w:r>
      <w:r w:rsidR="00084E72">
        <w:rPr>
          <w:iCs/>
          <w:sz w:val="22"/>
          <w:szCs w:val="22"/>
          <w:u w:val="single"/>
        </w:rPr>
        <w:t>i</w:t>
      </w:r>
      <w:r w:rsidRPr="00BF05C8">
        <w:rPr>
          <w:iCs/>
          <w:sz w:val="22"/>
          <w:szCs w:val="22"/>
          <w:u w:val="single"/>
        </w:rPr>
        <w:t xml:space="preserve"> šalutini</w:t>
      </w:r>
      <w:r w:rsidR="00084E72">
        <w:rPr>
          <w:iCs/>
          <w:sz w:val="22"/>
          <w:szCs w:val="22"/>
          <w:u w:val="single"/>
        </w:rPr>
        <w:t>o</w:t>
      </w:r>
      <w:r w:rsidRPr="00BF05C8">
        <w:rPr>
          <w:iCs/>
          <w:sz w:val="22"/>
          <w:szCs w:val="22"/>
          <w:u w:val="single"/>
        </w:rPr>
        <w:t xml:space="preserve"> poveiki</w:t>
      </w:r>
      <w:r w:rsidR="00084E72">
        <w:rPr>
          <w:iCs/>
          <w:sz w:val="22"/>
          <w:szCs w:val="22"/>
          <w:u w:val="single"/>
        </w:rPr>
        <w:t>o reiškiniai</w:t>
      </w:r>
      <w:r w:rsidRPr="00BF05C8">
        <w:rPr>
          <w:iCs/>
          <w:sz w:val="22"/>
          <w:szCs w:val="22"/>
          <w:u w:val="single"/>
        </w:rPr>
        <w:t xml:space="preserve"> (gali pasireikšti </w:t>
      </w:r>
      <w:r w:rsidR="00AD7A05" w:rsidRPr="00BF05C8">
        <w:rPr>
          <w:iCs/>
          <w:sz w:val="22"/>
          <w:szCs w:val="22"/>
          <w:u w:val="single"/>
        </w:rPr>
        <w:t>rečiau</w:t>
      </w:r>
      <w:r w:rsidRPr="00BF05C8">
        <w:rPr>
          <w:iCs/>
          <w:sz w:val="22"/>
          <w:szCs w:val="22"/>
          <w:u w:val="single"/>
        </w:rPr>
        <w:t xml:space="preserve"> kaip 1</w:t>
      </w:r>
      <w:r w:rsidR="00AD7A05" w:rsidRPr="00BF05C8">
        <w:rPr>
          <w:iCs/>
          <w:sz w:val="22"/>
          <w:szCs w:val="22"/>
          <w:u w:val="single"/>
        </w:rPr>
        <w:t xml:space="preserve"> </w:t>
      </w:r>
      <w:r w:rsidRPr="00BF05C8">
        <w:rPr>
          <w:iCs/>
          <w:sz w:val="22"/>
          <w:szCs w:val="22"/>
          <w:u w:val="single"/>
        </w:rPr>
        <w:t>iš 10</w:t>
      </w:r>
      <w:r w:rsidR="00084E72">
        <w:rPr>
          <w:iCs/>
          <w:sz w:val="22"/>
          <w:szCs w:val="22"/>
          <w:u w:val="single"/>
        </w:rPr>
        <w:t> </w:t>
      </w:r>
      <w:r w:rsidRPr="00BF05C8">
        <w:rPr>
          <w:iCs/>
          <w:sz w:val="22"/>
          <w:szCs w:val="22"/>
          <w:u w:val="single"/>
        </w:rPr>
        <w:t>000</w:t>
      </w:r>
      <w:r w:rsidR="00084E72">
        <w:rPr>
          <w:iCs/>
          <w:sz w:val="22"/>
          <w:szCs w:val="22"/>
          <w:u w:val="single"/>
        </w:rPr>
        <w:t xml:space="preserve"> asmenų</w:t>
      </w:r>
      <w:r w:rsidRPr="00BF05C8">
        <w:rPr>
          <w:iCs/>
          <w:sz w:val="22"/>
          <w:szCs w:val="22"/>
          <w:u w:val="single"/>
        </w:rPr>
        <w:t>):</w:t>
      </w:r>
    </w:p>
    <w:p w14:paraId="7D7A922F" w14:textId="77777777" w:rsidR="00AF37C6" w:rsidRPr="00B4100D" w:rsidRDefault="004F6148" w:rsidP="009C3222">
      <w:pPr>
        <w:pStyle w:val="Sraopastraipa"/>
        <w:numPr>
          <w:ilvl w:val="0"/>
          <w:numId w:val="23"/>
        </w:numPr>
        <w:ind w:left="567" w:hanging="567"/>
        <w:rPr>
          <w:iCs/>
          <w:sz w:val="22"/>
          <w:szCs w:val="22"/>
        </w:rPr>
      </w:pPr>
      <w:r w:rsidRPr="00B4100D">
        <w:rPr>
          <w:iCs/>
          <w:sz w:val="22"/>
          <w:szCs w:val="22"/>
        </w:rPr>
        <w:t>K</w:t>
      </w:r>
      <w:r w:rsidR="00AF37C6" w:rsidRPr="00B4100D">
        <w:rPr>
          <w:iCs/>
          <w:sz w:val="22"/>
          <w:szCs w:val="22"/>
        </w:rPr>
        <w:t>lausos praradimas (nuolatinis)</w:t>
      </w:r>
      <w:r w:rsidRPr="00B4100D">
        <w:rPr>
          <w:iCs/>
          <w:sz w:val="22"/>
          <w:szCs w:val="22"/>
        </w:rPr>
        <w:t>.</w:t>
      </w:r>
    </w:p>
    <w:p w14:paraId="624704F1" w14:textId="77777777" w:rsidR="00AF37C6" w:rsidRPr="00B4100D" w:rsidRDefault="004F6148" w:rsidP="009C3222">
      <w:pPr>
        <w:pStyle w:val="Sraopastraipa"/>
        <w:numPr>
          <w:ilvl w:val="0"/>
          <w:numId w:val="23"/>
        </w:numPr>
        <w:ind w:left="567" w:hanging="567"/>
        <w:rPr>
          <w:iCs/>
          <w:sz w:val="22"/>
          <w:szCs w:val="22"/>
        </w:rPr>
      </w:pPr>
      <w:r w:rsidRPr="00B4100D">
        <w:rPr>
          <w:iCs/>
          <w:sz w:val="22"/>
          <w:szCs w:val="22"/>
        </w:rPr>
        <w:t>O</w:t>
      </w:r>
      <w:r w:rsidR="00AF37C6" w:rsidRPr="00B4100D">
        <w:rPr>
          <w:iCs/>
          <w:sz w:val="22"/>
          <w:szCs w:val="22"/>
        </w:rPr>
        <w:t>dos paraudimas iškilusiomis netaisyklingomis dėmėmis (daugiaformė eritema)</w:t>
      </w:r>
      <w:r w:rsidRPr="00B4100D">
        <w:rPr>
          <w:iCs/>
          <w:sz w:val="22"/>
          <w:szCs w:val="22"/>
        </w:rPr>
        <w:t>.</w:t>
      </w:r>
    </w:p>
    <w:p w14:paraId="599572BB" w14:textId="55A98F27" w:rsidR="00AF37C6" w:rsidRPr="00B4100D" w:rsidRDefault="004F6148" w:rsidP="009C3222">
      <w:pPr>
        <w:pStyle w:val="Sraopastraipa"/>
        <w:numPr>
          <w:ilvl w:val="0"/>
          <w:numId w:val="23"/>
        </w:numPr>
        <w:ind w:left="567" w:hanging="567"/>
        <w:rPr>
          <w:iCs/>
          <w:sz w:val="22"/>
          <w:szCs w:val="22"/>
        </w:rPr>
      </w:pPr>
      <w:r w:rsidRPr="00B4100D">
        <w:rPr>
          <w:iCs/>
          <w:sz w:val="22"/>
          <w:szCs w:val="22"/>
        </w:rPr>
        <w:t>I</w:t>
      </w:r>
      <w:r w:rsidR="00AF37C6" w:rsidRPr="00B4100D">
        <w:rPr>
          <w:iCs/>
          <w:sz w:val="22"/>
          <w:szCs w:val="22"/>
        </w:rPr>
        <w:t xml:space="preserve">lgalaikis gydymas </w:t>
      </w:r>
      <w:r w:rsidR="00761009">
        <w:rPr>
          <w:iCs/>
          <w:sz w:val="22"/>
          <w:szCs w:val="22"/>
        </w:rPr>
        <w:t>hidroksi</w:t>
      </w:r>
      <w:r w:rsidR="00AF37C6" w:rsidRPr="00B4100D">
        <w:rPr>
          <w:iCs/>
          <w:sz w:val="22"/>
          <w:szCs w:val="22"/>
        </w:rPr>
        <w:t>chlorokvinu gali sukelti padidėjusį fosfolipidų kaupimąsi</w:t>
      </w:r>
      <w:r w:rsidR="00761009">
        <w:rPr>
          <w:iCs/>
          <w:sz w:val="22"/>
          <w:szCs w:val="22"/>
        </w:rPr>
        <w:t xml:space="preserve"> audiniuose</w:t>
      </w:r>
      <w:r w:rsidR="00AF37C6" w:rsidRPr="00B4100D">
        <w:rPr>
          <w:iCs/>
          <w:sz w:val="22"/>
          <w:szCs w:val="22"/>
        </w:rPr>
        <w:t xml:space="preserve">, </w:t>
      </w:r>
      <w:r w:rsidR="00761009">
        <w:rPr>
          <w:iCs/>
          <w:sz w:val="22"/>
          <w:szCs w:val="22"/>
        </w:rPr>
        <w:t>taip pat</w:t>
      </w:r>
      <w:r w:rsidR="00761009" w:rsidRPr="00B4100D">
        <w:rPr>
          <w:iCs/>
          <w:sz w:val="22"/>
          <w:szCs w:val="22"/>
        </w:rPr>
        <w:t xml:space="preserve"> </w:t>
      </w:r>
      <w:r w:rsidR="00AF37C6" w:rsidRPr="00B4100D">
        <w:rPr>
          <w:iCs/>
          <w:sz w:val="22"/>
          <w:szCs w:val="22"/>
        </w:rPr>
        <w:t>inkst</w:t>
      </w:r>
      <w:r w:rsidR="00761009">
        <w:rPr>
          <w:iCs/>
          <w:sz w:val="22"/>
          <w:szCs w:val="22"/>
        </w:rPr>
        <w:t>uose</w:t>
      </w:r>
      <w:r w:rsidR="00AF37C6" w:rsidRPr="00B4100D">
        <w:rPr>
          <w:iCs/>
          <w:sz w:val="22"/>
          <w:szCs w:val="22"/>
        </w:rPr>
        <w:t xml:space="preserve">. </w:t>
      </w:r>
      <w:r w:rsidR="00761009" w:rsidRPr="00761009">
        <w:rPr>
          <w:iCs/>
          <w:sz w:val="22"/>
          <w:szCs w:val="22"/>
        </w:rPr>
        <w:t>Jei inkstų funkcija jau yra sutrikusi, ji gali pablogėti.</w:t>
      </w:r>
      <w:r w:rsidR="00AF37C6" w:rsidRPr="00B4100D">
        <w:rPr>
          <w:iCs/>
          <w:sz w:val="22"/>
          <w:szCs w:val="22"/>
        </w:rPr>
        <w:t>.</w:t>
      </w:r>
    </w:p>
    <w:p w14:paraId="555F6053" w14:textId="77777777" w:rsidR="00AF37C6" w:rsidRPr="00B4100D" w:rsidRDefault="00AF37C6" w:rsidP="00AF37C6">
      <w:pPr>
        <w:rPr>
          <w:iCs/>
          <w:sz w:val="22"/>
          <w:szCs w:val="22"/>
        </w:rPr>
      </w:pPr>
    </w:p>
    <w:p w14:paraId="46FF3BAD" w14:textId="64E5A3A8" w:rsidR="00F846BC" w:rsidRPr="00BF05C8" w:rsidRDefault="00084E72" w:rsidP="00F846BC">
      <w:pPr>
        <w:keepNext/>
        <w:keepLines/>
        <w:rPr>
          <w:sz w:val="22"/>
          <w:szCs w:val="22"/>
          <w:u w:val="single"/>
        </w:rPr>
      </w:pPr>
      <w:r w:rsidRPr="00084E72">
        <w:rPr>
          <w:sz w:val="22"/>
          <w:szCs w:val="22"/>
          <w:u w:val="single"/>
        </w:rPr>
        <w:t xml:space="preserve">Šalutinio poveikio reiškiniai, kurių </w:t>
      </w:r>
      <w:r>
        <w:rPr>
          <w:sz w:val="22"/>
          <w:szCs w:val="22"/>
          <w:u w:val="single"/>
        </w:rPr>
        <w:t>d</w:t>
      </w:r>
      <w:r w:rsidR="00F846BC" w:rsidRPr="00BF05C8">
        <w:rPr>
          <w:sz w:val="22"/>
          <w:szCs w:val="22"/>
          <w:u w:val="single"/>
        </w:rPr>
        <w:t>ažnis nežinomas</w:t>
      </w:r>
      <w:r w:rsidR="00AF37C6" w:rsidRPr="00BF05C8">
        <w:rPr>
          <w:sz w:val="22"/>
          <w:szCs w:val="22"/>
          <w:u w:val="single"/>
        </w:rPr>
        <w:t xml:space="preserve"> (negali būti apskaičiuotas pagal turimus duomenis)</w:t>
      </w:r>
      <w:r w:rsidR="00F846BC" w:rsidRPr="00BF05C8">
        <w:rPr>
          <w:sz w:val="22"/>
          <w:szCs w:val="22"/>
          <w:u w:val="single"/>
        </w:rPr>
        <w:t>:</w:t>
      </w:r>
    </w:p>
    <w:p w14:paraId="48A1286D"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Raudonųjų kraujo kūnelių funkcijos sutrikim</w:t>
      </w:r>
      <w:r w:rsidR="004F6148" w:rsidRPr="00B4100D">
        <w:rPr>
          <w:sz w:val="22"/>
          <w:szCs w:val="22"/>
        </w:rPr>
        <w:t>o pasunkėjimas</w:t>
      </w:r>
      <w:r w:rsidRPr="00B4100D">
        <w:rPr>
          <w:sz w:val="22"/>
          <w:szCs w:val="22"/>
        </w:rPr>
        <w:t xml:space="preserve"> (porfirija).</w:t>
      </w:r>
    </w:p>
    <w:p w14:paraId="6998A97F"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Mieguistumas / galvos svaigimas (</w:t>
      </w:r>
      <w:r w:rsidR="004F6148" w:rsidRPr="00B4100D">
        <w:rPr>
          <w:i/>
          <w:iCs/>
          <w:sz w:val="22"/>
          <w:szCs w:val="22"/>
        </w:rPr>
        <w:t>vertigo</w:t>
      </w:r>
      <w:r w:rsidRPr="00B4100D">
        <w:rPr>
          <w:sz w:val="22"/>
          <w:szCs w:val="22"/>
        </w:rPr>
        <w:t>).</w:t>
      </w:r>
    </w:p>
    <w:p w14:paraId="41560B13"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Skambėjimas ausyse (spengimas ausyse).</w:t>
      </w:r>
    </w:p>
    <w:p w14:paraId="1CF3A6A8"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Galvos skausmas.</w:t>
      </w:r>
    </w:p>
    <w:p w14:paraId="4A4D2AD6"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Judėjimo sutrikimai, tokie kaip raumenų įtampa ir drebulys.</w:t>
      </w:r>
    </w:p>
    <w:p w14:paraId="16130FF6" w14:textId="3BDA7DF7" w:rsidR="006F297A" w:rsidRPr="00BF05C8" w:rsidRDefault="00361184" w:rsidP="009C3222">
      <w:pPr>
        <w:pStyle w:val="Sraopastraipa"/>
        <w:widowControl w:val="0"/>
        <w:numPr>
          <w:ilvl w:val="0"/>
          <w:numId w:val="24"/>
        </w:numPr>
        <w:ind w:left="567" w:hanging="567"/>
        <w:rPr>
          <w:sz w:val="22"/>
          <w:szCs w:val="22"/>
        </w:rPr>
      </w:pPr>
      <w:r>
        <w:rPr>
          <w:sz w:val="22"/>
          <w:szCs w:val="22"/>
        </w:rPr>
        <w:t>L</w:t>
      </w:r>
      <w:r w:rsidR="00AF37C6" w:rsidRPr="00B4100D">
        <w:rPr>
          <w:sz w:val="22"/>
          <w:szCs w:val="22"/>
        </w:rPr>
        <w:t>aikini akli taškai matymo lauke ir nenormal</w:t>
      </w:r>
      <w:r w:rsidR="005E1641" w:rsidRPr="00B4100D">
        <w:rPr>
          <w:sz w:val="22"/>
          <w:szCs w:val="22"/>
        </w:rPr>
        <w:t>u</w:t>
      </w:r>
      <w:r w:rsidR="00AF37C6" w:rsidRPr="00B4100D">
        <w:rPr>
          <w:sz w:val="22"/>
          <w:szCs w:val="22"/>
        </w:rPr>
        <w:t xml:space="preserve">s spalvų </w:t>
      </w:r>
      <w:r w:rsidR="005E1641" w:rsidRPr="00B4100D">
        <w:rPr>
          <w:sz w:val="22"/>
          <w:szCs w:val="22"/>
        </w:rPr>
        <w:t>matymas</w:t>
      </w:r>
      <w:r>
        <w:rPr>
          <w:sz w:val="22"/>
          <w:szCs w:val="22"/>
        </w:rPr>
        <w:t>; laikinas</w:t>
      </w:r>
      <w:r w:rsidR="00AF37C6" w:rsidRPr="00B4100D">
        <w:rPr>
          <w:sz w:val="22"/>
          <w:szCs w:val="22"/>
        </w:rPr>
        <w:t xml:space="preserve"> neryškus matymas ar </w:t>
      </w:r>
      <w:r w:rsidR="004F6148" w:rsidRPr="00B4100D">
        <w:rPr>
          <w:sz w:val="22"/>
          <w:szCs w:val="22"/>
        </w:rPr>
        <w:t>jautrumas šviesai</w:t>
      </w:r>
      <w:r w:rsidR="00AF37C6" w:rsidRPr="00B4100D">
        <w:rPr>
          <w:sz w:val="22"/>
          <w:szCs w:val="22"/>
        </w:rPr>
        <w:t>. Nutraukus gydymą, ši</w:t>
      </w:r>
      <w:r w:rsidR="004F6148" w:rsidRPr="00B4100D">
        <w:rPr>
          <w:sz w:val="22"/>
          <w:szCs w:val="22"/>
        </w:rPr>
        <w:t>e sutrikimai praeina</w:t>
      </w:r>
      <w:r w:rsidR="00AF37C6" w:rsidRPr="00B4100D">
        <w:rPr>
          <w:sz w:val="22"/>
          <w:szCs w:val="22"/>
        </w:rPr>
        <w:t xml:space="preserve"> arba sumažėja.</w:t>
      </w:r>
    </w:p>
    <w:p w14:paraId="3C818939" w14:textId="5E4AC4AD" w:rsidR="00361184" w:rsidRDefault="00361184" w:rsidP="009C3222">
      <w:pPr>
        <w:pStyle w:val="Sraopastraipa"/>
        <w:numPr>
          <w:ilvl w:val="0"/>
          <w:numId w:val="24"/>
        </w:numPr>
        <w:ind w:left="567" w:hanging="567"/>
      </w:pPr>
      <w:r w:rsidRPr="00BF05C8">
        <w:rPr>
          <w:sz w:val="22"/>
          <w:szCs w:val="22"/>
        </w:rPr>
        <w:t xml:space="preserve">Odos problemos, pvz., stiprus odos niežėjimas, odos išbėrimas su pūslėmis ar gumbeliais, padidėjęs jautrumas šviesai, paraudimas ir lupimasis, pleiskanojantis sausas odos išbėrimas, </w:t>
      </w:r>
      <w:r w:rsidR="00AF37C6" w:rsidRPr="00BF05C8">
        <w:rPr>
          <w:sz w:val="22"/>
          <w:szCs w:val="22"/>
        </w:rPr>
        <w:t>odos ar nosies ar</w:t>
      </w:r>
      <w:r w:rsidR="004F6148" w:rsidRPr="00BF05C8">
        <w:rPr>
          <w:sz w:val="22"/>
          <w:szCs w:val="22"/>
        </w:rPr>
        <w:t>ba</w:t>
      </w:r>
      <w:r w:rsidR="00AF37C6" w:rsidRPr="00BF05C8">
        <w:rPr>
          <w:sz w:val="22"/>
          <w:szCs w:val="22"/>
        </w:rPr>
        <w:t xml:space="preserve"> burnos </w:t>
      </w:r>
      <w:r w:rsidR="004F6148" w:rsidRPr="00BF05C8">
        <w:rPr>
          <w:sz w:val="22"/>
          <w:szCs w:val="22"/>
        </w:rPr>
        <w:t>ertmės</w:t>
      </w:r>
      <w:r w:rsidR="00AF37C6" w:rsidRPr="00BF05C8">
        <w:rPr>
          <w:sz w:val="22"/>
          <w:szCs w:val="22"/>
        </w:rPr>
        <w:t xml:space="preserve"> spalvos pokyčiai, plaukų slinkimas arba plaukų spalvos praradimas</w:t>
      </w:r>
      <w:r w:rsidRPr="00BF05C8">
        <w:rPr>
          <w:sz w:val="22"/>
          <w:szCs w:val="22"/>
        </w:rPr>
        <w:t>.</w:t>
      </w:r>
    </w:p>
    <w:p w14:paraId="6B9848B4" w14:textId="136B0F7B" w:rsidR="006F297A" w:rsidRDefault="006F297A" w:rsidP="009C3222">
      <w:pPr>
        <w:pStyle w:val="Sraopastraipa"/>
        <w:widowControl w:val="0"/>
        <w:numPr>
          <w:ilvl w:val="0"/>
          <w:numId w:val="24"/>
        </w:numPr>
        <w:ind w:left="567" w:hanging="567"/>
        <w:rPr>
          <w:sz w:val="22"/>
          <w:szCs w:val="22"/>
        </w:rPr>
      </w:pPr>
      <w:r w:rsidRPr="006F297A">
        <w:rPr>
          <w:sz w:val="22"/>
          <w:szCs w:val="22"/>
        </w:rPr>
        <w:t xml:space="preserve">Judėjimo sutrikimai, </w:t>
      </w:r>
      <w:r>
        <w:rPr>
          <w:sz w:val="22"/>
          <w:szCs w:val="22"/>
        </w:rPr>
        <w:t>tokie kaip</w:t>
      </w:r>
      <w:r w:rsidRPr="006F297A">
        <w:rPr>
          <w:sz w:val="22"/>
          <w:szCs w:val="22"/>
        </w:rPr>
        <w:t xml:space="preserve"> raumenų įtampa</w:t>
      </w:r>
      <w:r>
        <w:rPr>
          <w:sz w:val="22"/>
          <w:szCs w:val="22"/>
        </w:rPr>
        <w:t>.</w:t>
      </w:r>
    </w:p>
    <w:p w14:paraId="32CC15F2" w14:textId="0E8575B3"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 xml:space="preserve">Raumenų </w:t>
      </w:r>
      <w:r w:rsidR="006F297A">
        <w:rPr>
          <w:sz w:val="22"/>
          <w:szCs w:val="22"/>
        </w:rPr>
        <w:t>liga, sukelianti raumenų</w:t>
      </w:r>
      <w:r w:rsidRPr="00B4100D">
        <w:rPr>
          <w:sz w:val="22"/>
          <w:szCs w:val="22"/>
        </w:rPr>
        <w:t xml:space="preserve"> silpnumą</w:t>
      </w:r>
      <w:r w:rsidR="006F297A">
        <w:rPr>
          <w:sz w:val="22"/>
          <w:szCs w:val="22"/>
        </w:rPr>
        <w:t>.</w:t>
      </w:r>
    </w:p>
    <w:p w14:paraId="7CFEBB73" w14:textId="222388DC" w:rsidR="00AF37C6" w:rsidRPr="007C7FA9" w:rsidRDefault="00C55F29" w:rsidP="009C3222">
      <w:pPr>
        <w:pStyle w:val="Sraopastraipa"/>
        <w:widowControl w:val="0"/>
        <w:numPr>
          <w:ilvl w:val="0"/>
          <w:numId w:val="24"/>
        </w:numPr>
        <w:ind w:left="567" w:hanging="567"/>
        <w:rPr>
          <w:sz w:val="22"/>
          <w:szCs w:val="22"/>
        </w:rPr>
      </w:pPr>
      <w:r w:rsidRPr="007C7FA9">
        <w:rPr>
          <w:sz w:val="22"/>
          <w:szCs w:val="22"/>
        </w:rPr>
        <w:t>J</w:t>
      </w:r>
      <w:r w:rsidR="00AF37C6" w:rsidRPr="007C7FA9">
        <w:rPr>
          <w:sz w:val="22"/>
          <w:szCs w:val="22"/>
        </w:rPr>
        <w:t xml:space="preserve">utimo suvokimo </w:t>
      </w:r>
      <w:r w:rsidR="007C7FA9" w:rsidRPr="007C7FA9">
        <w:rPr>
          <w:sz w:val="22"/>
          <w:szCs w:val="22"/>
        </w:rPr>
        <w:t xml:space="preserve">ar galūnių valdymo </w:t>
      </w:r>
      <w:r w:rsidR="00AF37C6" w:rsidRPr="007C7FA9">
        <w:rPr>
          <w:sz w:val="22"/>
          <w:szCs w:val="22"/>
        </w:rPr>
        <w:t>pokyčiai</w:t>
      </w:r>
      <w:r w:rsidR="007C7FA9" w:rsidRPr="007C7FA9">
        <w:rPr>
          <w:sz w:val="22"/>
          <w:szCs w:val="22"/>
        </w:rPr>
        <w:t xml:space="preserve">; </w:t>
      </w:r>
      <w:r w:rsidR="007C7FA9">
        <w:rPr>
          <w:sz w:val="22"/>
          <w:szCs w:val="22"/>
        </w:rPr>
        <w:t>s</w:t>
      </w:r>
      <w:r w:rsidR="00AF37C6" w:rsidRPr="007C7FA9">
        <w:rPr>
          <w:sz w:val="22"/>
          <w:szCs w:val="22"/>
        </w:rPr>
        <w:t>u</w:t>
      </w:r>
      <w:r w:rsidRPr="007C7FA9">
        <w:rPr>
          <w:sz w:val="22"/>
          <w:szCs w:val="22"/>
        </w:rPr>
        <w:t>silpnėję</w:t>
      </w:r>
      <w:r w:rsidR="00AF37C6" w:rsidRPr="007C7FA9">
        <w:rPr>
          <w:sz w:val="22"/>
          <w:szCs w:val="22"/>
        </w:rPr>
        <w:t xml:space="preserve"> sausgyslių refleksai.</w:t>
      </w:r>
    </w:p>
    <w:p w14:paraId="28F7686A" w14:textId="77777777" w:rsidR="00AF37C6" w:rsidRPr="00B4100D" w:rsidRDefault="00AF37C6" w:rsidP="009C3222">
      <w:pPr>
        <w:pStyle w:val="Sraopastraipa"/>
        <w:widowControl w:val="0"/>
        <w:numPr>
          <w:ilvl w:val="0"/>
          <w:numId w:val="24"/>
        </w:numPr>
        <w:ind w:left="567" w:hanging="567"/>
        <w:rPr>
          <w:sz w:val="22"/>
          <w:szCs w:val="22"/>
        </w:rPr>
      </w:pPr>
      <w:r w:rsidRPr="00B4100D">
        <w:rPr>
          <w:sz w:val="22"/>
          <w:szCs w:val="22"/>
        </w:rPr>
        <w:t>Kvėpavimo sunkumai.</w:t>
      </w:r>
    </w:p>
    <w:p w14:paraId="366D7C7B" w14:textId="77777777" w:rsidR="00AF37C6" w:rsidRPr="00B4100D" w:rsidRDefault="00C55F29" w:rsidP="009C3222">
      <w:pPr>
        <w:pStyle w:val="Sraopastraipa"/>
        <w:widowControl w:val="0"/>
        <w:numPr>
          <w:ilvl w:val="0"/>
          <w:numId w:val="24"/>
        </w:numPr>
        <w:ind w:left="567" w:hanging="567"/>
        <w:rPr>
          <w:sz w:val="22"/>
          <w:szCs w:val="22"/>
        </w:rPr>
      </w:pPr>
      <w:r w:rsidRPr="00B4100D">
        <w:rPr>
          <w:sz w:val="22"/>
          <w:szCs w:val="22"/>
        </w:rPr>
        <w:t>N</w:t>
      </w:r>
      <w:r w:rsidR="00AF37C6" w:rsidRPr="00B4100D">
        <w:rPr>
          <w:sz w:val="22"/>
          <w:szCs w:val="22"/>
        </w:rPr>
        <w:t>enormalūs kepenų funkcijos tyrim</w:t>
      </w:r>
      <w:r w:rsidRPr="00B4100D">
        <w:rPr>
          <w:sz w:val="22"/>
          <w:szCs w:val="22"/>
        </w:rPr>
        <w:t>ų rezultatai</w:t>
      </w:r>
      <w:r w:rsidR="00AF37C6" w:rsidRPr="00B4100D">
        <w:rPr>
          <w:sz w:val="22"/>
          <w:szCs w:val="22"/>
        </w:rPr>
        <w:t>.</w:t>
      </w:r>
    </w:p>
    <w:p w14:paraId="214D4996" w14:textId="77777777" w:rsidR="00AF37C6" w:rsidRPr="00B4100D" w:rsidRDefault="00C55F29" w:rsidP="009C3222">
      <w:pPr>
        <w:pStyle w:val="Sraopastraipa"/>
        <w:widowControl w:val="0"/>
        <w:numPr>
          <w:ilvl w:val="0"/>
          <w:numId w:val="24"/>
        </w:numPr>
        <w:ind w:left="567" w:hanging="567"/>
        <w:rPr>
          <w:sz w:val="22"/>
          <w:szCs w:val="22"/>
        </w:rPr>
      </w:pPr>
      <w:r w:rsidRPr="00B4100D">
        <w:rPr>
          <w:sz w:val="22"/>
          <w:szCs w:val="22"/>
        </w:rPr>
        <w:t>S</w:t>
      </w:r>
      <w:r w:rsidR="00AF37C6" w:rsidRPr="00B4100D">
        <w:rPr>
          <w:sz w:val="22"/>
          <w:szCs w:val="22"/>
        </w:rPr>
        <w:t>unkus kepenų nepakankamumas.</w:t>
      </w:r>
    </w:p>
    <w:p w14:paraId="2D0CBD3C" w14:textId="7E507257" w:rsidR="00AF37C6" w:rsidRDefault="00AF37C6" w:rsidP="009C3222">
      <w:pPr>
        <w:pStyle w:val="Sraopastraipa"/>
        <w:widowControl w:val="0"/>
        <w:numPr>
          <w:ilvl w:val="0"/>
          <w:numId w:val="24"/>
        </w:numPr>
        <w:ind w:left="567" w:hanging="567"/>
        <w:rPr>
          <w:sz w:val="22"/>
          <w:szCs w:val="22"/>
        </w:rPr>
      </w:pPr>
      <w:r w:rsidRPr="00B4100D">
        <w:rPr>
          <w:sz w:val="22"/>
          <w:szCs w:val="22"/>
        </w:rPr>
        <w:t xml:space="preserve">Alerginės reakcijos, tokios kaip odos </w:t>
      </w:r>
      <w:r w:rsidR="00C55F29" w:rsidRPr="00B4100D">
        <w:rPr>
          <w:sz w:val="22"/>
          <w:szCs w:val="22"/>
        </w:rPr>
        <w:t>iš</w:t>
      </w:r>
      <w:r w:rsidRPr="00B4100D">
        <w:rPr>
          <w:sz w:val="22"/>
          <w:szCs w:val="22"/>
        </w:rPr>
        <w:t>bėrimas</w:t>
      </w:r>
      <w:r w:rsidR="00C55F29" w:rsidRPr="00B4100D">
        <w:rPr>
          <w:sz w:val="22"/>
          <w:szCs w:val="22"/>
        </w:rPr>
        <w:t xml:space="preserve"> kartu su</w:t>
      </w:r>
      <w:r w:rsidRPr="00B4100D">
        <w:rPr>
          <w:sz w:val="22"/>
          <w:szCs w:val="22"/>
        </w:rPr>
        <w:t xml:space="preserve"> stipr</w:t>
      </w:r>
      <w:r w:rsidR="00C55F29" w:rsidRPr="00B4100D">
        <w:rPr>
          <w:sz w:val="22"/>
          <w:szCs w:val="22"/>
        </w:rPr>
        <w:t>iu</w:t>
      </w:r>
      <w:r w:rsidRPr="00B4100D">
        <w:rPr>
          <w:sz w:val="22"/>
          <w:szCs w:val="22"/>
        </w:rPr>
        <w:t xml:space="preserve"> niežėjim</w:t>
      </w:r>
      <w:r w:rsidR="00C55F29" w:rsidRPr="00B4100D">
        <w:rPr>
          <w:sz w:val="22"/>
          <w:szCs w:val="22"/>
        </w:rPr>
        <w:t>u</w:t>
      </w:r>
      <w:r w:rsidRPr="00B4100D">
        <w:rPr>
          <w:sz w:val="22"/>
          <w:szCs w:val="22"/>
        </w:rPr>
        <w:t xml:space="preserve"> ir iškilimų susidarym</w:t>
      </w:r>
      <w:r w:rsidR="00C55F29" w:rsidRPr="00B4100D">
        <w:rPr>
          <w:sz w:val="22"/>
          <w:szCs w:val="22"/>
        </w:rPr>
        <w:t>u</w:t>
      </w:r>
      <w:r w:rsidRPr="00B4100D">
        <w:rPr>
          <w:sz w:val="22"/>
          <w:szCs w:val="22"/>
        </w:rPr>
        <w:t xml:space="preserve"> (dilgėlinė).</w:t>
      </w:r>
    </w:p>
    <w:p w14:paraId="6F3F7F45" w14:textId="7DE1DF90" w:rsidR="007C7FA9" w:rsidRPr="00B4100D" w:rsidRDefault="007C7FA9" w:rsidP="009C3222">
      <w:pPr>
        <w:pStyle w:val="Sraopastraipa"/>
        <w:widowControl w:val="0"/>
        <w:numPr>
          <w:ilvl w:val="0"/>
          <w:numId w:val="24"/>
        </w:numPr>
        <w:ind w:left="567" w:hanging="567"/>
        <w:rPr>
          <w:sz w:val="22"/>
          <w:szCs w:val="22"/>
        </w:rPr>
      </w:pPr>
      <w:r>
        <w:rPr>
          <w:sz w:val="22"/>
          <w:szCs w:val="22"/>
        </w:rPr>
        <w:t>Širdies sutrikimai.</w:t>
      </w:r>
    </w:p>
    <w:p w14:paraId="174AD5D9" w14:textId="2B644FF5" w:rsidR="007C7FA9" w:rsidRDefault="00C55F29" w:rsidP="009C3222">
      <w:pPr>
        <w:pStyle w:val="Sraopastraipa"/>
        <w:widowControl w:val="0"/>
        <w:numPr>
          <w:ilvl w:val="0"/>
          <w:numId w:val="25"/>
        </w:numPr>
        <w:tabs>
          <w:tab w:val="left" w:pos="567"/>
        </w:tabs>
        <w:spacing w:line="260" w:lineRule="exact"/>
        <w:ind w:left="567" w:hanging="567"/>
        <w:rPr>
          <w:sz w:val="22"/>
          <w:szCs w:val="22"/>
        </w:rPr>
      </w:pPr>
      <w:r w:rsidRPr="007C7FA9">
        <w:rPr>
          <w:sz w:val="22"/>
          <w:szCs w:val="22"/>
        </w:rPr>
        <w:t>N</w:t>
      </w:r>
      <w:r w:rsidR="00AF37C6" w:rsidRPr="007C7FA9">
        <w:rPr>
          <w:sz w:val="22"/>
          <w:szCs w:val="22"/>
        </w:rPr>
        <w:t xml:space="preserve">enormalus širdies </w:t>
      </w:r>
      <w:r w:rsidR="007C7FA9" w:rsidRPr="007C7FA9">
        <w:rPr>
          <w:sz w:val="22"/>
          <w:szCs w:val="22"/>
        </w:rPr>
        <w:t xml:space="preserve">plakimas </w:t>
      </w:r>
      <w:r w:rsidR="00AF37C6" w:rsidRPr="007C7FA9">
        <w:rPr>
          <w:sz w:val="22"/>
          <w:szCs w:val="22"/>
        </w:rPr>
        <w:t>(matomas EKG) (žr. 2 skyrių „</w:t>
      </w:r>
      <w:r w:rsidR="007C7FA9" w:rsidRPr="007C7FA9">
        <w:rPr>
          <w:sz w:val="22"/>
          <w:szCs w:val="22"/>
        </w:rPr>
        <w:t>Prieš pradedant gydymą Hydroxychloroquine sulfate Accord</w:t>
      </w:r>
      <w:r w:rsidR="00AF37C6" w:rsidRPr="007C7FA9">
        <w:rPr>
          <w:sz w:val="22"/>
          <w:szCs w:val="22"/>
        </w:rPr>
        <w:t xml:space="preserve">“). </w:t>
      </w:r>
    </w:p>
    <w:p w14:paraId="7DE05E84" w14:textId="63DFAF09" w:rsidR="005C0C3B" w:rsidRPr="007C7FA9" w:rsidRDefault="005C0C3B" w:rsidP="009C3222">
      <w:pPr>
        <w:pStyle w:val="Sraopastraipa"/>
        <w:widowControl w:val="0"/>
        <w:numPr>
          <w:ilvl w:val="0"/>
          <w:numId w:val="25"/>
        </w:numPr>
        <w:tabs>
          <w:tab w:val="left" w:pos="567"/>
        </w:tabs>
        <w:spacing w:line="260" w:lineRule="exact"/>
        <w:ind w:left="567" w:hanging="567"/>
        <w:rPr>
          <w:sz w:val="22"/>
          <w:szCs w:val="22"/>
        </w:rPr>
      </w:pPr>
      <w:r w:rsidRPr="007C7FA9">
        <w:rPr>
          <w:sz w:val="22"/>
          <w:szCs w:val="22"/>
        </w:rPr>
        <w:t>Psichikos sutrikimai (pvz., kliedesiai, haliucinacijos ir nuotaikų kaita).</w:t>
      </w:r>
      <w:r w:rsidRPr="007C7FA9" w:rsidDel="006175FB">
        <w:rPr>
          <w:sz w:val="22"/>
          <w:szCs w:val="22"/>
        </w:rPr>
        <w:t xml:space="preserve"> </w:t>
      </w:r>
    </w:p>
    <w:p w14:paraId="77A4D49C" w14:textId="77777777" w:rsidR="004F6148" w:rsidRPr="00B4100D" w:rsidRDefault="004F6148" w:rsidP="00AF37C6">
      <w:pPr>
        <w:keepNext/>
        <w:keepLines/>
        <w:rPr>
          <w:sz w:val="22"/>
          <w:szCs w:val="22"/>
        </w:rPr>
      </w:pPr>
    </w:p>
    <w:p w14:paraId="097D663A" w14:textId="77777777" w:rsidR="00986560" w:rsidRPr="00B4100D" w:rsidRDefault="00986560" w:rsidP="00986560">
      <w:pPr>
        <w:tabs>
          <w:tab w:val="left" w:pos="567"/>
        </w:tabs>
        <w:rPr>
          <w:b/>
          <w:snapToGrid w:val="0"/>
          <w:sz w:val="22"/>
          <w:szCs w:val="22"/>
        </w:rPr>
      </w:pPr>
      <w:r w:rsidRPr="00B4100D">
        <w:rPr>
          <w:b/>
          <w:snapToGrid w:val="0"/>
          <w:sz w:val="22"/>
          <w:szCs w:val="22"/>
        </w:rPr>
        <w:t>Pranešimas apie šalutinį poveikį</w:t>
      </w:r>
    </w:p>
    <w:p w14:paraId="2AC774CC" w14:textId="3E717942" w:rsidR="000440E7" w:rsidRPr="00B4100D" w:rsidRDefault="00986560" w:rsidP="000440E7">
      <w:pPr>
        <w:ind w:right="-449"/>
        <w:rPr>
          <w:sz w:val="22"/>
          <w:szCs w:val="22"/>
        </w:rPr>
      </w:pPr>
      <w:r w:rsidRPr="00B4100D">
        <w:rPr>
          <w:snapToGrid w:val="0"/>
          <w:sz w:val="22"/>
          <w:szCs w:val="22"/>
        </w:rPr>
        <w:t>Jeigu pasireiškė šalutinis poveikis, įskaitant šiame lapelyje nenurodytą, pasakykite gydytojui</w:t>
      </w:r>
      <w:r w:rsidR="00DE48BF" w:rsidRPr="00B4100D">
        <w:rPr>
          <w:snapToGrid w:val="0"/>
          <w:sz w:val="22"/>
          <w:szCs w:val="22"/>
        </w:rPr>
        <w:t xml:space="preserve"> arba</w:t>
      </w:r>
      <w:r w:rsidRPr="00B4100D">
        <w:rPr>
          <w:snapToGrid w:val="0"/>
          <w:sz w:val="22"/>
          <w:szCs w:val="22"/>
        </w:rPr>
        <w:t xml:space="preserve"> vaistininkui.</w:t>
      </w:r>
      <w:r w:rsidR="000440E7" w:rsidRPr="00B4100D">
        <w:rPr>
          <w:sz w:val="22"/>
          <w:szCs w:val="22"/>
        </w:rPr>
        <w:t xml:space="preserve"> </w:t>
      </w:r>
      <w:r w:rsidR="006647BE" w:rsidRPr="006647BE">
        <w:rPr>
          <w:sz w:val="22"/>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647BE" w:rsidRPr="006647BE">
        <w:rPr>
          <w:color w:val="0000FF"/>
          <w:sz w:val="22"/>
          <w:szCs w:val="20"/>
          <w:u w:val="single"/>
        </w:rPr>
        <w:t>https://vapris.vvkt.lt/vvkt-web/public/nrv</w:t>
      </w:r>
      <w:r w:rsidR="006647BE" w:rsidRPr="006647BE">
        <w:rPr>
          <w:sz w:val="22"/>
          <w:szCs w:val="20"/>
        </w:rPr>
        <w:t xml:space="preserve"> arba užpildant Paciento pranešimo apie įtariamą nepageidaujamą reakciją (ĮNR) formą, kuri skelbiama </w:t>
      </w:r>
      <w:r w:rsidR="006647BE" w:rsidRPr="006647BE">
        <w:rPr>
          <w:color w:val="0000FF"/>
          <w:sz w:val="22"/>
          <w:szCs w:val="20"/>
          <w:u w:val="single"/>
        </w:rPr>
        <w:t>https://www.vvkt.lt/index.php?4004286486</w:t>
      </w:r>
      <w:r w:rsidR="006647BE" w:rsidRPr="006647BE">
        <w:rPr>
          <w:sz w:val="22"/>
          <w:szCs w:val="20"/>
        </w:rPr>
        <w:t xml:space="preserve">, ir atsiunčiant elektroniniu paštu (adresu </w:t>
      </w:r>
      <w:r w:rsidR="006647BE" w:rsidRPr="006647BE">
        <w:rPr>
          <w:color w:val="0000FF"/>
          <w:sz w:val="22"/>
          <w:szCs w:val="20"/>
          <w:u w:val="single"/>
        </w:rPr>
        <w:t>NepageidaujamaR@vvkt.lt</w:t>
      </w:r>
      <w:r w:rsidR="006647BE" w:rsidRPr="006647BE">
        <w:rPr>
          <w:sz w:val="22"/>
          <w:szCs w:val="20"/>
        </w:rPr>
        <w:t xml:space="preserve">) arba nemokamu telefonu 8 800 73 568. </w:t>
      </w:r>
      <w:r w:rsidR="000440E7" w:rsidRPr="00B4100D">
        <w:rPr>
          <w:sz w:val="22"/>
          <w:szCs w:val="22"/>
        </w:rPr>
        <w:t>Pranešdami apie šalutinį poveikį galite mums padėti gauti daugiau informacijos apie šio vaisto saugumą.</w:t>
      </w:r>
    </w:p>
    <w:p w14:paraId="40D872A7" w14:textId="77777777" w:rsidR="00986560" w:rsidRPr="00B4100D" w:rsidRDefault="00986560" w:rsidP="006E671E">
      <w:pPr>
        <w:pStyle w:val="BTEMEASMCA"/>
      </w:pPr>
    </w:p>
    <w:p w14:paraId="4AB34184" w14:textId="77777777" w:rsidR="00986560" w:rsidRPr="00B4100D" w:rsidRDefault="00986560" w:rsidP="006E671E">
      <w:pPr>
        <w:pStyle w:val="BTEMEASMCA"/>
      </w:pPr>
    </w:p>
    <w:p w14:paraId="59E53E6B" w14:textId="77777777" w:rsidR="00986560" w:rsidRPr="00B4100D" w:rsidRDefault="00986560" w:rsidP="00986560">
      <w:pPr>
        <w:pStyle w:val="PI-1EMEASMCA"/>
      </w:pPr>
      <w:bookmarkStart w:id="86" w:name="_Toc129243143"/>
      <w:bookmarkStart w:id="87" w:name="_Toc129243268"/>
      <w:r w:rsidRPr="00B4100D">
        <w:t>5.</w:t>
      </w:r>
      <w:r w:rsidRPr="00B4100D">
        <w:tab/>
        <w:t xml:space="preserve">Kaip laikyti </w:t>
      </w:r>
      <w:bookmarkEnd w:id="86"/>
      <w:bookmarkEnd w:id="87"/>
      <w:r w:rsidR="0061121A" w:rsidRPr="00B4100D">
        <w:rPr>
          <w:bCs/>
        </w:rPr>
        <w:t xml:space="preserve">Hydroxychloroquine sulfate Accord </w:t>
      </w:r>
    </w:p>
    <w:p w14:paraId="4A986410" w14:textId="77777777" w:rsidR="00986560" w:rsidRPr="00B4100D" w:rsidRDefault="00986560" w:rsidP="006E671E">
      <w:pPr>
        <w:pStyle w:val="BTEMEASMCA"/>
      </w:pPr>
    </w:p>
    <w:p w14:paraId="5343A7CE" w14:textId="77777777" w:rsidR="00986560" w:rsidRPr="00B4100D" w:rsidRDefault="00986560" w:rsidP="00986560">
      <w:pPr>
        <w:numPr>
          <w:ilvl w:val="12"/>
          <w:numId w:val="0"/>
        </w:numPr>
        <w:ind w:right="-2"/>
        <w:rPr>
          <w:rFonts w:eastAsia="SimSun"/>
          <w:sz w:val="22"/>
          <w:szCs w:val="22"/>
          <w:lang w:eastAsia="zh-CN"/>
        </w:rPr>
      </w:pPr>
      <w:r w:rsidRPr="00B4100D">
        <w:rPr>
          <w:rFonts w:eastAsia="SimSun"/>
          <w:sz w:val="22"/>
          <w:szCs w:val="22"/>
          <w:lang w:eastAsia="zh-CN"/>
        </w:rPr>
        <w:t>Šį vaistą laikykite vaikams nepastebimoje ir nepasiekiamoje vietoje.</w:t>
      </w:r>
    </w:p>
    <w:p w14:paraId="65897C8D" w14:textId="77777777" w:rsidR="00986560" w:rsidRPr="00B4100D" w:rsidRDefault="00986560" w:rsidP="00986560">
      <w:pPr>
        <w:rPr>
          <w:sz w:val="22"/>
          <w:szCs w:val="22"/>
        </w:rPr>
      </w:pPr>
    </w:p>
    <w:p w14:paraId="667C0A95" w14:textId="77777777" w:rsidR="00986560" w:rsidRPr="00B4100D" w:rsidRDefault="00986560" w:rsidP="006E671E">
      <w:pPr>
        <w:pStyle w:val="BTEMEASMCA"/>
      </w:pPr>
      <w:r w:rsidRPr="00B4100D">
        <w:t>Ant dėžutės ir lizdinės plokštelės po „EXP“ nurodytam tinkamumo laikui pasibaigus, šio vaisto vartoti negalima. Vaistas tinkamas vartoti iki paskutinės nurodyto mėnesio dienos.</w:t>
      </w:r>
    </w:p>
    <w:p w14:paraId="3FAEDC68" w14:textId="77777777" w:rsidR="00986560" w:rsidRPr="00B4100D" w:rsidRDefault="00986560" w:rsidP="00986560">
      <w:pPr>
        <w:rPr>
          <w:sz w:val="22"/>
          <w:szCs w:val="22"/>
        </w:rPr>
      </w:pPr>
    </w:p>
    <w:p w14:paraId="324A594C" w14:textId="77777777" w:rsidR="00C55F29" w:rsidRPr="00B4100D" w:rsidRDefault="00C55F29" w:rsidP="00986560">
      <w:pPr>
        <w:rPr>
          <w:snapToGrid w:val="0"/>
          <w:sz w:val="22"/>
          <w:szCs w:val="20"/>
        </w:rPr>
      </w:pPr>
      <w:r w:rsidRPr="00B4100D">
        <w:rPr>
          <w:snapToGrid w:val="0"/>
          <w:sz w:val="22"/>
          <w:szCs w:val="20"/>
        </w:rPr>
        <w:t>Šiam vaistui specialių laikymo sąlygų nereikia.</w:t>
      </w:r>
    </w:p>
    <w:p w14:paraId="69509871" w14:textId="77777777" w:rsidR="00C55F29" w:rsidRPr="00B4100D" w:rsidRDefault="00C55F29" w:rsidP="00986560">
      <w:pPr>
        <w:rPr>
          <w:sz w:val="22"/>
          <w:szCs w:val="22"/>
        </w:rPr>
      </w:pPr>
    </w:p>
    <w:p w14:paraId="53F50D1A" w14:textId="77777777" w:rsidR="00986560" w:rsidRPr="00B4100D" w:rsidRDefault="00986560" w:rsidP="006E671E">
      <w:pPr>
        <w:pStyle w:val="BTEMEASMCA"/>
      </w:pPr>
      <w:r w:rsidRPr="00B4100D">
        <w:t>Vaistų negalima išmesti į kanalizaciją arba su buitinėmis atliekomis. Kaip išmesti nereikalingus vaistus, klauskite vaistininko. Šios priemonės padės apsaugoti aplinką.</w:t>
      </w:r>
    </w:p>
    <w:p w14:paraId="7B04876B" w14:textId="77777777" w:rsidR="00986560" w:rsidRPr="00B4100D" w:rsidRDefault="00986560" w:rsidP="006E671E">
      <w:pPr>
        <w:pStyle w:val="BTEMEASMCA"/>
      </w:pPr>
    </w:p>
    <w:p w14:paraId="77CC0011" w14:textId="77777777" w:rsidR="00986560" w:rsidRPr="00B4100D" w:rsidRDefault="00986560" w:rsidP="00C475DF">
      <w:pPr>
        <w:pStyle w:val="BTEMEASMCA"/>
      </w:pPr>
    </w:p>
    <w:p w14:paraId="682B711A" w14:textId="77777777" w:rsidR="00986560" w:rsidRPr="00B4100D" w:rsidRDefault="00986560" w:rsidP="003A7DB3">
      <w:pPr>
        <w:pStyle w:val="PI-1EMEASMCA"/>
        <w:keepLines/>
      </w:pPr>
      <w:bookmarkStart w:id="88" w:name="_Toc129243144"/>
      <w:bookmarkStart w:id="89" w:name="_Toc129243269"/>
      <w:r w:rsidRPr="00B4100D">
        <w:t>6.</w:t>
      </w:r>
      <w:r w:rsidRPr="00B4100D">
        <w:tab/>
        <w:t>Pakuotės turinys ir kita informacija</w:t>
      </w:r>
      <w:bookmarkEnd w:id="88"/>
      <w:bookmarkEnd w:id="89"/>
    </w:p>
    <w:p w14:paraId="659EE60F" w14:textId="77777777" w:rsidR="00986560" w:rsidRPr="00B4100D" w:rsidRDefault="00986560" w:rsidP="003A7DB3">
      <w:pPr>
        <w:pStyle w:val="BTEMEASMCA"/>
        <w:keepNext/>
      </w:pPr>
    </w:p>
    <w:p w14:paraId="1BECB1B5" w14:textId="77777777" w:rsidR="00986560" w:rsidRPr="00B4100D" w:rsidRDefault="0061121A" w:rsidP="003A7DB3">
      <w:pPr>
        <w:pStyle w:val="PI-3EMEASMCA"/>
        <w:keepNext/>
        <w:keepLines/>
      </w:pPr>
      <w:r w:rsidRPr="00B4100D">
        <w:t xml:space="preserve">Hydroxychloroquine sulfate Accord </w:t>
      </w:r>
      <w:r w:rsidR="00986560" w:rsidRPr="00B4100D">
        <w:t>sudėtis</w:t>
      </w:r>
    </w:p>
    <w:p w14:paraId="626A2194" w14:textId="0396F1DE" w:rsidR="00986560" w:rsidRPr="00B4100D" w:rsidRDefault="00DF17FE" w:rsidP="009C3222">
      <w:pPr>
        <w:numPr>
          <w:ilvl w:val="0"/>
          <w:numId w:val="1"/>
        </w:numPr>
        <w:tabs>
          <w:tab w:val="clear" w:pos="360"/>
          <w:tab w:val="num" w:pos="567"/>
        </w:tabs>
        <w:ind w:left="567" w:hanging="567"/>
        <w:rPr>
          <w:sz w:val="22"/>
          <w:szCs w:val="22"/>
        </w:rPr>
      </w:pPr>
      <w:r w:rsidRPr="00B4100D">
        <w:rPr>
          <w:sz w:val="22"/>
          <w:szCs w:val="22"/>
        </w:rPr>
        <w:t>Kiekv</w:t>
      </w:r>
      <w:r w:rsidR="00986560" w:rsidRPr="00B4100D">
        <w:rPr>
          <w:sz w:val="22"/>
          <w:szCs w:val="22"/>
        </w:rPr>
        <w:t>ienoje tabletėje</w:t>
      </w:r>
      <w:r w:rsidR="00A96699" w:rsidRPr="00B4100D">
        <w:rPr>
          <w:sz w:val="22"/>
          <w:szCs w:val="22"/>
        </w:rPr>
        <w:t xml:space="preserve"> yra</w:t>
      </w:r>
      <w:r w:rsidR="00986560" w:rsidRPr="00B4100D">
        <w:rPr>
          <w:sz w:val="22"/>
          <w:szCs w:val="22"/>
        </w:rPr>
        <w:t xml:space="preserve"> </w:t>
      </w:r>
      <w:r w:rsidRPr="00B4100D">
        <w:rPr>
          <w:sz w:val="22"/>
          <w:szCs w:val="22"/>
        </w:rPr>
        <w:t>200 mg veikliosios medžiagos hidroksichlorokvino sulfat</w:t>
      </w:r>
      <w:r w:rsidR="00A96699" w:rsidRPr="00B4100D">
        <w:rPr>
          <w:sz w:val="22"/>
          <w:szCs w:val="22"/>
        </w:rPr>
        <w:t>o</w:t>
      </w:r>
      <w:r w:rsidR="00986560" w:rsidRPr="00B4100D">
        <w:rPr>
          <w:sz w:val="22"/>
          <w:szCs w:val="22"/>
        </w:rPr>
        <w:t>.</w:t>
      </w:r>
    </w:p>
    <w:p w14:paraId="1C9706C8" w14:textId="77777777" w:rsidR="00986560" w:rsidRPr="00B4100D" w:rsidRDefault="00986560" w:rsidP="009C3222">
      <w:pPr>
        <w:numPr>
          <w:ilvl w:val="0"/>
          <w:numId w:val="1"/>
        </w:numPr>
        <w:tabs>
          <w:tab w:val="clear" w:pos="360"/>
          <w:tab w:val="num" w:pos="567"/>
        </w:tabs>
        <w:ind w:left="567" w:hanging="567"/>
        <w:rPr>
          <w:sz w:val="22"/>
          <w:szCs w:val="22"/>
        </w:rPr>
      </w:pPr>
      <w:r w:rsidRPr="00B4100D">
        <w:rPr>
          <w:sz w:val="22"/>
          <w:szCs w:val="22"/>
        </w:rPr>
        <w:t>Pagalbinės medžiagos</w:t>
      </w:r>
      <w:r w:rsidR="00DF17FE" w:rsidRPr="00B4100D">
        <w:rPr>
          <w:sz w:val="22"/>
          <w:szCs w:val="22"/>
        </w:rPr>
        <w:t xml:space="preserve"> yra</w:t>
      </w:r>
      <w:r w:rsidRPr="00B4100D">
        <w:rPr>
          <w:sz w:val="22"/>
          <w:szCs w:val="22"/>
        </w:rPr>
        <w:t xml:space="preserve"> laktozė monohidratas, </w:t>
      </w:r>
      <w:r w:rsidR="00DF17FE" w:rsidRPr="00B4100D">
        <w:rPr>
          <w:sz w:val="22"/>
          <w:szCs w:val="22"/>
        </w:rPr>
        <w:t xml:space="preserve">kukurūzų krakmolas, magnio stearatas (E470b), </w:t>
      </w:r>
      <w:r w:rsidRPr="00B4100D">
        <w:rPr>
          <w:sz w:val="22"/>
          <w:szCs w:val="22"/>
        </w:rPr>
        <w:t xml:space="preserve">povidonas </w:t>
      </w:r>
      <w:r w:rsidR="00DF17FE" w:rsidRPr="00B4100D">
        <w:rPr>
          <w:sz w:val="22"/>
          <w:szCs w:val="22"/>
        </w:rPr>
        <w:t>(E1201)</w:t>
      </w:r>
      <w:r w:rsidRPr="00B4100D">
        <w:rPr>
          <w:sz w:val="22"/>
          <w:szCs w:val="22"/>
        </w:rPr>
        <w:t xml:space="preserve">, </w:t>
      </w:r>
      <w:r w:rsidR="00DF17FE" w:rsidRPr="00B4100D">
        <w:rPr>
          <w:sz w:val="22"/>
          <w:szCs w:val="22"/>
        </w:rPr>
        <w:t>polivinilo alkoholis (E1203), talkas (E553b), makrogolis ir titano dioksidas (E171).</w:t>
      </w:r>
    </w:p>
    <w:p w14:paraId="68EBDC3A" w14:textId="77777777" w:rsidR="00986560" w:rsidRPr="00B4100D" w:rsidRDefault="00986560" w:rsidP="006E671E">
      <w:pPr>
        <w:pStyle w:val="BTEMEASMCA"/>
      </w:pPr>
    </w:p>
    <w:p w14:paraId="3B6C9867" w14:textId="77777777" w:rsidR="00986560" w:rsidRPr="00B4100D" w:rsidRDefault="0061121A" w:rsidP="00986560">
      <w:pPr>
        <w:pStyle w:val="PI-3EMEASMCA"/>
      </w:pPr>
      <w:r w:rsidRPr="00B4100D">
        <w:t xml:space="preserve">Hydroxychloroquine sulfate Accord </w:t>
      </w:r>
      <w:r w:rsidR="00986560" w:rsidRPr="00B4100D">
        <w:t>išvaizda ir kiekis pakuotėje</w:t>
      </w:r>
    </w:p>
    <w:p w14:paraId="501F8082" w14:textId="77777777" w:rsidR="0051388B" w:rsidRPr="00B4100D" w:rsidRDefault="00DF17FE" w:rsidP="00986560">
      <w:pPr>
        <w:autoSpaceDE w:val="0"/>
        <w:autoSpaceDN w:val="0"/>
        <w:adjustRightInd w:val="0"/>
        <w:rPr>
          <w:sz w:val="22"/>
          <w:szCs w:val="22"/>
        </w:rPr>
      </w:pPr>
      <w:r w:rsidRPr="00B4100D">
        <w:rPr>
          <w:sz w:val="22"/>
          <w:szCs w:val="22"/>
        </w:rPr>
        <w:t>Hydroxychloroquine sulfate Accord 200 mg p</w:t>
      </w:r>
      <w:r w:rsidR="00986560" w:rsidRPr="00B4100D">
        <w:rPr>
          <w:sz w:val="22"/>
          <w:szCs w:val="22"/>
        </w:rPr>
        <w:t xml:space="preserve">lėvele dengtos tabletės yra </w:t>
      </w:r>
      <w:r w:rsidRPr="00B4100D">
        <w:rPr>
          <w:sz w:val="22"/>
          <w:szCs w:val="22"/>
        </w:rPr>
        <w:t>baltos arba beveik baltos, žemės riešuto formos, abipus išgaubtos, plėvele dengtos tabletės, kurių vienoje pusėje yra įspaudas „H11“, o kita pusė lygi</w:t>
      </w:r>
      <w:r w:rsidR="0051388B" w:rsidRPr="00B4100D">
        <w:rPr>
          <w:sz w:val="22"/>
          <w:szCs w:val="22"/>
        </w:rPr>
        <w:t>.</w:t>
      </w:r>
    </w:p>
    <w:p w14:paraId="6391D3F1" w14:textId="77777777" w:rsidR="0051388B" w:rsidRPr="00B4100D" w:rsidRDefault="0051388B" w:rsidP="00986560">
      <w:pPr>
        <w:autoSpaceDE w:val="0"/>
        <w:autoSpaceDN w:val="0"/>
        <w:adjustRightInd w:val="0"/>
        <w:rPr>
          <w:sz w:val="22"/>
          <w:szCs w:val="22"/>
        </w:rPr>
      </w:pPr>
      <w:r w:rsidRPr="00B4100D">
        <w:rPr>
          <w:sz w:val="22"/>
          <w:szCs w:val="22"/>
        </w:rPr>
        <w:t>A</w:t>
      </w:r>
      <w:r w:rsidR="00DF17FE" w:rsidRPr="00B4100D">
        <w:rPr>
          <w:sz w:val="22"/>
          <w:szCs w:val="22"/>
        </w:rPr>
        <w:t>pytiksliai matmenys yra 12,80 ± 0,05</w:t>
      </w:r>
      <w:r w:rsidRPr="00B4100D">
        <w:rPr>
          <w:sz w:val="22"/>
          <w:szCs w:val="22"/>
        </w:rPr>
        <w:t> </w:t>
      </w:r>
      <w:r w:rsidR="00DF17FE" w:rsidRPr="00B4100D">
        <w:rPr>
          <w:sz w:val="22"/>
          <w:szCs w:val="22"/>
        </w:rPr>
        <w:t>mm x 6,10 ± 0,05</w:t>
      </w:r>
      <w:r w:rsidRPr="00B4100D">
        <w:rPr>
          <w:sz w:val="22"/>
          <w:szCs w:val="22"/>
        </w:rPr>
        <w:t> </w:t>
      </w:r>
      <w:r w:rsidR="00DF17FE" w:rsidRPr="00B4100D">
        <w:rPr>
          <w:sz w:val="22"/>
          <w:szCs w:val="22"/>
        </w:rPr>
        <w:t>mm.</w:t>
      </w:r>
    </w:p>
    <w:p w14:paraId="6C7CA0C9" w14:textId="77777777" w:rsidR="00986560" w:rsidRPr="00B4100D" w:rsidRDefault="0051388B" w:rsidP="00986560">
      <w:pPr>
        <w:autoSpaceDE w:val="0"/>
        <w:autoSpaceDN w:val="0"/>
        <w:adjustRightInd w:val="0"/>
        <w:rPr>
          <w:sz w:val="22"/>
          <w:szCs w:val="22"/>
        </w:rPr>
      </w:pPr>
      <w:r w:rsidRPr="00B4100D">
        <w:rPr>
          <w:sz w:val="22"/>
          <w:szCs w:val="22"/>
        </w:rPr>
        <w:t xml:space="preserve">Jos yra tiekiamos </w:t>
      </w:r>
      <w:r w:rsidR="00986560" w:rsidRPr="00B4100D">
        <w:rPr>
          <w:sz w:val="22"/>
          <w:szCs w:val="22"/>
        </w:rPr>
        <w:t>lizdinė</w:t>
      </w:r>
      <w:r w:rsidRPr="00B4100D">
        <w:rPr>
          <w:sz w:val="22"/>
          <w:szCs w:val="22"/>
        </w:rPr>
        <w:t>se</w:t>
      </w:r>
      <w:r w:rsidR="00986560" w:rsidRPr="00B4100D">
        <w:rPr>
          <w:sz w:val="22"/>
          <w:szCs w:val="22"/>
        </w:rPr>
        <w:t xml:space="preserve"> plokštelė</w:t>
      </w:r>
      <w:r w:rsidRPr="00B4100D">
        <w:rPr>
          <w:sz w:val="22"/>
          <w:szCs w:val="22"/>
        </w:rPr>
        <w:t>se po 20, 30, 50, 60, 90 arba 100 tablečių</w:t>
      </w:r>
      <w:r w:rsidR="00986560" w:rsidRPr="00B4100D">
        <w:rPr>
          <w:sz w:val="22"/>
          <w:szCs w:val="22"/>
        </w:rPr>
        <w:t>.</w:t>
      </w:r>
      <w:r w:rsidRPr="00B4100D">
        <w:rPr>
          <w:sz w:val="22"/>
          <w:szCs w:val="22"/>
        </w:rPr>
        <w:t xml:space="preserve"> Gali būti tiekiamos ne visų dydžių pakuotės.</w:t>
      </w:r>
    </w:p>
    <w:p w14:paraId="04312FDE" w14:textId="77777777" w:rsidR="00986560" w:rsidRPr="00B4100D" w:rsidRDefault="00986560" w:rsidP="00986560">
      <w:pPr>
        <w:rPr>
          <w:sz w:val="22"/>
          <w:szCs w:val="22"/>
        </w:rPr>
      </w:pPr>
    </w:p>
    <w:p w14:paraId="6E05FA0A" w14:textId="77777777" w:rsidR="00986560" w:rsidRPr="00B4100D" w:rsidRDefault="000A6BE7" w:rsidP="00986560">
      <w:pPr>
        <w:pStyle w:val="PI-3EMEASMCA"/>
      </w:pPr>
      <w:r w:rsidRPr="00B4100D">
        <w:t xml:space="preserve">Registruotojas </w:t>
      </w:r>
      <w:r w:rsidR="00986560" w:rsidRPr="00B4100D">
        <w:t>ir gamintojas</w:t>
      </w:r>
    </w:p>
    <w:p w14:paraId="765639C8" w14:textId="77777777" w:rsidR="00986560" w:rsidRPr="00B4100D" w:rsidRDefault="00986560" w:rsidP="006E671E">
      <w:pPr>
        <w:pStyle w:val="BTEMEASMCA"/>
      </w:pPr>
    </w:p>
    <w:p w14:paraId="64F39A13" w14:textId="77777777" w:rsidR="00986560" w:rsidRPr="00B4100D" w:rsidRDefault="004F2082" w:rsidP="006E671E">
      <w:pPr>
        <w:pStyle w:val="BTEMEASMCA"/>
        <w:rPr>
          <w:i/>
          <w:iCs/>
        </w:rPr>
      </w:pPr>
      <w:r w:rsidRPr="00B4100D">
        <w:rPr>
          <w:i/>
          <w:iCs/>
        </w:rPr>
        <w:t>Registruotojas</w:t>
      </w:r>
    </w:p>
    <w:p w14:paraId="706AC4CF" w14:textId="77777777" w:rsidR="0051388B" w:rsidRPr="00B4100D" w:rsidRDefault="0051388B" w:rsidP="0051388B">
      <w:pPr>
        <w:pStyle w:val="BTEMEASMCA"/>
      </w:pPr>
      <w:r w:rsidRPr="00B4100D">
        <w:t xml:space="preserve">Accord Healthcare B.V. </w:t>
      </w:r>
    </w:p>
    <w:p w14:paraId="4B0D2758" w14:textId="77777777" w:rsidR="0051388B" w:rsidRPr="00B4100D" w:rsidRDefault="0051388B" w:rsidP="0051388B">
      <w:pPr>
        <w:pStyle w:val="BTEMEASMCA"/>
      </w:pPr>
      <w:r w:rsidRPr="00B4100D">
        <w:t xml:space="preserve">Winthontlaan 200 </w:t>
      </w:r>
    </w:p>
    <w:p w14:paraId="52AB3568" w14:textId="77777777" w:rsidR="0051388B" w:rsidRPr="00B4100D" w:rsidRDefault="0051388B" w:rsidP="0051388B">
      <w:pPr>
        <w:pStyle w:val="BTEMEASMCA"/>
      </w:pPr>
      <w:r w:rsidRPr="00B4100D">
        <w:t xml:space="preserve">3526 KV Utrecht </w:t>
      </w:r>
    </w:p>
    <w:p w14:paraId="0D2CB9D7" w14:textId="77777777" w:rsidR="0051388B" w:rsidRPr="00B4100D" w:rsidRDefault="0051388B" w:rsidP="0051388B">
      <w:pPr>
        <w:pStyle w:val="BTEMEASMCA"/>
      </w:pPr>
      <w:r w:rsidRPr="00B4100D">
        <w:t>Nyderlandai</w:t>
      </w:r>
    </w:p>
    <w:p w14:paraId="07E22588" w14:textId="77777777" w:rsidR="00986560" w:rsidRPr="00B4100D" w:rsidRDefault="00986560">
      <w:pPr>
        <w:pStyle w:val="BTEMEASMCA"/>
      </w:pPr>
    </w:p>
    <w:p w14:paraId="09C67D45" w14:textId="56AD8BA5" w:rsidR="00986560" w:rsidRPr="00B4100D" w:rsidRDefault="00986560" w:rsidP="00986560">
      <w:pPr>
        <w:rPr>
          <w:i/>
          <w:sz w:val="22"/>
          <w:szCs w:val="22"/>
        </w:rPr>
      </w:pPr>
      <w:r w:rsidRPr="00B4100D">
        <w:rPr>
          <w:i/>
          <w:sz w:val="22"/>
          <w:szCs w:val="22"/>
        </w:rPr>
        <w:t>Gamintoja</w:t>
      </w:r>
      <w:r w:rsidR="002E34AB">
        <w:rPr>
          <w:i/>
          <w:sz w:val="22"/>
          <w:szCs w:val="22"/>
        </w:rPr>
        <w:t>s</w:t>
      </w:r>
    </w:p>
    <w:p w14:paraId="1EC06FA6" w14:textId="72AE3D82" w:rsidR="0051388B" w:rsidRPr="00B4100D" w:rsidRDefault="0051388B" w:rsidP="0051388B">
      <w:pPr>
        <w:numPr>
          <w:ilvl w:val="12"/>
          <w:numId w:val="0"/>
        </w:numPr>
        <w:tabs>
          <w:tab w:val="left" w:pos="720"/>
        </w:tabs>
        <w:ind w:right="-2"/>
        <w:rPr>
          <w:sz w:val="22"/>
          <w:szCs w:val="22"/>
        </w:rPr>
      </w:pPr>
      <w:r w:rsidRPr="00B4100D">
        <w:rPr>
          <w:sz w:val="22"/>
          <w:szCs w:val="22"/>
        </w:rPr>
        <w:t>L</w:t>
      </w:r>
      <w:r w:rsidR="00F57393" w:rsidRPr="00B4100D">
        <w:rPr>
          <w:sz w:val="22"/>
          <w:szCs w:val="22"/>
        </w:rPr>
        <w:t>aboratori</w:t>
      </w:r>
      <w:r w:rsidRPr="00B4100D">
        <w:rPr>
          <w:sz w:val="22"/>
          <w:szCs w:val="22"/>
        </w:rPr>
        <w:t xml:space="preserve"> F</w:t>
      </w:r>
      <w:r w:rsidR="00F57393" w:rsidRPr="00B4100D">
        <w:rPr>
          <w:sz w:val="22"/>
          <w:szCs w:val="22"/>
        </w:rPr>
        <w:t>undacio</w:t>
      </w:r>
      <w:r w:rsidRPr="00B4100D">
        <w:rPr>
          <w:sz w:val="22"/>
          <w:szCs w:val="22"/>
        </w:rPr>
        <w:t xml:space="preserve"> D</w:t>
      </w:r>
      <w:r w:rsidR="00F57393" w:rsidRPr="00B4100D">
        <w:rPr>
          <w:sz w:val="22"/>
          <w:szCs w:val="22"/>
        </w:rPr>
        <w:t>au</w:t>
      </w:r>
    </w:p>
    <w:p w14:paraId="5787F3E4" w14:textId="30E3B176" w:rsidR="0051388B" w:rsidRPr="00B4100D" w:rsidRDefault="0051388B" w:rsidP="0051388B">
      <w:pPr>
        <w:numPr>
          <w:ilvl w:val="12"/>
          <w:numId w:val="0"/>
        </w:numPr>
        <w:tabs>
          <w:tab w:val="left" w:pos="720"/>
        </w:tabs>
        <w:ind w:right="-2"/>
        <w:rPr>
          <w:sz w:val="22"/>
          <w:szCs w:val="22"/>
        </w:rPr>
      </w:pPr>
      <w:r w:rsidRPr="00B4100D">
        <w:rPr>
          <w:sz w:val="22"/>
          <w:szCs w:val="22"/>
        </w:rPr>
        <w:t>C/</w:t>
      </w:r>
      <w:r w:rsidR="00F57393" w:rsidRPr="00B4100D">
        <w:rPr>
          <w:sz w:val="22"/>
          <w:szCs w:val="22"/>
        </w:rPr>
        <w:t>c</w:t>
      </w:r>
      <w:r w:rsidRPr="00B4100D">
        <w:rPr>
          <w:sz w:val="22"/>
          <w:szCs w:val="22"/>
        </w:rPr>
        <w:t>, 12-14 Pol</w:t>
      </w:r>
      <w:r w:rsidR="00F57393" w:rsidRPr="00B4100D">
        <w:rPr>
          <w:sz w:val="22"/>
          <w:szCs w:val="22"/>
        </w:rPr>
        <w:t>igon</w:t>
      </w:r>
      <w:r w:rsidR="00FA648F" w:rsidRPr="00B4100D">
        <w:rPr>
          <w:sz w:val="22"/>
          <w:szCs w:val="22"/>
        </w:rPr>
        <w:t>o</w:t>
      </w:r>
      <w:r w:rsidRPr="00B4100D">
        <w:rPr>
          <w:sz w:val="22"/>
          <w:szCs w:val="22"/>
        </w:rPr>
        <w:t xml:space="preserve"> In</w:t>
      </w:r>
      <w:r w:rsidR="00FA648F" w:rsidRPr="00B4100D">
        <w:rPr>
          <w:sz w:val="22"/>
          <w:szCs w:val="22"/>
        </w:rPr>
        <w:t>d</w:t>
      </w:r>
      <w:r w:rsidR="00F57393" w:rsidRPr="00B4100D">
        <w:rPr>
          <w:sz w:val="22"/>
          <w:szCs w:val="22"/>
        </w:rPr>
        <w:t>ustrial</w:t>
      </w:r>
      <w:r w:rsidRPr="00B4100D">
        <w:rPr>
          <w:sz w:val="22"/>
          <w:szCs w:val="22"/>
        </w:rPr>
        <w:t xml:space="preserve"> Zona Franca</w:t>
      </w:r>
    </w:p>
    <w:p w14:paraId="15A461B3" w14:textId="0F738531" w:rsidR="00F57393" w:rsidRPr="00B4100D" w:rsidRDefault="00F57393" w:rsidP="0051388B">
      <w:pPr>
        <w:numPr>
          <w:ilvl w:val="12"/>
          <w:numId w:val="0"/>
        </w:numPr>
        <w:tabs>
          <w:tab w:val="left" w:pos="720"/>
        </w:tabs>
        <w:ind w:right="-2"/>
        <w:rPr>
          <w:sz w:val="22"/>
          <w:szCs w:val="20"/>
        </w:rPr>
      </w:pPr>
      <w:r w:rsidRPr="00B4100D">
        <w:rPr>
          <w:sz w:val="22"/>
          <w:szCs w:val="22"/>
        </w:rPr>
        <w:t xml:space="preserve">08040 </w:t>
      </w:r>
      <w:r w:rsidR="0051388B" w:rsidRPr="00B4100D">
        <w:rPr>
          <w:sz w:val="22"/>
          <w:szCs w:val="22"/>
        </w:rPr>
        <w:t>Barcelona</w:t>
      </w:r>
    </w:p>
    <w:p w14:paraId="5E44CAC5" w14:textId="77777777" w:rsidR="0051388B" w:rsidRPr="00B4100D" w:rsidRDefault="0051388B" w:rsidP="0051388B">
      <w:pPr>
        <w:numPr>
          <w:ilvl w:val="12"/>
          <w:numId w:val="0"/>
        </w:numPr>
        <w:tabs>
          <w:tab w:val="left" w:pos="720"/>
        </w:tabs>
        <w:ind w:right="-2"/>
        <w:rPr>
          <w:sz w:val="22"/>
          <w:szCs w:val="22"/>
        </w:rPr>
      </w:pPr>
      <w:r w:rsidRPr="00B4100D">
        <w:rPr>
          <w:sz w:val="22"/>
          <w:szCs w:val="22"/>
        </w:rPr>
        <w:t>Ispanija</w:t>
      </w:r>
    </w:p>
    <w:p w14:paraId="1023D0FE" w14:textId="77777777" w:rsidR="0051388B" w:rsidRPr="00B4100D" w:rsidRDefault="0051388B" w:rsidP="0051388B">
      <w:pPr>
        <w:numPr>
          <w:ilvl w:val="12"/>
          <w:numId w:val="0"/>
        </w:numPr>
        <w:tabs>
          <w:tab w:val="left" w:pos="567"/>
        </w:tabs>
        <w:ind w:right="-2"/>
        <w:rPr>
          <w:iCs/>
          <w:sz w:val="22"/>
          <w:szCs w:val="20"/>
        </w:rPr>
      </w:pPr>
    </w:p>
    <w:p w14:paraId="4915698E" w14:textId="77777777" w:rsidR="0051388B" w:rsidRPr="00B4100D" w:rsidRDefault="0051388B" w:rsidP="0051388B">
      <w:pPr>
        <w:numPr>
          <w:ilvl w:val="12"/>
          <w:numId w:val="0"/>
        </w:numPr>
        <w:tabs>
          <w:tab w:val="left" w:pos="567"/>
        </w:tabs>
        <w:ind w:right="-2"/>
        <w:rPr>
          <w:iCs/>
          <w:sz w:val="22"/>
          <w:szCs w:val="20"/>
        </w:rPr>
      </w:pPr>
      <w:r w:rsidRPr="00B4100D">
        <w:rPr>
          <w:iCs/>
          <w:sz w:val="22"/>
          <w:szCs w:val="20"/>
        </w:rPr>
        <w:t>arba</w:t>
      </w:r>
    </w:p>
    <w:p w14:paraId="557F38C9" w14:textId="77777777" w:rsidR="0051388B" w:rsidRPr="00B4100D" w:rsidRDefault="0051388B" w:rsidP="0051388B">
      <w:pPr>
        <w:numPr>
          <w:ilvl w:val="12"/>
          <w:numId w:val="0"/>
        </w:numPr>
        <w:tabs>
          <w:tab w:val="left" w:pos="567"/>
        </w:tabs>
        <w:ind w:right="-2"/>
        <w:rPr>
          <w:iCs/>
          <w:sz w:val="22"/>
          <w:szCs w:val="20"/>
        </w:rPr>
      </w:pPr>
    </w:p>
    <w:p w14:paraId="0CB26CCF" w14:textId="77777777" w:rsidR="0051388B" w:rsidRPr="00B4100D" w:rsidRDefault="0051388B" w:rsidP="0051388B">
      <w:pPr>
        <w:numPr>
          <w:ilvl w:val="12"/>
          <w:numId w:val="0"/>
        </w:numPr>
        <w:tabs>
          <w:tab w:val="left" w:pos="720"/>
        </w:tabs>
        <w:ind w:right="-2"/>
        <w:rPr>
          <w:sz w:val="22"/>
          <w:szCs w:val="22"/>
        </w:rPr>
      </w:pPr>
      <w:r w:rsidRPr="00B4100D">
        <w:rPr>
          <w:sz w:val="22"/>
          <w:szCs w:val="22"/>
        </w:rPr>
        <w:t>Accord Healthcare Polska Sp. z o.o.</w:t>
      </w:r>
    </w:p>
    <w:p w14:paraId="3405095B" w14:textId="1280EEF9" w:rsidR="00F57393" w:rsidRPr="00B4100D" w:rsidRDefault="0051388B" w:rsidP="0051388B">
      <w:pPr>
        <w:numPr>
          <w:ilvl w:val="12"/>
          <w:numId w:val="0"/>
        </w:numPr>
        <w:tabs>
          <w:tab w:val="left" w:pos="720"/>
        </w:tabs>
        <w:ind w:right="-2"/>
        <w:rPr>
          <w:sz w:val="22"/>
          <w:szCs w:val="20"/>
        </w:rPr>
      </w:pPr>
      <w:r w:rsidRPr="00B4100D">
        <w:rPr>
          <w:sz w:val="22"/>
          <w:szCs w:val="22"/>
        </w:rPr>
        <w:t>ul. Lutomierska 50</w:t>
      </w:r>
    </w:p>
    <w:p w14:paraId="4044BED3" w14:textId="77777777" w:rsidR="0051388B" w:rsidRPr="00B4100D" w:rsidRDefault="00F57393" w:rsidP="0051388B">
      <w:pPr>
        <w:numPr>
          <w:ilvl w:val="12"/>
          <w:numId w:val="0"/>
        </w:numPr>
        <w:tabs>
          <w:tab w:val="left" w:pos="720"/>
        </w:tabs>
        <w:ind w:right="-2"/>
        <w:rPr>
          <w:sz w:val="22"/>
          <w:szCs w:val="22"/>
        </w:rPr>
      </w:pPr>
      <w:r w:rsidRPr="00B4100D">
        <w:rPr>
          <w:sz w:val="22"/>
          <w:szCs w:val="22"/>
        </w:rPr>
        <w:t xml:space="preserve">95-200 </w:t>
      </w:r>
      <w:r w:rsidR="0051388B" w:rsidRPr="00B4100D">
        <w:rPr>
          <w:sz w:val="22"/>
          <w:szCs w:val="22"/>
        </w:rPr>
        <w:t>Pabianice</w:t>
      </w:r>
    </w:p>
    <w:p w14:paraId="28598B88" w14:textId="775C91FB" w:rsidR="0051388B" w:rsidRPr="00B4100D" w:rsidRDefault="0051388B" w:rsidP="0051388B">
      <w:pPr>
        <w:numPr>
          <w:ilvl w:val="12"/>
          <w:numId w:val="0"/>
        </w:numPr>
        <w:tabs>
          <w:tab w:val="left" w:pos="720"/>
        </w:tabs>
        <w:ind w:right="-2"/>
        <w:rPr>
          <w:sz w:val="22"/>
          <w:szCs w:val="22"/>
        </w:rPr>
      </w:pPr>
      <w:r w:rsidRPr="00B4100D">
        <w:rPr>
          <w:sz w:val="22"/>
          <w:szCs w:val="22"/>
        </w:rPr>
        <w:t>Lenkija</w:t>
      </w:r>
    </w:p>
    <w:p w14:paraId="0E4AA2F2" w14:textId="77777777" w:rsidR="0051388B" w:rsidRPr="00B4100D" w:rsidRDefault="0051388B" w:rsidP="0051388B">
      <w:pPr>
        <w:numPr>
          <w:ilvl w:val="12"/>
          <w:numId w:val="0"/>
        </w:numPr>
        <w:tabs>
          <w:tab w:val="left" w:pos="567"/>
        </w:tabs>
        <w:ind w:right="-2"/>
        <w:rPr>
          <w:iCs/>
          <w:sz w:val="22"/>
          <w:szCs w:val="20"/>
        </w:rPr>
      </w:pPr>
    </w:p>
    <w:p w14:paraId="6059DCC7" w14:textId="77777777" w:rsidR="0051388B" w:rsidRPr="00B4100D" w:rsidRDefault="0051388B" w:rsidP="0051388B">
      <w:pPr>
        <w:numPr>
          <w:ilvl w:val="12"/>
          <w:numId w:val="0"/>
        </w:numPr>
        <w:tabs>
          <w:tab w:val="left" w:pos="567"/>
        </w:tabs>
        <w:ind w:right="-2"/>
        <w:rPr>
          <w:iCs/>
          <w:sz w:val="22"/>
          <w:szCs w:val="20"/>
        </w:rPr>
      </w:pPr>
      <w:r w:rsidRPr="00B4100D">
        <w:rPr>
          <w:iCs/>
          <w:sz w:val="22"/>
          <w:szCs w:val="20"/>
        </w:rPr>
        <w:t>arba</w:t>
      </w:r>
    </w:p>
    <w:p w14:paraId="7277A757" w14:textId="77777777" w:rsidR="0051388B" w:rsidRPr="00B4100D" w:rsidRDefault="0051388B" w:rsidP="0051388B">
      <w:pPr>
        <w:numPr>
          <w:ilvl w:val="12"/>
          <w:numId w:val="0"/>
        </w:numPr>
        <w:tabs>
          <w:tab w:val="left" w:pos="567"/>
        </w:tabs>
        <w:ind w:right="-2"/>
        <w:rPr>
          <w:iCs/>
          <w:sz w:val="22"/>
          <w:szCs w:val="20"/>
        </w:rPr>
      </w:pPr>
    </w:p>
    <w:p w14:paraId="735BA7C4" w14:textId="77777777" w:rsidR="0051388B" w:rsidRPr="00B4100D" w:rsidRDefault="0051388B" w:rsidP="0051388B">
      <w:pPr>
        <w:widowControl w:val="0"/>
        <w:numPr>
          <w:ilvl w:val="12"/>
          <w:numId w:val="0"/>
        </w:numPr>
        <w:ind w:right="-2"/>
        <w:rPr>
          <w:color w:val="000000"/>
          <w:sz w:val="22"/>
          <w:szCs w:val="22"/>
        </w:rPr>
      </w:pPr>
      <w:r w:rsidRPr="00B4100D">
        <w:rPr>
          <w:color w:val="000000"/>
          <w:sz w:val="22"/>
          <w:szCs w:val="22"/>
        </w:rPr>
        <w:t>Pharmadox Healthcare Limited</w:t>
      </w:r>
    </w:p>
    <w:p w14:paraId="1E401173" w14:textId="3E118381" w:rsidR="0051388B" w:rsidRPr="00B4100D" w:rsidRDefault="0051388B" w:rsidP="0051388B">
      <w:pPr>
        <w:widowControl w:val="0"/>
        <w:numPr>
          <w:ilvl w:val="12"/>
          <w:numId w:val="0"/>
        </w:numPr>
        <w:ind w:right="-2"/>
        <w:rPr>
          <w:color w:val="000000"/>
          <w:sz w:val="22"/>
          <w:szCs w:val="22"/>
        </w:rPr>
      </w:pPr>
      <w:r w:rsidRPr="00B4100D">
        <w:rPr>
          <w:color w:val="000000"/>
          <w:sz w:val="22"/>
          <w:szCs w:val="22"/>
        </w:rPr>
        <w:t xml:space="preserve">KW20A </w:t>
      </w:r>
      <w:r w:rsidR="00F57393" w:rsidRPr="00B4100D">
        <w:rPr>
          <w:color w:val="000000"/>
          <w:sz w:val="22"/>
          <w:szCs w:val="22"/>
        </w:rPr>
        <w:t xml:space="preserve">Corradino </w:t>
      </w:r>
      <w:r w:rsidRPr="00B4100D">
        <w:rPr>
          <w:color w:val="000000"/>
          <w:sz w:val="22"/>
          <w:szCs w:val="22"/>
        </w:rPr>
        <w:t xml:space="preserve">Industrial </w:t>
      </w:r>
      <w:r w:rsidR="00F57393" w:rsidRPr="00B4100D">
        <w:rPr>
          <w:color w:val="000000"/>
          <w:sz w:val="22"/>
          <w:szCs w:val="22"/>
        </w:rPr>
        <w:t>Estate</w:t>
      </w:r>
    </w:p>
    <w:p w14:paraId="1AEA3D60" w14:textId="1FBDE98A" w:rsidR="00F57393" w:rsidRPr="00B4100D" w:rsidRDefault="0051388B" w:rsidP="0051388B">
      <w:pPr>
        <w:rPr>
          <w:sz w:val="22"/>
          <w:szCs w:val="20"/>
        </w:rPr>
      </w:pPr>
      <w:r w:rsidRPr="00B4100D">
        <w:rPr>
          <w:color w:val="000000"/>
          <w:sz w:val="22"/>
          <w:szCs w:val="22"/>
        </w:rPr>
        <w:t>PLA 3000</w:t>
      </w:r>
      <w:r w:rsidR="00F57393" w:rsidRPr="00B4100D">
        <w:rPr>
          <w:color w:val="000000"/>
          <w:sz w:val="22"/>
          <w:szCs w:val="22"/>
        </w:rPr>
        <w:t xml:space="preserve"> Paola</w:t>
      </w:r>
    </w:p>
    <w:p w14:paraId="27414220" w14:textId="77777777" w:rsidR="00986560" w:rsidRPr="00B4100D" w:rsidRDefault="0051388B" w:rsidP="0051388B">
      <w:pPr>
        <w:rPr>
          <w:sz w:val="22"/>
          <w:szCs w:val="22"/>
        </w:rPr>
      </w:pPr>
      <w:r w:rsidRPr="00B4100D">
        <w:rPr>
          <w:color w:val="000000"/>
          <w:sz w:val="22"/>
          <w:szCs w:val="22"/>
        </w:rPr>
        <w:t>Malta</w:t>
      </w:r>
    </w:p>
    <w:p w14:paraId="0D928C96" w14:textId="77777777" w:rsidR="000270A3" w:rsidRPr="00B4100D" w:rsidRDefault="000270A3" w:rsidP="00DD2B86">
      <w:pPr>
        <w:pStyle w:val="BTbEMEASMCA"/>
      </w:pPr>
    </w:p>
    <w:p w14:paraId="4A280A7E" w14:textId="3B92F049" w:rsidR="0051388B" w:rsidRPr="00DF41AE" w:rsidRDefault="0051388B" w:rsidP="001506CC">
      <w:pPr>
        <w:rPr>
          <w:b/>
          <w:bCs/>
          <w:sz w:val="22"/>
          <w:szCs w:val="22"/>
        </w:rPr>
      </w:pPr>
      <w:r w:rsidRPr="001506CC">
        <w:rPr>
          <w:b/>
          <w:bCs/>
          <w:sz w:val="22"/>
          <w:szCs w:val="22"/>
        </w:rPr>
        <w:t xml:space="preserve">Šis vaistas </w:t>
      </w:r>
      <w:r w:rsidR="009A6B44" w:rsidRPr="001506CC">
        <w:rPr>
          <w:b/>
          <w:bCs/>
          <w:sz w:val="22"/>
          <w:szCs w:val="22"/>
        </w:rPr>
        <w:t>Europos ekonominės erdvės</w:t>
      </w:r>
      <w:r w:rsidRPr="00DF41AE">
        <w:rPr>
          <w:b/>
          <w:bCs/>
          <w:sz w:val="22"/>
          <w:szCs w:val="22"/>
        </w:rPr>
        <w:t xml:space="preserve"> valstybėse narėse registruotas tokiais pavadinimais:</w:t>
      </w:r>
    </w:p>
    <w:p w14:paraId="7D275FDB" w14:textId="77777777" w:rsidR="0051388B" w:rsidRPr="00B4100D" w:rsidRDefault="0051388B" w:rsidP="00DD2B86">
      <w:pPr>
        <w:pStyle w:val="BTbEMEASMCA"/>
      </w:pPr>
    </w:p>
    <w:tbl>
      <w:tblPr>
        <w:tblW w:w="8647" w:type="dxa"/>
        <w:tblInd w:w="-5"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000" w:firstRow="0" w:lastRow="0" w:firstColumn="0" w:lastColumn="0" w:noHBand="0" w:noVBand="0"/>
      </w:tblPr>
      <w:tblGrid>
        <w:gridCol w:w="1701"/>
        <w:gridCol w:w="6946"/>
      </w:tblGrid>
      <w:tr w:rsidR="0051388B" w:rsidRPr="001506CC" w14:paraId="706D1DBF" w14:textId="77777777" w:rsidTr="000619C5">
        <w:trPr>
          <w:trHeight w:val="260"/>
        </w:trPr>
        <w:tc>
          <w:tcPr>
            <w:tcW w:w="1701" w:type="dxa"/>
            <w:tcBorders>
              <w:top w:val="single" w:sz="4" w:space="0" w:color="333333"/>
            </w:tcBorders>
          </w:tcPr>
          <w:p w14:paraId="6A955DD3" w14:textId="77777777" w:rsidR="0051388B" w:rsidRPr="001506CC" w:rsidRDefault="0051388B" w:rsidP="00DD2B86">
            <w:pPr>
              <w:pStyle w:val="BTbEMEASMCA"/>
            </w:pPr>
            <w:r w:rsidRPr="001506CC">
              <w:t>Valstybės narės pavadinimas</w:t>
            </w:r>
          </w:p>
        </w:tc>
        <w:tc>
          <w:tcPr>
            <w:tcW w:w="6946" w:type="dxa"/>
            <w:tcBorders>
              <w:top w:val="single" w:sz="4" w:space="0" w:color="333333"/>
            </w:tcBorders>
          </w:tcPr>
          <w:p w14:paraId="7F3D5EDC" w14:textId="77777777" w:rsidR="0051388B" w:rsidRPr="001506CC" w:rsidRDefault="0051388B" w:rsidP="00DD2B86">
            <w:pPr>
              <w:pStyle w:val="BTbEMEASMCA"/>
            </w:pPr>
            <w:r w:rsidRPr="001506CC">
              <w:t>Vaisto pavadinimas</w:t>
            </w:r>
          </w:p>
        </w:tc>
      </w:tr>
      <w:tr w:rsidR="0051388B" w:rsidRPr="001506CC" w14:paraId="6849F4DC" w14:textId="77777777" w:rsidTr="000619C5">
        <w:tc>
          <w:tcPr>
            <w:tcW w:w="1701" w:type="dxa"/>
            <w:shd w:val="clear" w:color="auto" w:fill="auto"/>
          </w:tcPr>
          <w:p w14:paraId="251B2418" w14:textId="77777777" w:rsidR="0051388B" w:rsidRPr="00DF41AE" w:rsidRDefault="0051388B" w:rsidP="001506CC">
            <w:pPr>
              <w:rPr>
                <w:b/>
                <w:sz w:val="22"/>
                <w:szCs w:val="22"/>
              </w:rPr>
            </w:pPr>
            <w:r w:rsidRPr="00DF41AE">
              <w:rPr>
                <w:sz w:val="22"/>
                <w:szCs w:val="22"/>
              </w:rPr>
              <w:t>Kipras</w:t>
            </w:r>
          </w:p>
        </w:tc>
        <w:tc>
          <w:tcPr>
            <w:tcW w:w="6946" w:type="dxa"/>
            <w:shd w:val="clear" w:color="auto" w:fill="auto"/>
          </w:tcPr>
          <w:p w14:paraId="1D44825D" w14:textId="77777777" w:rsidR="0051388B" w:rsidRPr="00DF41AE" w:rsidRDefault="0051388B" w:rsidP="001506CC">
            <w:pPr>
              <w:rPr>
                <w:b/>
                <w:sz w:val="22"/>
                <w:szCs w:val="22"/>
              </w:rPr>
            </w:pPr>
            <w:r w:rsidRPr="00DF41AE">
              <w:rPr>
                <w:sz w:val="22"/>
                <w:szCs w:val="22"/>
              </w:rPr>
              <w:t>Hydroxychloroquine sulfate Accord 200</w:t>
            </w:r>
            <w:r w:rsidR="00C55F29" w:rsidRPr="00DF41AE">
              <w:rPr>
                <w:sz w:val="22"/>
                <w:szCs w:val="22"/>
              </w:rPr>
              <w:t> </w:t>
            </w:r>
            <w:r w:rsidRPr="00DF41AE">
              <w:rPr>
                <w:sz w:val="22"/>
                <w:szCs w:val="22"/>
              </w:rPr>
              <w:t>mg film-coated tablets</w:t>
            </w:r>
          </w:p>
        </w:tc>
      </w:tr>
      <w:tr w:rsidR="0051388B" w:rsidRPr="001506CC" w14:paraId="259A95C8" w14:textId="77777777" w:rsidTr="000619C5">
        <w:tc>
          <w:tcPr>
            <w:tcW w:w="1701" w:type="dxa"/>
            <w:shd w:val="clear" w:color="auto" w:fill="auto"/>
          </w:tcPr>
          <w:p w14:paraId="78439C45" w14:textId="77777777" w:rsidR="0051388B" w:rsidRPr="00DF41AE" w:rsidRDefault="0051388B" w:rsidP="001506CC">
            <w:pPr>
              <w:rPr>
                <w:b/>
                <w:sz w:val="22"/>
                <w:szCs w:val="22"/>
              </w:rPr>
            </w:pPr>
            <w:r w:rsidRPr="00DF41AE">
              <w:rPr>
                <w:sz w:val="22"/>
                <w:szCs w:val="22"/>
              </w:rPr>
              <w:t>Ispanija</w:t>
            </w:r>
          </w:p>
        </w:tc>
        <w:tc>
          <w:tcPr>
            <w:tcW w:w="6946" w:type="dxa"/>
            <w:shd w:val="clear" w:color="auto" w:fill="auto"/>
          </w:tcPr>
          <w:p w14:paraId="54CF090A" w14:textId="77777777" w:rsidR="0051388B" w:rsidRPr="00DF41AE" w:rsidRDefault="0051388B" w:rsidP="001506CC">
            <w:pPr>
              <w:rPr>
                <w:b/>
                <w:sz w:val="22"/>
                <w:szCs w:val="22"/>
              </w:rPr>
            </w:pPr>
            <w:r w:rsidRPr="00DF41AE">
              <w:rPr>
                <w:sz w:val="22"/>
                <w:szCs w:val="22"/>
              </w:rPr>
              <w:t>Hidroxicloroquina Accord 200</w:t>
            </w:r>
            <w:r w:rsidR="00C55F29" w:rsidRPr="00DF41AE">
              <w:rPr>
                <w:sz w:val="22"/>
                <w:szCs w:val="22"/>
              </w:rPr>
              <w:t> </w:t>
            </w:r>
            <w:r w:rsidRPr="00DF41AE">
              <w:rPr>
                <w:sz w:val="22"/>
                <w:szCs w:val="22"/>
              </w:rPr>
              <w:t>mg comprimido recubierto con película EFG</w:t>
            </w:r>
          </w:p>
        </w:tc>
      </w:tr>
      <w:tr w:rsidR="0051388B" w:rsidRPr="001506CC" w14:paraId="29278472" w14:textId="77777777" w:rsidTr="000619C5">
        <w:tc>
          <w:tcPr>
            <w:tcW w:w="1701" w:type="dxa"/>
            <w:shd w:val="clear" w:color="auto" w:fill="auto"/>
          </w:tcPr>
          <w:p w14:paraId="3670E8A2" w14:textId="77777777" w:rsidR="0051388B" w:rsidRPr="00DF41AE" w:rsidRDefault="0051388B" w:rsidP="001506CC">
            <w:pPr>
              <w:rPr>
                <w:b/>
                <w:sz w:val="22"/>
                <w:szCs w:val="22"/>
              </w:rPr>
            </w:pPr>
            <w:r w:rsidRPr="00DF41AE">
              <w:rPr>
                <w:sz w:val="22"/>
                <w:szCs w:val="22"/>
              </w:rPr>
              <w:t>Italija</w:t>
            </w:r>
          </w:p>
        </w:tc>
        <w:tc>
          <w:tcPr>
            <w:tcW w:w="6946" w:type="dxa"/>
            <w:shd w:val="clear" w:color="auto" w:fill="auto"/>
          </w:tcPr>
          <w:p w14:paraId="24995390" w14:textId="77777777" w:rsidR="0051388B" w:rsidRPr="00DF41AE" w:rsidRDefault="00C55F29" w:rsidP="001506CC">
            <w:pPr>
              <w:rPr>
                <w:b/>
                <w:sz w:val="22"/>
                <w:szCs w:val="22"/>
              </w:rPr>
            </w:pPr>
            <w:r w:rsidRPr="00DF41AE">
              <w:rPr>
                <w:sz w:val="22"/>
                <w:szCs w:val="22"/>
              </w:rPr>
              <w:t>Redros / Xiclor / Reclor</w:t>
            </w:r>
          </w:p>
        </w:tc>
      </w:tr>
      <w:tr w:rsidR="0051388B" w:rsidRPr="001506CC" w14:paraId="7424C04B" w14:textId="77777777" w:rsidTr="000619C5">
        <w:tc>
          <w:tcPr>
            <w:tcW w:w="1701" w:type="dxa"/>
            <w:shd w:val="clear" w:color="auto" w:fill="auto"/>
          </w:tcPr>
          <w:p w14:paraId="6C10C7AD" w14:textId="77777777" w:rsidR="0051388B" w:rsidRPr="00DF41AE" w:rsidRDefault="0051388B" w:rsidP="001506CC">
            <w:pPr>
              <w:rPr>
                <w:b/>
                <w:sz w:val="22"/>
                <w:szCs w:val="22"/>
              </w:rPr>
            </w:pPr>
            <w:r w:rsidRPr="00DF41AE">
              <w:rPr>
                <w:sz w:val="22"/>
                <w:szCs w:val="22"/>
              </w:rPr>
              <w:t>Portugalija</w:t>
            </w:r>
          </w:p>
        </w:tc>
        <w:tc>
          <w:tcPr>
            <w:tcW w:w="6946" w:type="dxa"/>
            <w:shd w:val="clear" w:color="auto" w:fill="auto"/>
          </w:tcPr>
          <w:p w14:paraId="5AC935E0" w14:textId="77777777" w:rsidR="0051388B" w:rsidRPr="00DF41AE" w:rsidRDefault="0051388B" w:rsidP="001506CC">
            <w:pPr>
              <w:rPr>
                <w:b/>
                <w:sz w:val="22"/>
                <w:szCs w:val="22"/>
              </w:rPr>
            </w:pPr>
            <w:r w:rsidRPr="00DF41AE">
              <w:rPr>
                <w:sz w:val="22"/>
                <w:szCs w:val="22"/>
              </w:rPr>
              <w:t>Hydroxychloroquine sulfate Accord</w:t>
            </w:r>
          </w:p>
        </w:tc>
      </w:tr>
      <w:tr w:rsidR="0051388B" w:rsidRPr="001506CC" w14:paraId="3AAE46C2" w14:textId="77777777" w:rsidTr="000619C5">
        <w:tc>
          <w:tcPr>
            <w:tcW w:w="1701" w:type="dxa"/>
            <w:shd w:val="clear" w:color="auto" w:fill="auto"/>
          </w:tcPr>
          <w:p w14:paraId="40F1E8FE" w14:textId="77777777" w:rsidR="0051388B" w:rsidRPr="00DF41AE" w:rsidRDefault="0051388B" w:rsidP="001506CC">
            <w:pPr>
              <w:rPr>
                <w:b/>
                <w:sz w:val="22"/>
                <w:szCs w:val="22"/>
              </w:rPr>
            </w:pPr>
            <w:r w:rsidRPr="00DF41AE">
              <w:rPr>
                <w:sz w:val="22"/>
                <w:szCs w:val="22"/>
              </w:rPr>
              <w:t>Airija</w:t>
            </w:r>
          </w:p>
        </w:tc>
        <w:tc>
          <w:tcPr>
            <w:tcW w:w="6946" w:type="dxa"/>
            <w:shd w:val="clear" w:color="auto" w:fill="auto"/>
          </w:tcPr>
          <w:p w14:paraId="1B8439E8" w14:textId="77777777" w:rsidR="0051388B" w:rsidRPr="00DF41AE" w:rsidRDefault="0051388B" w:rsidP="001506CC">
            <w:pPr>
              <w:rPr>
                <w:b/>
                <w:sz w:val="22"/>
                <w:szCs w:val="22"/>
              </w:rPr>
            </w:pPr>
            <w:r w:rsidRPr="00DF41AE">
              <w:rPr>
                <w:sz w:val="22"/>
                <w:szCs w:val="22"/>
              </w:rPr>
              <w:t>Hydroxychloroquine sulfate Accord 200</w:t>
            </w:r>
            <w:r w:rsidR="00C55F29" w:rsidRPr="00DF41AE">
              <w:rPr>
                <w:sz w:val="22"/>
                <w:szCs w:val="22"/>
              </w:rPr>
              <w:t> </w:t>
            </w:r>
            <w:r w:rsidRPr="00DF41AE">
              <w:rPr>
                <w:sz w:val="22"/>
                <w:szCs w:val="22"/>
              </w:rPr>
              <w:t>mg film-coated tablets</w:t>
            </w:r>
          </w:p>
        </w:tc>
      </w:tr>
      <w:tr w:rsidR="0051388B" w:rsidRPr="001506CC" w14:paraId="02E261C1" w14:textId="77777777" w:rsidTr="000874A7">
        <w:tc>
          <w:tcPr>
            <w:tcW w:w="1701" w:type="dxa"/>
            <w:tcBorders>
              <w:bottom w:val="single" w:sz="4" w:space="0" w:color="auto"/>
            </w:tcBorders>
            <w:shd w:val="clear" w:color="auto" w:fill="auto"/>
          </w:tcPr>
          <w:p w14:paraId="4ADD5346" w14:textId="77777777" w:rsidR="0051388B" w:rsidRPr="00DF41AE" w:rsidRDefault="0051388B" w:rsidP="001506CC">
            <w:pPr>
              <w:rPr>
                <w:b/>
                <w:sz w:val="22"/>
                <w:szCs w:val="22"/>
              </w:rPr>
            </w:pPr>
            <w:r w:rsidRPr="00DF41AE">
              <w:rPr>
                <w:sz w:val="22"/>
                <w:szCs w:val="22"/>
              </w:rPr>
              <w:t>Vokietija</w:t>
            </w:r>
          </w:p>
        </w:tc>
        <w:tc>
          <w:tcPr>
            <w:tcW w:w="6946" w:type="dxa"/>
            <w:tcBorders>
              <w:bottom w:val="single" w:sz="4" w:space="0" w:color="auto"/>
            </w:tcBorders>
            <w:shd w:val="clear" w:color="auto" w:fill="auto"/>
          </w:tcPr>
          <w:p w14:paraId="27D07342" w14:textId="77777777" w:rsidR="0051388B" w:rsidRPr="00DF41AE" w:rsidRDefault="0051388B" w:rsidP="001506CC">
            <w:pPr>
              <w:rPr>
                <w:b/>
                <w:sz w:val="22"/>
                <w:szCs w:val="22"/>
              </w:rPr>
            </w:pPr>
            <w:r w:rsidRPr="00DF41AE">
              <w:rPr>
                <w:sz w:val="22"/>
                <w:szCs w:val="22"/>
              </w:rPr>
              <w:t>Hydroxychloroquin Accord 200</w:t>
            </w:r>
            <w:r w:rsidR="00C55F29" w:rsidRPr="00DF41AE">
              <w:rPr>
                <w:sz w:val="22"/>
                <w:szCs w:val="22"/>
              </w:rPr>
              <w:t> </w:t>
            </w:r>
            <w:r w:rsidRPr="00DF41AE">
              <w:rPr>
                <w:sz w:val="22"/>
                <w:szCs w:val="22"/>
              </w:rPr>
              <w:t>mg Filmtabletten</w:t>
            </w:r>
          </w:p>
        </w:tc>
      </w:tr>
      <w:tr w:rsidR="0051388B" w:rsidRPr="001506CC" w14:paraId="191D93CB" w14:textId="77777777" w:rsidTr="000874A7">
        <w:tc>
          <w:tcPr>
            <w:tcW w:w="1701" w:type="dxa"/>
            <w:tcBorders>
              <w:top w:val="single" w:sz="4" w:space="0" w:color="auto"/>
              <w:left w:val="single" w:sz="4" w:space="0" w:color="auto"/>
              <w:bottom w:val="single" w:sz="4" w:space="0" w:color="auto"/>
              <w:right w:val="single" w:sz="4" w:space="0" w:color="auto"/>
            </w:tcBorders>
            <w:shd w:val="clear" w:color="auto" w:fill="auto"/>
          </w:tcPr>
          <w:p w14:paraId="41CCD41F" w14:textId="77777777" w:rsidR="0051388B" w:rsidRPr="00DF41AE" w:rsidRDefault="0051388B" w:rsidP="001506CC">
            <w:pPr>
              <w:rPr>
                <w:b/>
                <w:sz w:val="22"/>
                <w:szCs w:val="22"/>
              </w:rPr>
            </w:pPr>
            <w:r w:rsidRPr="00DF41AE">
              <w:rPr>
                <w:sz w:val="22"/>
                <w:szCs w:val="22"/>
              </w:rPr>
              <w:t>Danija</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F28D24" w14:textId="77777777" w:rsidR="0051388B" w:rsidRPr="00DF41AE" w:rsidRDefault="0051388B" w:rsidP="001506CC">
            <w:pPr>
              <w:rPr>
                <w:b/>
                <w:sz w:val="22"/>
                <w:szCs w:val="22"/>
              </w:rPr>
            </w:pPr>
            <w:r w:rsidRPr="00DF41AE">
              <w:rPr>
                <w:sz w:val="22"/>
                <w:szCs w:val="22"/>
              </w:rPr>
              <w:t>Hydroxychloroquinsulfat Accord</w:t>
            </w:r>
          </w:p>
        </w:tc>
      </w:tr>
      <w:tr w:rsidR="0051388B" w:rsidRPr="001506CC" w14:paraId="7F05B69E" w14:textId="77777777" w:rsidTr="000874A7">
        <w:tc>
          <w:tcPr>
            <w:tcW w:w="1701" w:type="dxa"/>
            <w:tcBorders>
              <w:top w:val="single" w:sz="4" w:space="0" w:color="auto"/>
            </w:tcBorders>
            <w:shd w:val="clear" w:color="auto" w:fill="auto"/>
          </w:tcPr>
          <w:p w14:paraId="1EBB93F0" w14:textId="77777777" w:rsidR="0051388B" w:rsidRPr="00DF41AE" w:rsidRDefault="0051388B" w:rsidP="001506CC">
            <w:pPr>
              <w:rPr>
                <w:b/>
                <w:sz w:val="22"/>
                <w:szCs w:val="22"/>
              </w:rPr>
            </w:pPr>
            <w:r w:rsidRPr="00DF41AE">
              <w:rPr>
                <w:sz w:val="22"/>
                <w:szCs w:val="22"/>
              </w:rPr>
              <w:lastRenderedPageBreak/>
              <w:t>Estija</w:t>
            </w:r>
          </w:p>
        </w:tc>
        <w:tc>
          <w:tcPr>
            <w:tcW w:w="6946" w:type="dxa"/>
            <w:tcBorders>
              <w:top w:val="single" w:sz="4" w:space="0" w:color="auto"/>
            </w:tcBorders>
            <w:shd w:val="clear" w:color="auto" w:fill="auto"/>
          </w:tcPr>
          <w:p w14:paraId="1D2712B7" w14:textId="77777777" w:rsidR="0051388B" w:rsidRPr="00DF41AE" w:rsidRDefault="0051388B" w:rsidP="001506CC">
            <w:pPr>
              <w:rPr>
                <w:b/>
                <w:sz w:val="22"/>
                <w:szCs w:val="22"/>
              </w:rPr>
            </w:pPr>
            <w:r w:rsidRPr="00DF41AE">
              <w:rPr>
                <w:sz w:val="22"/>
                <w:szCs w:val="22"/>
              </w:rPr>
              <w:t>Hydroxychloroquine sulfate Accord</w:t>
            </w:r>
          </w:p>
        </w:tc>
      </w:tr>
      <w:tr w:rsidR="0051388B" w:rsidRPr="001506CC" w14:paraId="7C63C785" w14:textId="77777777" w:rsidTr="000619C5">
        <w:tc>
          <w:tcPr>
            <w:tcW w:w="1701" w:type="dxa"/>
            <w:shd w:val="clear" w:color="auto" w:fill="auto"/>
          </w:tcPr>
          <w:p w14:paraId="193BB7D3" w14:textId="77777777" w:rsidR="0051388B" w:rsidRPr="00DF41AE" w:rsidRDefault="0051388B" w:rsidP="001506CC">
            <w:pPr>
              <w:rPr>
                <w:b/>
                <w:sz w:val="22"/>
                <w:szCs w:val="22"/>
              </w:rPr>
            </w:pPr>
            <w:r w:rsidRPr="00DF41AE">
              <w:rPr>
                <w:sz w:val="22"/>
                <w:szCs w:val="22"/>
              </w:rPr>
              <w:t>Lietuva</w:t>
            </w:r>
          </w:p>
        </w:tc>
        <w:tc>
          <w:tcPr>
            <w:tcW w:w="6946" w:type="dxa"/>
            <w:shd w:val="clear" w:color="auto" w:fill="auto"/>
          </w:tcPr>
          <w:p w14:paraId="2307C6D6" w14:textId="77777777" w:rsidR="0051388B" w:rsidRPr="00DF41AE" w:rsidRDefault="0051388B" w:rsidP="001506CC">
            <w:pPr>
              <w:rPr>
                <w:b/>
                <w:sz w:val="22"/>
                <w:szCs w:val="22"/>
              </w:rPr>
            </w:pPr>
            <w:r w:rsidRPr="00DF41AE">
              <w:rPr>
                <w:sz w:val="22"/>
                <w:szCs w:val="22"/>
              </w:rPr>
              <w:t>Hydroxychloroquine sulfate Accord 200</w:t>
            </w:r>
            <w:r w:rsidR="00C55F29" w:rsidRPr="00DF41AE">
              <w:rPr>
                <w:sz w:val="22"/>
                <w:szCs w:val="22"/>
              </w:rPr>
              <w:t> </w:t>
            </w:r>
            <w:r w:rsidRPr="00DF41AE">
              <w:rPr>
                <w:sz w:val="22"/>
                <w:szCs w:val="22"/>
              </w:rPr>
              <w:t>mg plėvele dengtos tabletės</w:t>
            </w:r>
          </w:p>
        </w:tc>
      </w:tr>
      <w:tr w:rsidR="0051388B" w:rsidRPr="001506CC" w14:paraId="7D174283" w14:textId="77777777" w:rsidTr="000619C5">
        <w:tc>
          <w:tcPr>
            <w:tcW w:w="1701" w:type="dxa"/>
            <w:shd w:val="clear" w:color="auto" w:fill="auto"/>
          </w:tcPr>
          <w:p w14:paraId="1AEA39F9" w14:textId="77777777" w:rsidR="0051388B" w:rsidRPr="00DF41AE" w:rsidRDefault="0051388B" w:rsidP="001506CC">
            <w:pPr>
              <w:rPr>
                <w:b/>
                <w:sz w:val="22"/>
                <w:szCs w:val="22"/>
              </w:rPr>
            </w:pPr>
            <w:r w:rsidRPr="00DF41AE">
              <w:rPr>
                <w:sz w:val="22"/>
                <w:szCs w:val="22"/>
              </w:rPr>
              <w:t>Latvija</w:t>
            </w:r>
          </w:p>
        </w:tc>
        <w:tc>
          <w:tcPr>
            <w:tcW w:w="6946" w:type="dxa"/>
            <w:shd w:val="clear" w:color="auto" w:fill="auto"/>
          </w:tcPr>
          <w:p w14:paraId="26BEB44A" w14:textId="77777777" w:rsidR="0051388B" w:rsidRPr="001506CC" w:rsidRDefault="0051388B" w:rsidP="001506CC">
            <w:pPr>
              <w:rPr>
                <w:bCs/>
                <w:sz w:val="22"/>
                <w:szCs w:val="22"/>
              </w:rPr>
            </w:pPr>
            <w:r w:rsidRPr="001506CC">
              <w:rPr>
                <w:bCs/>
                <w:sz w:val="22"/>
                <w:szCs w:val="22"/>
              </w:rPr>
              <w:t>Hydroxychloroquine sulfate Accord 200</w:t>
            </w:r>
            <w:r w:rsidR="00C55F29" w:rsidRPr="001506CC">
              <w:rPr>
                <w:bCs/>
                <w:sz w:val="22"/>
                <w:szCs w:val="22"/>
              </w:rPr>
              <w:t> </w:t>
            </w:r>
            <w:r w:rsidRPr="001506CC">
              <w:rPr>
                <w:bCs/>
                <w:sz w:val="22"/>
                <w:szCs w:val="22"/>
              </w:rPr>
              <w:t>mg apvalkotās tabletes</w:t>
            </w:r>
          </w:p>
        </w:tc>
      </w:tr>
      <w:tr w:rsidR="0051388B" w:rsidRPr="001506CC" w14:paraId="60E029D0" w14:textId="77777777" w:rsidTr="000619C5">
        <w:tc>
          <w:tcPr>
            <w:tcW w:w="1701" w:type="dxa"/>
            <w:shd w:val="clear" w:color="auto" w:fill="auto"/>
          </w:tcPr>
          <w:p w14:paraId="005F8E4F" w14:textId="77777777" w:rsidR="0051388B" w:rsidRPr="00DF41AE" w:rsidRDefault="0051388B" w:rsidP="001506CC">
            <w:pPr>
              <w:rPr>
                <w:b/>
                <w:sz w:val="22"/>
                <w:szCs w:val="22"/>
              </w:rPr>
            </w:pPr>
            <w:r w:rsidRPr="00DF41AE">
              <w:rPr>
                <w:sz w:val="22"/>
                <w:szCs w:val="22"/>
              </w:rPr>
              <w:t>Nyderlandai</w:t>
            </w:r>
          </w:p>
        </w:tc>
        <w:tc>
          <w:tcPr>
            <w:tcW w:w="6946" w:type="dxa"/>
            <w:shd w:val="clear" w:color="auto" w:fill="auto"/>
          </w:tcPr>
          <w:p w14:paraId="6CE323C5" w14:textId="77777777" w:rsidR="0051388B" w:rsidRPr="001506CC" w:rsidRDefault="0051388B" w:rsidP="001506CC">
            <w:pPr>
              <w:rPr>
                <w:bCs/>
                <w:sz w:val="22"/>
                <w:szCs w:val="22"/>
              </w:rPr>
            </w:pPr>
            <w:r w:rsidRPr="001506CC">
              <w:rPr>
                <w:bCs/>
                <w:sz w:val="22"/>
                <w:szCs w:val="22"/>
              </w:rPr>
              <w:t>Hydroxychloroquinesulfaat Accord 200</w:t>
            </w:r>
            <w:r w:rsidR="00C55F29" w:rsidRPr="001506CC">
              <w:rPr>
                <w:bCs/>
                <w:sz w:val="22"/>
                <w:szCs w:val="22"/>
              </w:rPr>
              <w:t> </w:t>
            </w:r>
            <w:r w:rsidRPr="001506CC">
              <w:rPr>
                <w:bCs/>
                <w:sz w:val="22"/>
                <w:szCs w:val="22"/>
              </w:rPr>
              <w:t>mg filmomhulde tabletten</w:t>
            </w:r>
          </w:p>
        </w:tc>
      </w:tr>
      <w:tr w:rsidR="0051388B" w:rsidRPr="001506CC" w14:paraId="2ECB7B28" w14:textId="77777777" w:rsidTr="000619C5">
        <w:tc>
          <w:tcPr>
            <w:tcW w:w="1701" w:type="dxa"/>
            <w:shd w:val="clear" w:color="auto" w:fill="auto"/>
          </w:tcPr>
          <w:p w14:paraId="12B0F259" w14:textId="77777777" w:rsidR="0051388B" w:rsidRPr="00DF41AE" w:rsidRDefault="0051388B" w:rsidP="001506CC">
            <w:pPr>
              <w:rPr>
                <w:b/>
                <w:sz w:val="22"/>
                <w:szCs w:val="22"/>
              </w:rPr>
            </w:pPr>
            <w:r w:rsidRPr="00DF41AE">
              <w:rPr>
                <w:sz w:val="22"/>
                <w:szCs w:val="22"/>
              </w:rPr>
              <w:t>Norvegija</w:t>
            </w:r>
          </w:p>
        </w:tc>
        <w:tc>
          <w:tcPr>
            <w:tcW w:w="6946" w:type="dxa"/>
            <w:shd w:val="clear" w:color="auto" w:fill="auto"/>
          </w:tcPr>
          <w:p w14:paraId="294DF562" w14:textId="77777777" w:rsidR="0051388B" w:rsidRPr="001506CC" w:rsidRDefault="0051388B" w:rsidP="001506CC">
            <w:pPr>
              <w:rPr>
                <w:bCs/>
                <w:sz w:val="22"/>
                <w:szCs w:val="22"/>
              </w:rPr>
            </w:pPr>
            <w:r w:rsidRPr="001506CC">
              <w:rPr>
                <w:bCs/>
                <w:sz w:val="22"/>
                <w:szCs w:val="22"/>
              </w:rPr>
              <w:t>Hydroxychloroquine sulfate Accord</w:t>
            </w:r>
          </w:p>
        </w:tc>
      </w:tr>
      <w:tr w:rsidR="0051388B" w:rsidRPr="001506CC" w14:paraId="0AA24E72" w14:textId="77777777" w:rsidTr="000619C5">
        <w:tc>
          <w:tcPr>
            <w:tcW w:w="1701" w:type="dxa"/>
            <w:shd w:val="clear" w:color="auto" w:fill="auto"/>
          </w:tcPr>
          <w:p w14:paraId="4F407D1B" w14:textId="77777777" w:rsidR="0051388B" w:rsidRPr="00DF41AE" w:rsidRDefault="0051388B" w:rsidP="001506CC">
            <w:pPr>
              <w:rPr>
                <w:b/>
                <w:sz w:val="22"/>
                <w:szCs w:val="22"/>
              </w:rPr>
            </w:pPr>
            <w:r w:rsidRPr="00DF41AE">
              <w:rPr>
                <w:sz w:val="22"/>
                <w:szCs w:val="22"/>
              </w:rPr>
              <w:t>Švedija</w:t>
            </w:r>
          </w:p>
        </w:tc>
        <w:tc>
          <w:tcPr>
            <w:tcW w:w="6946" w:type="dxa"/>
            <w:shd w:val="clear" w:color="auto" w:fill="auto"/>
          </w:tcPr>
          <w:p w14:paraId="780C4AE6" w14:textId="77777777" w:rsidR="0051388B" w:rsidRPr="00DF41AE" w:rsidRDefault="00EE68D5" w:rsidP="001506CC">
            <w:pPr>
              <w:rPr>
                <w:b/>
                <w:sz w:val="22"/>
                <w:szCs w:val="22"/>
              </w:rPr>
            </w:pPr>
            <w:r w:rsidRPr="00DF41AE">
              <w:rPr>
                <w:sz w:val="22"/>
                <w:szCs w:val="22"/>
              </w:rPr>
              <w:t>Hydroxychloroquine Accord</w:t>
            </w:r>
          </w:p>
        </w:tc>
      </w:tr>
      <w:tr w:rsidR="0051388B" w:rsidRPr="001506CC" w14:paraId="025B3DC7" w14:textId="77777777" w:rsidTr="000619C5">
        <w:tc>
          <w:tcPr>
            <w:tcW w:w="1701" w:type="dxa"/>
            <w:shd w:val="clear" w:color="auto" w:fill="auto"/>
          </w:tcPr>
          <w:p w14:paraId="0FA82CAE" w14:textId="77777777" w:rsidR="0051388B" w:rsidRPr="00DF41AE" w:rsidRDefault="00EE68D5" w:rsidP="001506CC">
            <w:pPr>
              <w:rPr>
                <w:b/>
                <w:sz w:val="22"/>
                <w:szCs w:val="22"/>
              </w:rPr>
            </w:pPr>
            <w:r w:rsidRPr="00DF41AE">
              <w:rPr>
                <w:sz w:val="22"/>
                <w:szCs w:val="22"/>
              </w:rPr>
              <w:t>Bulgarija</w:t>
            </w:r>
          </w:p>
        </w:tc>
        <w:tc>
          <w:tcPr>
            <w:tcW w:w="6946" w:type="dxa"/>
            <w:shd w:val="clear" w:color="auto" w:fill="auto"/>
          </w:tcPr>
          <w:p w14:paraId="41C6CAB4" w14:textId="77777777" w:rsidR="0051388B" w:rsidRPr="00DF41AE" w:rsidRDefault="00EE68D5" w:rsidP="001506CC">
            <w:pPr>
              <w:rPr>
                <w:b/>
                <w:sz w:val="22"/>
                <w:szCs w:val="22"/>
              </w:rPr>
            </w:pPr>
            <w:r w:rsidRPr="00DF41AE">
              <w:rPr>
                <w:sz w:val="22"/>
                <w:szCs w:val="22"/>
              </w:rPr>
              <w:t>Hydroxychloroquine sulfate Accord 200</w:t>
            </w:r>
            <w:r w:rsidR="00C55F29" w:rsidRPr="00DF41AE">
              <w:rPr>
                <w:sz w:val="22"/>
                <w:szCs w:val="22"/>
              </w:rPr>
              <w:t> </w:t>
            </w:r>
            <w:r w:rsidRPr="00DF41AE">
              <w:rPr>
                <w:sz w:val="22"/>
                <w:szCs w:val="22"/>
              </w:rPr>
              <w:t>mg Филмирана таблетка</w:t>
            </w:r>
          </w:p>
        </w:tc>
      </w:tr>
      <w:tr w:rsidR="00EE68D5" w:rsidRPr="001506CC" w14:paraId="3F282BDE" w14:textId="77777777" w:rsidTr="000619C5">
        <w:tc>
          <w:tcPr>
            <w:tcW w:w="1701" w:type="dxa"/>
            <w:shd w:val="clear" w:color="auto" w:fill="auto"/>
          </w:tcPr>
          <w:p w14:paraId="015D9B5E" w14:textId="77777777" w:rsidR="00EE68D5" w:rsidRPr="00DF41AE" w:rsidRDefault="00EE68D5" w:rsidP="001506CC">
            <w:pPr>
              <w:rPr>
                <w:b/>
                <w:sz w:val="22"/>
                <w:szCs w:val="22"/>
              </w:rPr>
            </w:pPr>
            <w:r w:rsidRPr="00DF41AE">
              <w:rPr>
                <w:sz w:val="22"/>
                <w:szCs w:val="22"/>
              </w:rPr>
              <w:t>Čekija</w:t>
            </w:r>
          </w:p>
        </w:tc>
        <w:tc>
          <w:tcPr>
            <w:tcW w:w="6946" w:type="dxa"/>
            <w:shd w:val="clear" w:color="auto" w:fill="auto"/>
          </w:tcPr>
          <w:p w14:paraId="7F1E0EBC" w14:textId="77777777" w:rsidR="00EE68D5" w:rsidRPr="00DF41AE" w:rsidRDefault="00EE68D5" w:rsidP="001506CC">
            <w:pPr>
              <w:rPr>
                <w:b/>
                <w:sz w:val="22"/>
                <w:szCs w:val="22"/>
              </w:rPr>
            </w:pPr>
            <w:r w:rsidRPr="00DF41AE">
              <w:rPr>
                <w:sz w:val="22"/>
                <w:szCs w:val="22"/>
              </w:rPr>
              <w:t>Hydroxychloroquine sulfate Accord</w:t>
            </w:r>
          </w:p>
        </w:tc>
      </w:tr>
      <w:tr w:rsidR="00EE68D5" w:rsidRPr="001506CC" w14:paraId="0C6CA8BB" w14:textId="77777777" w:rsidTr="000619C5">
        <w:tc>
          <w:tcPr>
            <w:tcW w:w="1701" w:type="dxa"/>
            <w:shd w:val="clear" w:color="auto" w:fill="auto"/>
          </w:tcPr>
          <w:p w14:paraId="0327A7C3" w14:textId="77777777" w:rsidR="00EE68D5" w:rsidRPr="00DF41AE" w:rsidRDefault="00EE68D5" w:rsidP="001506CC">
            <w:pPr>
              <w:rPr>
                <w:b/>
                <w:sz w:val="22"/>
                <w:szCs w:val="22"/>
              </w:rPr>
            </w:pPr>
            <w:r w:rsidRPr="00DF41AE">
              <w:rPr>
                <w:sz w:val="22"/>
                <w:szCs w:val="22"/>
              </w:rPr>
              <w:t>Lenkija</w:t>
            </w:r>
          </w:p>
        </w:tc>
        <w:tc>
          <w:tcPr>
            <w:tcW w:w="6946" w:type="dxa"/>
            <w:shd w:val="clear" w:color="auto" w:fill="auto"/>
          </w:tcPr>
          <w:p w14:paraId="235B9B97" w14:textId="77777777" w:rsidR="00EE68D5" w:rsidRPr="00DF41AE" w:rsidRDefault="00EE68D5" w:rsidP="001506CC">
            <w:pPr>
              <w:rPr>
                <w:b/>
                <w:sz w:val="22"/>
                <w:szCs w:val="22"/>
              </w:rPr>
            </w:pPr>
            <w:r w:rsidRPr="00DF41AE">
              <w:rPr>
                <w:sz w:val="22"/>
                <w:szCs w:val="22"/>
              </w:rPr>
              <w:t>Hydroxychloroquine sulfate Accord</w:t>
            </w:r>
          </w:p>
        </w:tc>
      </w:tr>
      <w:tr w:rsidR="00EE68D5" w:rsidRPr="001506CC" w14:paraId="3ADD5F4B" w14:textId="77777777" w:rsidTr="000619C5">
        <w:tc>
          <w:tcPr>
            <w:tcW w:w="1701" w:type="dxa"/>
            <w:shd w:val="clear" w:color="auto" w:fill="auto"/>
          </w:tcPr>
          <w:p w14:paraId="3F91D33E" w14:textId="77777777" w:rsidR="00EE68D5" w:rsidRPr="00DF41AE" w:rsidRDefault="00EE68D5" w:rsidP="001506CC">
            <w:pPr>
              <w:rPr>
                <w:b/>
                <w:sz w:val="22"/>
                <w:szCs w:val="22"/>
              </w:rPr>
            </w:pPr>
            <w:r w:rsidRPr="00DF41AE">
              <w:rPr>
                <w:sz w:val="22"/>
                <w:szCs w:val="22"/>
              </w:rPr>
              <w:t>Rumunija</w:t>
            </w:r>
          </w:p>
        </w:tc>
        <w:tc>
          <w:tcPr>
            <w:tcW w:w="6946" w:type="dxa"/>
            <w:shd w:val="clear" w:color="auto" w:fill="auto"/>
          </w:tcPr>
          <w:p w14:paraId="5861CC09" w14:textId="77777777" w:rsidR="00EE68D5" w:rsidRPr="00DF41AE" w:rsidRDefault="00EE68D5" w:rsidP="001506CC">
            <w:pPr>
              <w:rPr>
                <w:b/>
                <w:sz w:val="22"/>
                <w:szCs w:val="22"/>
              </w:rPr>
            </w:pPr>
            <w:r w:rsidRPr="00DF41AE">
              <w:rPr>
                <w:sz w:val="22"/>
                <w:szCs w:val="22"/>
              </w:rPr>
              <w:t>Sulfat de Hidroxiclorochin</w:t>
            </w:r>
            <w:r w:rsidR="00C55F29" w:rsidRPr="00DF41AE">
              <w:rPr>
                <w:sz w:val="22"/>
                <w:szCs w:val="22"/>
              </w:rPr>
              <w:t xml:space="preserve">ă </w:t>
            </w:r>
            <w:r w:rsidRPr="00DF41AE">
              <w:rPr>
                <w:sz w:val="22"/>
                <w:szCs w:val="22"/>
              </w:rPr>
              <w:t>Accord 200</w:t>
            </w:r>
            <w:r w:rsidR="000619C5" w:rsidRPr="00DF41AE">
              <w:rPr>
                <w:sz w:val="22"/>
                <w:szCs w:val="22"/>
              </w:rPr>
              <w:t> </w:t>
            </w:r>
            <w:r w:rsidRPr="00DF41AE">
              <w:rPr>
                <w:sz w:val="22"/>
                <w:szCs w:val="22"/>
              </w:rPr>
              <w:t>mg comprimate filmate</w:t>
            </w:r>
          </w:p>
        </w:tc>
      </w:tr>
      <w:tr w:rsidR="00C55F29" w:rsidRPr="001506CC" w14:paraId="2EC552F2" w14:textId="77777777" w:rsidTr="000619C5">
        <w:tc>
          <w:tcPr>
            <w:tcW w:w="1701" w:type="dxa"/>
            <w:shd w:val="clear" w:color="auto" w:fill="auto"/>
          </w:tcPr>
          <w:p w14:paraId="599D9AE8" w14:textId="77777777" w:rsidR="00C55F29" w:rsidRPr="00DF41AE" w:rsidRDefault="00C55F29" w:rsidP="001506CC">
            <w:pPr>
              <w:rPr>
                <w:b/>
                <w:sz w:val="22"/>
                <w:szCs w:val="22"/>
              </w:rPr>
            </w:pPr>
            <w:r w:rsidRPr="00DF41AE">
              <w:rPr>
                <w:sz w:val="22"/>
                <w:szCs w:val="22"/>
              </w:rPr>
              <w:t>Vengrija</w:t>
            </w:r>
          </w:p>
        </w:tc>
        <w:tc>
          <w:tcPr>
            <w:tcW w:w="6946" w:type="dxa"/>
            <w:shd w:val="clear" w:color="auto" w:fill="auto"/>
          </w:tcPr>
          <w:p w14:paraId="0E4CAE3F" w14:textId="77777777" w:rsidR="00C55F29" w:rsidRPr="00DF41AE" w:rsidRDefault="00C55F29" w:rsidP="001506CC">
            <w:pPr>
              <w:rPr>
                <w:b/>
                <w:sz w:val="22"/>
                <w:szCs w:val="22"/>
              </w:rPr>
            </w:pPr>
            <w:r w:rsidRPr="00DF41AE">
              <w:rPr>
                <w:sz w:val="22"/>
                <w:szCs w:val="22"/>
              </w:rPr>
              <w:t>Hydroxychloroquine sulfate Accord 200</w:t>
            </w:r>
            <w:r w:rsidR="000619C5" w:rsidRPr="00DF41AE">
              <w:rPr>
                <w:sz w:val="22"/>
                <w:szCs w:val="22"/>
              </w:rPr>
              <w:t> </w:t>
            </w:r>
            <w:r w:rsidRPr="00DF41AE">
              <w:rPr>
                <w:sz w:val="22"/>
                <w:szCs w:val="22"/>
              </w:rPr>
              <w:t>mg filmtabletta</w:t>
            </w:r>
          </w:p>
        </w:tc>
      </w:tr>
      <w:tr w:rsidR="00C55F29" w:rsidRPr="001506CC" w14:paraId="7EC4A357" w14:textId="77777777" w:rsidTr="000619C5">
        <w:tc>
          <w:tcPr>
            <w:tcW w:w="1701" w:type="dxa"/>
            <w:shd w:val="clear" w:color="auto" w:fill="auto"/>
          </w:tcPr>
          <w:p w14:paraId="630BE042" w14:textId="77777777" w:rsidR="00C55F29" w:rsidRPr="00DF41AE" w:rsidRDefault="00C55F29" w:rsidP="001506CC">
            <w:pPr>
              <w:rPr>
                <w:b/>
                <w:sz w:val="22"/>
                <w:szCs w:val="22"/>
              </w:rPr>
            </w:pPr>
            <w:r w:rsidRPr="00DF41AE">
              <w:rPr>
                <w:sz w:val="22"/>
                <w:szCs w:val="22"/>
              </w:rPr>
              <w:t>Slovėnija</w:t>
            </w:r>
          </w:p>
        </w:tc>
        <w:tc>
          <w:tcPr>
            <w:tcW w:w="6946" w:type="dxa"/>
            <w:shd w:val="clear" w:color="auto" w:fill="auto"/>
          </w:tcPr>
          <w:p w14:paraId="59A735B7" w14:textId="77777777" w:rsidR="00C55F29" w:rsidRPr="00DF41AE" w:rsidRDefault="000619C5" w:rsidP="001506CC">
            <w:pPr>
              <w:rPr>
                <w:b/>
                <w:sz w:val="22"/>
                <w:szCs w:val="22"/>
              </w:rPr>
            </w:pPr>
            <w:r w:rsidRPr="00DF41AE">
              <w:rPr>
                <w:sz w:val="22"/>
                <w:szCs w:val="22"/>
              </w:rPr>
              <w:t>Hidroksiklorokinijev sulfat Accord 200 mg filmsko obložene tablete</w:t>
            </w:r>
          </w:p>
        </w:tc>
      </w:tr>
    </w:tbl>
    <w:p w14:paraId="58BB3618" w14:textId="77777777" w:rsidR="0051388B" w:rsidRPr="00B4100D" w:rsidRDefault="0051388B" w:rsidP="00DD2B86">
      <w:pPr>
        <w:pStyle w:val="BTbEMEASMCA"/>
      </w:pPr>
    </w:p>
    <w:p w14:paraId="2117095E" w14:textId="38A1B921" w:rsidR="00986560" w:rsidRPr="00B4100D" w:rsidRDefault="00986560" w:rsidP="00DD2B86">
      <w:pPr>
        <w:pStyle w:val="BTbEMEASMCA"/>
      </w:pPr>
      <w:r w:rsidRPr="00B4100D">
        <w:rPr>
          <w:bCs/>
        </w:rPr>
        <w:t>Šis pakuotės lapelis</w:t>
      </w:r>
      <w:r w:rsidRPr="00B4100D">
        <w:t xml:space="preserve"> paskutinį kartą peržiūrėtas</w:t>
      </w:r>
      <w:r w:rsidR="001506CC">
        <w:t xml:space="preserve"> 2023-</w:t>
      </w:r>
      <w:r w:rsidR="00D00B77">
        <w:t>11</w:t>
      </w:r>
      <w:r w:rsidR="001506CC">
        <w:t>-</w:t>
      </w:r>
      <w:r w:rsidR="00D00B77">
        <w:t>1</w:t>
      </w:r>
      <w:r w:rsidR="001506CC">
        <w:t>5</w:t>
      </w:r>
      <w:r w:rsidR="006647BE">
        <w:t>.</w:t>
      </w:r>
    </w:p>
    <w:p w14:paraId="0BCF1C0A" w14:textId="77777777" w:rsidR="00986560" w:rsidRPr="00B4100D" w:rsidRDefault="00986560" w:rsidP="00986560">
      <w:pPr>
        <w:rPr>
          <w:sz w:val="22"/>
          <w:szCs w:val="22"/>
        </w:rPr>
      </w:pPr>
    </w:p>
    <w:p w14:paraId="23736AA6" w14:textId="77777777" w:rsidR="00986560" w:rsidRPr="00B4100D" w:rsidRDefault="00986560" w:rsidP="00986560">
      <w:pPr>
        <w:rPr>
          <w:color w:val="0000FF"/>
          <w:sz w:val="22"/>
          <w:szCs w:val="22"/>
        </w:rPr>
      </w:pPr>
      <w:r w:rsidRPr="00B4100D">
        <w:rPr>
          <w:sz w:val="22"/>
          <w:szCs w:val="22"/>
        </w:rPr>
        <w:t>Išsami informacija apie šį vaistą pateikiama Valstybinės vaistų kontrolės tarnybos prie Lietuvos Respublikos sveikatos apsaugos ministerijos tinklalapyje</w:t>
      </w:r>
      <w:r w:rsidRPr="00B4100D" w:rsidDel="00D467D6">
        <w:rPr>
          <w:sz w:val="22"/>
          <w:szCs w:val="22"/>
        </w:rPr>
        <w:t xml:space="preserve"> </w:t>
      </w:r>
      <w:hyperlink r:id="rId12" w:history="1">
        <w:r w:rsidRPr="00B4100D">
          <w:rPr>
            <w:rStyle w:val="Hipersaitas"/>
            <w:sz w:val="22"/>
            <w:szCs w:val="22"/>
          </w:rPr>
          <w:t>http://www.vvkt.lt</w:t>
        </w:r>
      </w:hyperlink>
      <w:r w:rsidRPr="00B4100D">
        <w:rPr>
          <w:color w:val="0000FF"/>
          <w:sz w:val="22"/>
          <w:szCs w:val="22"/>
        </w:rPr>
        <w:t>.</w:t>
      </w:r>
    </w:p>
    <w:p w14:paraId="1DCF32EE" w14:textId="77777777" w:rsidR="00986560" w:rsidRPr="00B4100D" w:rsidRDefault="00986560" w:rsidP="00DD2B86">
      <w:pPr>
        <w:pStyle w:val="BTbEMEASMCA"/>
      </w:pPr>
    </w:p>
    <w:bookmarkEnd w:id="0"/>
    <w:p w14:paraId="30E19906" w14:textId="77777777" w:rsidR="003D2B57" w:rsidRPr="00B4100D" w:rsidRDefault="003D2B57">
      <w:pPr>
        <w:rPr>
          <w:sz w:val="22"/>
          <w:szCs w:val="22"/>
        </w:rPr>
      </w:pPr>
    </w:p>
    <w:sectPr w:rsidR="003D2B57" w:rsidRPr="00B4100D" w:rsidSect="004064E5">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B2C22" w14:textId="77777777" w:rsidR="0076148B" w:rsidRDefault="0076148B">
      <w:r>
        <w:separator/>
      </w:r>
    </w:p>
  </w:endnote>
  <w:endnote w:type="continuationSeparator" w:id="0">
    <w:p w14:paraId="1F39D037" w14:textId="77777777" w:rsidR="0076148B" w:rsidRDefault="0076148B">
      <w:r>
        <w:continuationSeparator/>
      </w:r>
    </w:p>
  </w:endnote>
  <w:endnote w:type="continuationNotice" w:id="1">
    <w:p w14:paraId="7240227B" w14:textId="77777777" w:rsidR="0076148B" w:rsidRDefault="00761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666627"/>
      <w:docPartObj>
        <w:docPartGallery w:val="Page Numbers (Bottom of Page)"/>
        <w:docPartUnique/>
      </w:docPartObj>
    </w:sdtPr>
    <w:sdtEndPr>
      <w:rPr>
        <w:noProof/>
      </w:rPr>
    </w:sdtEndPr>
    <w:sdtContent>
      <w:p w14:paraId="6AD920C7" w14:textId="0BD7993E" w:rsidR="00EB1C90" w:rsidRPr="003A7DB3" w:rsidRDefault="00EB1C90" w:rsidP="003A7DB3">
        <w:pPr>
          <w:pStyle w:val="Porat"/>
          <w:jc w:val="center"/>
        </w:pPr>
        <w:r w:rsidRPr="003A7DB3">
          <w:rPr>
            <w:rFonts w:ascii="Arial" w:hAnsi="Arial" w:cs="Arial"/>
            <w:sz w:val="18"/>
            <w:szCs w:val="18"/>
          </w:rPr>
          <w:fldChar w:fldCharType="begin"/>
        </w:r>
        <w:r w:rsidRPr="003A7DB3">
          <w:rPr>
            <w:rFonts w:ascii="Arial" w:hAnsi="Arial" w:cs="Arial"/>
            <w:sz w:val="18"/>
            <w:szCs w:val="18"/>
          </w:rPr>
          <w:instrText xml:space="preserve"> PAGE   \* MERGEFORMAT </w:instrText>
        </w:r>
        <w:r w:rsidRPr="003A7DB3">
          <w:rPr>
            <w:rFonts w:ascii="Arial" w:hAnsi="Arial" w:cs="Arial"/>
            <w:sz w:val="18"/>
            <w:szCs w:val="18"/>
          </w:rPr>
          <w:fldChar w:fldCharType="separate"/>
        </w:r>
        <w:r w:rsidR="00F80013">
          <w:rPr>
            <w:rFonts w:ascii="Arial" w:hAnsi="Arial" w:cs="Arial"/>
            <w:noProof/>
            <w:sz w:val="18"/>
            <w:szCs w:val="18"/>
          </w:rPr>
          <w:t>2</w:t>
        </w:r>
        <w:r w:rsidRPr="003A7DB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F8965" w14:textId="77777777" w:rsidR="0076148B" w:rsidRDefault="0076148B">
      <w:r>
        <w:separator/>
      </w:r>
    </w:p>
  </w:footnote>
  <w:footnote w:type="continuationSeparator" w:id="0">
    <w:p w14:paraId="3B285540" w14:textId="77777777" w:rsidR="0076148B" w:rsidRDefault="0076148B">
      <w:r>
        <w:continuationSeparator/>
      </w:r>
    </w:p>
  </w:footnote>
  <w:footnote w:type="continuationNotice" w:id="1">
    <w:p w14:paraId="6D127AE2" w14:textId="77777777" w:rsidR="0076148B" w:rsidRDefault="007614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7A37" w14:textId="77777777" w:rsidR="00BF05C8" w:rsidRDefault="00BF05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CA447A"/>
    <w:multiLevelType w:val="hybridMultilevel"/>
    <w:tmpl w:val="69DEFA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E25ADA"/>
    <w:multiLevelType w:val="hybridMultilevel"/>
    <w:tmpl w:val="6D248470"/>
    <w:lvl w:ilvl="0" w:tplc="E656247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0407C"/>
    <w:multiLevelType w:val="hybridMultilevel"/>
    <w:tmpl w:val="4F4A546A"/>
    <w:lvl w:ilvl="0" w:tplc="04090001">
      <w:start w:val="1"/>
      <w:numFmt w:val="bullet"/>
      <w:lvlText w:val=""/>
      <w:lvlJc w:val="left"/>
      <w:pPr>
        <w:tabs>
          <w:tab w:val="num" w:pos="207"/>
        </w:tabs>
        <w:ind w:left="207" w:hanging="567"/>
      </w:pPr>
      <w:rPr>
        <w:rFonts w:ascii="Symbol" w:hAnsi="Symbol" w:hint="default"/>
      </w:rPr>
    </w:lvl>
    <w:lvl w:ilvl="1" w:tplc="CCA6AB4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D563F"/>
    <w:multiLevelType w:val="hybridMultilevel"/>
    <w:tmpl w:val="D242B0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23985"/>
    <w:multiLevelType w:val="hybridMultilevel"/>
    <w:tmpl w:val="C7E29BB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FC3753"/>
    <w:multiLevelType w:val="hybridMultilevel"/>
    <w:tmpl w:val="402C6B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A6AAA"/>
    <w:multiLevelType w:val="hybridMultilevel"/>
    <w:tmpl w:val="A2CCE7AE"/>
    <w:lvl w:ilvl="0" w:tplc="04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40ABE"/>
    <w:multiLevelType w:val="hybridMultilevel"/>
    <w:tmpl w:val="85DA69A2"/>
    <w:lvl w:ilvl="0" w:tplc="3D32FCEA">
      <w:start w:val="4"/>
      <w:numFmt w:val="bullet"/>
      <w:lvlText w:val="-"/>
      <w:lvlJc w:val="left"/>
      <w:pPr>
        <w:ind w:left="1287" w:hanging="360"/>
      </w:pPr>
      <w:rPr>
        <w:rFonts w:ascii="Arial" w:eastAsia="Times New Roman"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2624CDF"/>
    <w:multiLevelType w:val="hybridMultilevel"/>
    <w:tmpl w:val="B122F6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023FC5"/>
    <w:multiLevelType w:val="hybridMultilevel"/>
    <w:tmpl w:val="3356E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30CF4"/>
    <w:multiLevelType w:val="hybridMultilevel"/>
    <w:tmpl w:val="3BD8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2322B"/>
    <w:multiLevelType w:val="hybridMultilevel"/>
    <w:tmpl w:val="8E32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338D6"/>
    <w:multiLevelType w:val="hybridMultilevel"/>
    <w:tmpl w:val="5D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66856"/>
    <w:multiLevelType w:val="hybridMultilevel"/>
    <w:tmpl w:val="15A6078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B16E7"/>
    <w:multiLevelType w:val="hybridMultilevel"/>
    <w:tmpl w:val="9220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103A8"/>
    <w:multiLevelType w:val="hybridMultilevel"/>
    <w:tmpl w:val="C1FE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A7ECE"/>
    <w:multiLevelType w:val="hybridMultilevel"/>
    <w:tmpl w:val="D83627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5A4EBE"/>
    <w:multiLevelType w:val="hybridMultilevel"/>
    <w:tmpl w:val="10BEB112"/>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3139E9"/>
    <w:multiLevelType w:val="hybridMultilevel"/>
    <w:tmpl w:val="B5168B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F2FD8"/>
    <w:multiLevelType w:val="hybridMultilevel"/>
    <w:tmpl w:val="77F6AF1A"/>
    <w:lvl w:ilvl="0" w:tplc="04090001">
      <w:start w:val="1"/>
      <w:numFmt w:val="bullet"/>
      <w:lvlText w:val=""/>
      <w:lvlJc w:val="left"/>
      <w:pPr>
        <w:tabs>
          <w:tab w:val="num" w:pos="360"/>
        </w:tabs>
        <w:ind w:left="567" w:hanging="567"/>
      </w:pPr>
      <w:rPr>
        <w:rFonts w:ascii="Symbol" w:hAnsi="Symbol" w:hint="defau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66A75FDF"/>
    <w:multiLevelType w:val="hybridMultilevel"/>
    <w:tmpl w:val="94FACCF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95B5E"/>
    <w:multiLevelType w:val="hybridMultilevel"/>
    <w:tmpl w:val="BDB0B62A"/>
    <w:lvl w:ilvl="0" w:tplc="0409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306DC1"/>
    <w:multiLevelType w:val="hybridMultilevel"/>
    <w:tmpl w:val="ADE81D1A"/>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20"/>
  </w:num>
  <w:num w:numId="5">
    <w:abstractNumId w:val="2"/>
  </w:num>
  <w:num w:numId="6">
    <w:abstractNumId w:val="14"/>
  </w:num>
  <w:num w:numId="7">
    <w:abstractNumId w:val="21"/>
  </w:num>
  <w:num w:numId="8">
    <w:abstractNumId w:val="13"/>
  </w:num>
  <w:num w:numId="9">
    <w:abstractNumId w:val="6"/>
  </w:num>
  <w:num w:numId="10">
    <w:abstractNumId w:val="19"/>
  </w:num>
  <w:num w:numId="11">
    <w:abstractNumId w:val="9"/>
  </w:num>
  <w:num w:numId="12">
    <w:abstractNumId w:val="23"/>
  </w:num>
  <w:num w:numId="13">
    <w:abstractNumId w:val="25"/>
  </w:num>
  <w:num w:numId="14">
    <w:abstractNumId w:val="4"/>
  </w:num>
  <w:num w:numId="15">
    <w:abstractNumId w:val="15"/>
  </w:num>
  <w:num w:numId="16">
    <w:abstractNumId w:val="8"/>
  </w:num>
  <w:num w:numId="17">
    <w:abstractNumId w:val="18"/>
  </w:num>
  <w:num w:numId="18">
    <w:abstractNumId w:val="7"/>
  </w:num>
  <w:num w:numId="19">
    <w:abstractNumId w:val="1"/>
  </w:num>
  <w:num w:numId="20">
    <w:abstractNumId w:val="24"/>
  </w:num>
  <w:num w:numId="21">
    <w:abstractNumId w:val="16"/>
  </w:num>
  <w:num w:numId="22">
    <w:abstractNumId w:val="17"/>
  </w:num>
  <w:num w:numId="23">
    <w:abstractNumId w:val="10"/>
  </w:num>
  <w:num w:numId="24">
    <w:abstractNumId w:val="22"/>
  </w:num>
  <w:num w:numId="25">
    <w:abstractNumId w:val="0"/>
    <w:lvlOverride w:ilvl="0">
      <w:lvl w:ilvl="0">
        <w:numFmt w:val="bullet"/>
        <w:lvlText w:val="-"/>
        <w:legacy w:legacy="1" w:legacySpace="0" w:legacyIndent="360"/>
        <w:lvlJc w:val="left"/>
        <w:pPr>
          <w:ind w:left="360" w:hanging="360"/>
        </w:pPr>
      </w:lvl>
    </w:lvlOverride>
  </w:num>
  <w:num w:numId="26">
    <w:abstractNumId w:val="5"/>
  </w:num>
  <w:num w:numId="2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560"/>
    <w:rsid w:val="000008E0"/>
    <w:rsid w:val="00004144"/>
    <w:rsid w:val="00006D73"/>
    <w:rsid w:val="000129EC"/>
    <w:rsid w:val="00014A5B"/>
    <w:rsid w:val="0001564E"/>
    <w:rsid w:val="0001713D"/>
    <w:rsid w:val="00025F58"/>
    <w:rsid w:val="00026246"/>
    <w:rsid w:val="000270A3"/>
    <w:rsid w:val="00030283"/>
    <w:rsid w:val="000341EE"/>
    <w:rsid w:val="00034881"/>
    <w:rsid w:val="000363CD"/>
    <w:rsid w:val="000401E0"/>
    <w:rsid w:val="000415BC"/>
    <w:rsid w:val="00043CFE"/>
    <w:rsid w:val="000440E7"/>
    <w:rsid w:val="000461A2"/>
    <w:rsid w:val="00047E63"/>
    <w:rsid w:val="000541C8"/>
    <w:rsid w:val="000547FD"/>
    <w:rsid w:val="000612F5"/>
    <w:rsid w:val="000619C5"/>
    <w:rsid w:val="00062855"/>
    <w:rsid w:val="0006522A"/>
    <w:rsid w:val="00075D9F"/>
    <w:rsid w:val="00075F13"/>
    <w:rsid w:val="000812AA"/>
    <w:rsid w:val="00082175"/>
    <w:rsid w:val="00084439"/>
    <w:rsid w:val="00084E72"/>
    <w:rsid w:val="00086A1A"/>
    <w:rsid w:val="000874A7"/>
    <w:rsid w:val="000877F1"/>
    <w:rsid w:val="000923F3"/>
    <w:rsid w:val="00095CC7"/>
    <w:rsid w:val="0009608B"/>
    <w:rsid w:val="00096CE2"/>
    <w:rsid w:val="000A3222"/>
    <w:rsid w:val="000A3646"/>
    <w:rsid w:val="000A6BE7"/>
    <w:rsid w:val="000B03B1"/>
    <w:rsid w:val="000B0C49"/>
    <w:rsid w:val="000B24E4"/>
    <w:rsid w:val="000B3BD8"/>
    <w:rsid w:val="000B7FA5"/>
    <w:rsid w:val="000C1B9A"/>
    <w:rsid w:val="000C445C"/>
    <w:rsid w:val="000D34E0"/>
    <w:rsid w:val="000E3D61"/>
    <w:rsid w:val="000E4406"/>
    <w:rsid w:val="000E5732"/>
    <w:rsid w:val="000F1A66"/>
    <w:rsid w:val="000F4D86"/>
    <w:rsid w:val="00100C18"/>
    <w:rsid w:val="00101E41"/>
    <w:rsid w:val="001045DC"/>
    <w:rsid w:val="00106D96"/>
    <w:rsid w:val="00111382"/>
    <w:rsid w:val="001126D8"/>
    <w:rsid w:val="0011664B"/>
    <w:rsid w:val="00117D6B"/>
    <w:rsid w:val="001233DF"/>
    <w:rsid w:val="00125A08"/>
    <w:rsid w:val="00126D9A"/>
    <w:rsid w:val="00130AF1"/>
    <w:rsid w:val="001313F6"/>
    <w:rsid w:val="001318FE"/>
    <w:rsid w:val="00132E37"/>
    <w:rsid w:val="0013368D"/>
    <w:rsid w:val="00134936"/>
    <w:rsid w:val="00141370"/>
    <w:rsid w:val="00144D04"/>
    <w:rsid w:val="001506CC"/>
    <w:rsid w:val="0016332B"/>
    <w:rsid w:val="001717F1"/>
    <w:rsid w:val="0017473C"/>
    <w:rsid w:val="00176F87"/>
    <w:rsid w:val="00181882"/>
    <w:rsid w:val="0018374C"/>
    <w:rsid w:val="00184202"/>
    <w:rsid w:val="00186D5D"/>
    <w:rsid w:val="001916D7"/>
    <w:rsid w:val="001972F0"/>
    <w:rsid w:val="001A005E"/>
    <w:rsid w:val="001A23DC"/>
    <w:rsid w:val="001A30FA"/>
    <w:rsid w:val="001A5E9D"/>
    <w:rsid w:val="001A71E8"/>
    <w:rsid w:val="001B6493"/>
    <w:rsid w:val="001C27E2"/>
    <w:rsid w:val="001C3179"/>
    <w:rsid w:val="001D13DE"/>
    <w:rsid w:val="001E184B"/>
    <w:rsid w:val="001E639B"/>
    <w:rsid w:val="001F27DC"/>
    <w:rsid w:val="001F4363"/>
    <w:rsid w:val="00202718"/>
    <w:rsid w:val="00212F89"/>
    <w:rsid w:val="00217BBB"/>
    <w:rsid w:val="0022167B"/>
    <w:rsid w:val="00227805"/>
    <w:rsid w:val="00230812"/>
    <w:rsid w:val="00234C36"/>
    <w:rsid w:val="002442BB"/>
    <w:rsid w:val="00253E02"/>
    <w:rsid w:val="00257E78"/>
    <w:rsid w:val="00262666"/>
    <w:rsid w:val="00266A56"/>
    <w:rsid w:val="00271D1B"/>
    <w:rsid w:val="0027422A"/>
    <w:rsid w:val="0027500D"/>
    <w:rsid w:val="00275771"/>
    <w:rsid w:val="00277759"/>
    <w:rsid w:val="00280C45"/>
    <w:rsid w:val="00285A77"/>
    <w:rsid w:val="002860DE"/>
    <w:rsid w:val="00290337"/>
    <w:rsid w:val="00290ACA"/>
    <w:rsid w:val="0029241F"/>
    <w:rsid w:val="00293EAD"/>
    <w:rsid w:val="00296A12"/>
    <w:rsid w:val="00296DE1"/>
    <w:rsid w:val="002A3461"/>
    <w:rsid w:val="002A3C33"/>
    <w:rsid w:val="002A5477"/>
    <w:rsid w:val="002A69B0"/>
    <w:rsid w:val="002B2DF3"/>
    <w:rsid w:val="002B3398"/>
    <w:rsid w:val="002B5662"/>
    <w:rsid w:val="002B5FD8"/>
    <w:rsid w:val="002B791B"/>
    <w:rsid w:val="002C1EBD"/>
    <w:rsid w:val="002C214A"/>
    <w:rsid w:val="002C315D"/>
    <w:rsid w:val="002C428D"/>
    <w:rsid w:val="002C51B8"/>
    <w:rsid w:val="002C6516"/>
    <w:rsid w:val="002C6FBB"/>
    <w:rsid w:val="002D35D1"/>
    <w:rsid w:val="002D6787"/>
    <w:rsid w:val="002D6A2F"/>
    <w:rsid w:val="002E0981"/>
    <w:rsid w:val="002E2755"/>
    <w:rsid w:val="002E34AB"/>
    <w:rsid w:val="002E766D"/>
    <w:rsid w:val="002F50C6"/>
    <w:rsid w:val="002F6108"/>
    <w:rsid w:val="002F7E1B"/>
    <w:rsid w:val="003030B3"/>
    <w:rsid w:val="003044CE"/>
    <w:rsid w:val="003132E5"/>
    <w:rsid w:val="00316CB7"/>
    <w:rsid w:val="00325848"/>
    <w:rsid w:val="00326F9F"/>
    <w:rsid w:val="003272B6"/>
    <w:rsid w:val="00327850"/>
    <w:rsid w:val="00337C62"/>
    <w:rsid w:val="00346663"/>
    <w:rsid w:val="00353E4A"/>
    <w:rsid w:val="003554E9"/>
    <w:rsid w:val="00360358"/>
    <w:rsid w:val="00361184"/>
    <w:rsid w:val="00361490"/>
    <w:rsid w:val="00365CD5"/>
    <w:rsid w:val="00366CB4"/>
    <w:rsid w:val="003703C6"/>
    <w:rsid w:val="00371EFE"/>
    <w:rsid w:val="00373F67"/>
    <w:rsid w:val="00375FC8"/>
    <w:rsid w:val="003775DB"/>
    <w:rsid w:val="00385CEA"/>
    <w:rsid w:val="003956F3"/>
    <w:rsid w:val="003A136E"/>
    <w:rsid w:val="003A15FF"/>
    <w:rsid w:val="003A1E3E"/>
    <w:rsid w:val="003A6EF2"/>
    <w:rsid w:val="003A7A63"/>
    <w:rsid w:val="003A7DB3"/>
    <w:rsid w:val="003B0029"/>
    <w:rsid w:val="003B0A51"/>
    <w:rsid w:val="003B22E4"/>
    <w:rsid w:val="003C140B"/>
    <w:rsid w:val="003C5FF4"/>
    <w:rsid w:val="003D2B57"/>
    <w:rsid w:val="003D31BA"/>
    <w:rsid w:val="003D43C9"/>
    <w:rsid w:val="003D5377"/>
    <w:rsid w:val="003E4FE6"/>
    <w:rsid w:val="003F0976"/>
    <w:rsid w:val="003F3154"/>
    <w:rsid w:val="003F6BCF"/>
    <w:rsid w:val="00402D1B"/>
    <w:rsid w:val="00402EAC"/>
    <w:rsid w:val="004064E5"/>
    <w:rsid w:val="00410318"/>
    <w:rsid w:val="00410A18"/>
    <w:rsid w:val="00412192"/>
    <w:rsid w:val="0041431A"/>
    <w:rsid w:val="004143FC"/>
    <w:rsid w:val="0041497B"/>
    <w:rsid w:val="00414D35"/>
    <w:rsid w:val="004213BB"/>
    <w:rsid w:val="00427233"/>
    <w:rsid w:val="00432819"/>
    <w:rsid w:val="004361F0"/>
    <w:rsid w:val="004437BF"/>
    <w:rsid w:val="00444A31"/>
    <w:rsid w:val="00446C89"/>
    <w:rsid w:val="00447909"/>
    <w:rsid w:val="00447CA0"/>
    <w:rsid w:val="00447F39"/>
    <w:rsid w:val="004558C8"/>
    <w:rsid w:val="00461F0B"/>
    <w:rsid w:val="00464D48"/>
    <w:rsid w:val="004770D2"/>
    <w:rsid w:val="004821D4"/>
    <w:rsid w:val="00490C5A"/>
    <w:rsid w:val="00495E31"/>
    <w:rsid w:val="00497B22"/>
    <w:rsid w:val="004A1247"/>
    <w:rsid w:val="004A1EBA"/>
    <w:rsid w:val="004A2770"/>
    <w:rsid w:val="004A7C14"/>
    <w:rsid w:val="004B01D1"/>
    <w:rsid w:val="004B47E7"/>
    <w:rsid w:val="004D40C6"/>
    <w:rsid w:val="004D5B5E"/>
    <w:rsid w:val="004D617B"/>
    <w:rsid w:val="004E07E4"/>
    <w:rsid w:val="004E4B2E"/>
    <w:rsid w:val="004E5BAF"/>
    <w:rsid w:val="004E78FD"/>
    <w:rsid w:val="004F2082"/>
    <w:rsid w:val="004F6148"/>
    <w:rsid w:val="004F69F4"/>
    <w:rsid w:val="005022A2"/>
    <w:rsid w:val="00502543"/>
    <w:rsid w:val="00502A27"/>
    <w:rsid w:val="00504D23"/>
    <w:rsid w:val="00507720"/>
    <w:rsid w:val="005106A8"/>
    <w:rsid w:val="00510AED"/>
    <w:rsid w:val="00511F16"/>
    <w:rsid w:val="0051388B"/>
    <w:rsid w:val="00517935"/>
    <w:rsid w:val="0053168E"/>
    <w:rsid w:val="0053569C"/>
    <w:rsid w:val="005358E4"/>
    <w:rsid w:val="00537825"/>
    <w:rsid w:val="00537B28"/>
    <w:rsid w:val="00540D1A"/>
    <w:rsid w:val="00545283"/>
    <w:rsid w:val="00545670"/>
    <w:rsid w:val="00550EAE"/>
    <w:rsid w:val="00552CD9"/>
    <w:rsid w:val="0055336B"/>
    <w:rsid w:val="005665CD"/>
    <w:rsid w:val="0056757C"/>
    <w:rsid w:val="00567D86"/>
    <w:rsid w:val="00573F41"/>
    <w:rsid w:val="00581E56"/>
    <w:rsid w:val="005851FD"/>
    <w:rsid w:val="00585607"/>
    <w:rsid w:val="00586425"/>
    <w:rsid w:val="00586DD3"/>
    <w:rsid w:val="005917D5"/>
    <w:rsid w:val="00591990"/>
    <w:rsid w:val="00594AAB"/>
    <w:rsid w:val="005A23DE"/>
    <w:rsid w:val="005A2C02"/>
    <w:rsid w:val="005A4D83"/>
    <w:rsid w:val="005A4F8D"/>
    <w:rsid w:val="005A6A70"/>
    <w:rsid w:val="005A7E0D"/>
    <w:rsid w:val="005C08C1"/>
    <w:rsid w:val="005C0C3B"/>
    <w:rsid w:val="005C3A16"/>
    <w:rsid w:val="005C4EDA"/>
    <w:rsid w:val="005C5F04"/>
    <w:rsid w:val="005C5FE0"/>
    <w:rsid w:val="005C7A3F"/>
    <w:rsid w:val="005D0930"/>
    <w:rsid w:val="005D18F6"/>
    <w:rsid w:val="005D25EF"/>
    <w:rsid w:val="005D544A"/>
    <w:rsid w:val="005D55AA"/>
    <w:rsid w:val="005E1641"/>
    <w:rsid w:val="005E17C6"/>
    <w:rsid w:val="005E368C"/>
    <w:rsid w:val="005E68D1"/>
    <w:rsid w:val="005F117B"/>
    <w:rsid w:val="006023C7"/>
    <w:rsid w:val="00605F7F"/>
    <w:rsid w:val="006104C4"/>
    <w:rsid w:val="0061121A"/>
    <w:rsid w:val="006116AF"/>
    <w:rsid w:val="00613447"/>
    <w:rsid w:val="006175FB"/>
    <w:rsid w:val="00617EB6"/>
    <w:rsid w:val="00621B30"/>
    <w:rsid w:val="0062279D"/>
    <w:rsid w:val="00622BBA"/>
    <w:rsid w:val="00634772"/>
    <w:rsid w:val="006435A4"/>
    <w:rsid w:val="006436AA"/>
    <w:rsid w:val="00644792"/>
    <w:rsid w:val="00647428"/>
    <w:rsid w:val="0065757F"/>
    <w:rsid w:val="006647BE"/>
    <w:rsid w:val="0066635A"/>
    <w:rsid w:val="00667BB5"/>
    <w:rsid w:val="006728AA"/>
    <w:rsid w:val="00676C1C"/>
    <w:rsid w:val="00681EB5"/>
    <w:rsid w:val="006877B9"/>
    <w:rsid w:val="00695B8F"/>
    <w:rsid w:val="006A0058"/>
    <w:rsid w:val="006A122F"/>
    <w:rsid w:val="006A4493"/>
    <w:rsid w:val="006A57B2"/>
    <w:rsid w:val="006A75C1"/>
    <w:rsid w:val="006B2ED4"/>
    <w:rsid w:val="006C275D"/>
    <w:rsid w:val="006C357D"/>
    <w:rsid w:val="006C46B1"/>
    <w:rsid w:val="006E671E"/>
    <w:rsid w:val="006E6FAE"/>
    <w:rsid w:val="006F0246"/>
    <w:rsid w:val="006F2616"/>
    <w:rsid w:val="006F297A"/>
    <w:rsid w:val="0070795A"/>
    <w:rsid w:val="007104D7"/>
    <w:rsid w:val="00710E43"/>
    <w:rsid w:val="00711C30"/>
    <w:rsid w:val="00712D0A"/>
    <w:rsid w:val="00715D21"/>
    <w:rsid w:val="00722228"/>
    <w:rsid w:val="007248DA"/>
    <w:rsid w:val="0072691B"/>
    <w:rsid w:val="00731A9A"/>
    <w:rsid w:val="00735ED2"/>
    <w:rsid w:val="007464A9"/>
    <w:rsid w:val="00746F19"/>
    <w:rsid w:val="0074740E"/>
    <w:rsid w:val="0075058F"/>
    <w:rsid w:val="00752402"/>
    <w:rsid w:val="00752E7C"/>
    <w:rsid w:val="00761009"/>
    <w:rsid w:val="0076148B"/>
    <w:rsid w:val="00764291"/>
    <w:rsid w:val="007655B4"/>
    <w:rsid w:val="0076605E"/>
    <w:rsid w:val="007704B9"/>
    <w:rsid w:val="00772AC0"/>
    <w:rsid w:val="00780653"/>
    <w:rsid w:val="0078348D"/>
    <w:rsid w:val="007838BE"/>
    <w:rsid w:val="007847DE"/>
    <w:rsid w:val="00785032"/>
    <w:rsid w:val="00787F5B"/>
    <w:rsid w:val="00790430"/>
    <w:rsid w:val="00791343"/>
    <w:rsid w:val="00792244"/>
    <w:rsid w:val="00792FEA"/>
    <w:rsid w:val="007937E6"/>
    <w:rsid w:val="00794513"/>
    <w:rsid w:val="007A0668"/>
    <w:rsid w:val="007A51A0"/>
    <w:rsid w:val="007B0210"/>
    <w:rsid w:val="007B3599"/>
    <w:rsid w:val="007B7743"/>
    <w:rsid w:val="007C4645"/>
    <w:rsid w:val="007C62F2"/>
    <w:rsid w:val="007C7FA9"/>
    <w:rsid w:val="007E22FB"/>
    <w:rsid w:val="007E4556"/>
    <w:rsid w:val="007E55D4"/>
    <w:rsid w:val="007E6F60"/>
    <w:rsid w:val="007F089D"/>
    <w:rsid w:val="007F271B"/>
    <w:rsid w:val="007F62D2"/>
    <w:rsid w:val="00807913"/>
    <w:rsid w:val="00807F74"/>
    <w:rsid w:val="008142E6"/>
    <w:rsid w:val="00823227"/>
    <w:rsid w:val="00824A37"/>
    <w:rsid w:val="00827E8E"/>
    <w:rsid w:val="008313AA"/>
    <w:rsid w:val="00832B33"/>
    <w:rsid w:val="008364CE"/>
    <w:rsid w:val="00836BEF"/>
    <w:rsid w:val="00841649"/>
    <w:rsid w:val="0085163B"/>
    <w:rsid w:val="00864E80"/>
    <w:rsid w:val="00866A33"/>
    <w:rsid w:val="00875439"/>
    <w:rsid w:val="00875603"/>
    <w:rsid w:val="008840B2"/>
    <w:rsid w:val="00884628"/>
    <w:rsid w:val="00887B5C"/>
    <w:rsid w:val="008934D9"/>
    <w:rsid w:val="00895E8D"/>
    <w:rsid w:val="008A276F"/>
    <w:rsid w:val="008A4D57"/>
    <w:rsid w:val="008A582B"/>
    <w:rsid w:val="008A7BF3"/>
    <w:rsid w:val="008B0EE5"/>
    <w:rsid w:val="008D7133"/>
    <w:rsid w:val="008E06ED"/>
    <w:rsid w:val="008E0938"/>
    <w:rsid w:val="008E26B1"/>
    <w:rsid w:val="008E63AC"/>
    <w:rsid w:val="008F0A5D"/>
    <w:rsid w:val="008F49E0"/>
    <w:rsid w:val="009124D3"/>
    <w:rsid w:val="00916A0E"/>
    <w:rsid w:val="00916B2D"/>
    <w:rsid w:val="009178BA"/>
    <w:rsid w:val="00924075"/>
    <w:rsid w:val="00936973"/>
    <w:rsid w:val="009436DA"/>
    <w:rsid w:val="0095164B"/>
    <w:rsid w:val="0095644F"/>
    <w:rsid w:val="00974301"/>
    <w:rsid w:val="00974F46"/>
    <w:rsid w:val="00981A4B"/>
    <w:rsid w:val="009856C1"/>
    <w:rsid w:val="00986560"/>
    <w:rsid w:val="00987604"/>
    <w:rsid w:val="009923A1"/>
    <w:rsid w:val="00992E38"/>
    <w:rsid w:val="00993017"/>
    <w:rsid w:val="009950D8"/>
    <w:rsid w:val="009974BD"/>
    <w:rsid w:val="009A0470"/>
    <w:rsid w:val="009A04AB"/>
    <w:rsid w:val="009A4D27"/>
    <w:rsid w:val="009A6B44"/>
    <w:rsid w:val="009A70DB"/>
    <w:rsid w:val="009C30BF"/>
    <w:rsid w:val="009C3222"/>
    <w:rsid w:val="009C3E2F"/>
    <w:rsid w:val="009C6A7D"/>
    <w:rsid w:val="009C6F35"/>
    <w:rsid w:val="009D076F"/>
    <w:rsid w:val="009D0A05"/>
    <w:rsid w:val="009E06BF"/>
    <w:rsid w:val="009E179A"/>
    <w:rsid w:val="009F4CA3"/>
    <w:rsid w:val="00A01EA6"/>
    <w:rsid w:val="00A022E5"/>
    <w:rsid w:val="00A025B0"/>
    <w:rsid w:val="00A10C9E"/>
    <w:rsid w:val="00A12722"/>
    <w:rsid w:val="00A1615C"/>
    <w:rsid w:val="00A25761"/>
    <w:rsid w:val="00A276C0"/>
    <w:rsid w:val="00A30BCE"/>
    <w:rsid w:val="00A3470D"/>
    <w:rsid w:val="00A360B8"/>
    <w:rsid w:val="00A3697D"/>
    <w:rsid w:val="00A414C4"/>
    <w:rsid w:val="00A432ED"/>
    <w:rsid w:val="00A4376F"/>
    <w:rsid w:val="00A46A2A"/>
    <w:rsid w:val="00A47D38"/>
    <w:rsid w:val="00A47E10"/>
    <w:rsid w:val="00A53865"/>
    <w:rsid w:val="00A5620D"/>
    <w:rsid w:val="00A6228A"/>
    <w:rsid w:val="00A63848"/>
    <w:rsid w:val="00A7349C"/>
    <w:rsid w:val="00A776AC"/>
    <w:rsid w:val="00A8061C"/>
    <w:rsid w:val="00A85AFC"/>
    <w:rsid w:val="00A87656"/>
    <w:rsid w:val="00A87D5B"/>
    <w:rsid w:val="00A9017E"/>
    <w:rsid w:val="00A93257"/>
    <w:rsid w:val="00A93357"/>
    <w:rsid w:val="00A96699"/>
    <w:rsid w:val="00A96761"/>
    <w:rsid w:val="00A96B2F"/>
    <w:rsid w:val="00AA1562"/>
    <w:rsid w:val="00AA525E"/>
    <w:rsid w:val="00AA5EE3"/>
    <w:rsid w:val="00AA74AF"/>
    <w:rsid w:val="00AB0E7A"/>
    <w:rsid w:val="00AB2987"/>
    <w:rsid w:val="00AB42A0"/>
    <w:rsid w:val="00AB4C5E"/>
    <w:rsid w:val="00AC27D9"/>
    <w:rsid w:val="00AD0FF2"/>
    <w:rsid w:val="00AD1121"/>
    <w:rsid w:val="00AD2862"/>
    <w:rsid w:val="00AD4C43"/>
    <w:rsid w:val="00AD75AE"/>
    <w:rsid w:val="00AD7A05"/>
    <w:rsid w:val="00AE1518"/>
    <w:rsid w:val="00AE3A47"/>
    <w:rsid w:val="00AE5D10"/>
    <w:rsid w:val="00AE7A5E"/>
    <w:rsid w:val="00AF37C6"/>
    <w:rsid w:val="00AF6D05"/>
    <w:rsid w:val="00B01F45"/>
    <w:rsid w:val="00B03222"/>
    <w:rsid w:val="00B037E2"/>
    <w:rsid w:val="00B076BA"/>
    <w:rsid w:val="00B11C2C"/>
    <w:rsid w:val="00B14844"/>
    <w:rsid w:val="00B14EFB"/>
    <w:rsid w:val="00B17F4D"/>
    <w:rsid w:val="00B23DE8"/>
    <w:rsid w:val="00B24230"/>
    <w:rsid w:val="00B268E1"/>
    <w:rsid w:val="00B31057"/>
    <w:rsid w:val="00B3135E"/>
    <w:rsid w:val="00B35D3F"/>
    <w:rsid w:val="00B40F58"/>
    <w:rsid w:val="00B4100D"/>
    <w:rsid w:val="00B413DC"/>
    <w:rsid w:val="00B4339E"/>
    <w:rsid w:val="00B43536"/>
    <w:rsid w:val="00B45E12"/>
    <w:rsid w:val="00B5018D"/>
    <w:rsid w:val="00B55016"/>
    <w:rsid w:val="00B55DD2"/>
    <w:rsid w:val="00B56AF5"/>
    <w:rsid w:val="00B60384"/>
    <w:rsid w:val="00B61CFA"/>
    <w:rsid w:val="00B6322B"/>
    <w:rsid w:val="00B63528"/>
    <w:rsid w:val="00B70FF0"/>
    <w:rsid w:val="00B7209D"/>
    <w:rsid w:val="00B730CC"/>
    <w:rsid w:val="00B75BFA"/>
    <w:rsid w:val="00B75D85"/>
    <w:rsid w:val="00B76489"/>
    <w:rsid w:val="00B8076B"/>
    <w:rsid w:val="00B87974"/>
    <w:rsid w:val="00B91330"/>
    <w:rsid w:val="00B97D74"/>
    <w:rsid w:val="00BA340E"/>
    <w:rsid w:val="00BA6B50"/>
    <w:rsid w:val="00BC1D18"/>
    <w:rsid w:val="00BC47BE"/>
    <w:rsid w:val="00BC7E83"/>
    <w:rsid w:val="00BD2C8C"/>
    <w:rsid w:val="00BD5003"/>
    <w:rsid w:val="00BE09A7"/>
    <w:rsid w:val="00BE2462"/>
    <w:rsid w:val="00BE2723"/>
    <w:rsid w:val="00BE2B27"/>
    <w:rsid w:val="00BE4359"/>
    <w:rsid w:val="00BE4841"/>
    <w:rsid w:val="00BE4B8C"/>
    <w:rsid w:val="00BE68F4"/>
    <w:rsid w:val="00BE6C26"/>
    <w:rsid w:val="00BE7B0A"/>
    <w:rsid w:val="00BF05C8"/>
    <w:rsid w:val="00C02E98"/>
    <w:rsid w:val="00C0349B"/>
    <w:rsid w:val="00C05546"/>
    <w:rsid w:val="00C06F80"/>
    <w:rsid w:val="00C122B5"/>
    <w:rsid w:val="00C13103"/>
    <w:rsid w:val="00C133F3"/>
    <w:rsid w:val="00C15460"/>
    <w:rsid w:val="00C24DB8"/>
    <w:rsid w:val="00C3217D"/>
    <w:rsid w:val="00C354F1"/>
    <w:rsid w:val="00C475DF"/>
    <w:rsid w:val="00C50230"/>
    <w:rsid w:val="00C50324"/>
    <w:rsid w:val="00C55F29"/>
    <w:rsid w:val="00C56814"/>
    <w:rsid w:val="00C7085C"/>
    <w:rsid w:val="00C728F5"/>
    <w:rsid w:val="00C73C56"/>
    <w:rsid w:val="00C75C19"/>
    <w:rsid w:val="00C82B19"/>
    <w:rsid w:val="00C83759"/>
    <w:rsid w:val="00C850DF"/>
    <w:rsid w:val="00C901E6"/>
    <w:rsid w:val="00C94474"/>
    <w:rsid w:val="00CA02B5"/>
    <w:rsid w:val="00CA0ABF"/>
    <w:rsid w:val="00CA2561"/>
    <w:rsid w:val="00CB07F3"/>
    <w:rsid w:val="00CB0D11"/>
    <w:rsid w:val="00CB2426"/>
    <w:rsid w:val="00CB2D0C"/>
    <w:rsid w:val="00CB2F85"/>
    <w:rsid w:val="00CB33ED"/>
    <w:rsid w:val="00CB4E97"/>
    <w:rsid w:val="00CB53D5"/>
    <w:rsid w:val="00CB6D56"/>
    <w:rsid w:val="00CC01BA"/>
    <w:rsid w:val="00CC0FD4"/>
    <w:rsid w:val="00CC2789"/>
    <w:rsid w:val="00CC40D7"/>
    <w:rsid w:val="00CD6416"/>
    <w:rsid w:val="00CD77B1"/>
    <w:rsid w:val="00CE09CD"/>
    <w:rsid w:val="00D00B77"/>
    <w:rsid w:val="00D04218"/>
    <w:rsid w:val="00D1144F"/>
    <w:rsid w:val="00D119BE"/>
    <w:rsid w:val="00D1646A"/>
    <w:rsid w:val="00D17DE8"/>
    <w:rsid w:val="00D2016C"/>
    <w:rsid w:val="00D21236"/>
    <w:rsid w:val="00D276E2"/>
    <w:rsid w:val="00D310F9"/>
    <w:rsid w:val="00D36BAC"/>
    <w:rsid w:val="00D40308"/>
    <w:rsid w:val="00D44231"/>
    <w:rsid w:val="00D47903"/>
    <w:rsid w:val="00D509C5"/>
    <w:rsid w:val="00D55941"/>
    <w:rsid w:val="00D56EF7"/>
    <w:rsid w:val="00D5799D"/>
    <w:rsid w:val="00D62EFD"/>
    <w:rsid w:val="00D63ACA"/>
    <w:rsid w:val="00D659B1"/>
    <w:rsid w:val="00D67F73"/>
    <w:rsid w:val="00D76EFA"/>
    <w:rsid w:val="00D812DF"/>
    <w:rsid w:val="00D8756E"/>
    <w:rsid w:val="00D9171A"/>
    <w:rsid w:val="00D93593"/>
    <w:rsid w:val="00DA04AA"/>
    <w:rsid w:val="00DA1C54"/>
    <w:rsid w:val="00DA341F"/>
    <w:rsid w:val="00DA718D"/>
    <w:rsid w:val="00DB0B3B"/>
    <w:rsid w:val="00DC0B8F"/>
    <w:rsid w:val="00DD2B86"/>
    <w:rsid w:val="00DD34FF"/>
    <w:rsid w:val="00DD3B21"/>
    <w:rsid w:val="00DD43ED"/>
    <w:rsid w:val="00DD580A"/>
    <w:rsid w:val="00DE1A6A"/>
    <w:rsid w:val="00DE48BF"/>
    <w:rsid w:val="00DE4D69"/>
    <w:rsid w:val="00DE586B"/>
    <w:rsid w:val="00DF17FE"/>
    <w:rsid w:val="00DF41AE"/>
    <w:rsid w:val="00DF4735"/>
    <w:rsid w:val="00DF729C"/>
    <w:rsid w:val="00E05B40"/>
    <w:rsid w:val="00E06BF7"/>
    <w:rsid w:val="00E11032"/>
    <w:rsid w:val="00E133EA"/>
    <w:rsid w:val="00E13BDD"/>
    <w:rsid w:val="00E22907"/>
    <w:rsid w:val="00E30668"/>
    <w:rsid w:val="00E31742"/>
    <w:rsid w:val="00E32459"/>
    <w:rsid w:val="00E34B40"/>
    <w:rsid w:val="00E4172E"/>
    <w:rsid w:val="00E43D81"/>
    <w:rsid w:val="00E45116"/>
    <w:rsid w:val="00E47DDD"/>
    <w:rsid w:val="00E6063D"/>
    <w:rsid w:val="00E7339D"/>
    <w:rsid w:val="00E77AE0"/>
    <w:rsid w:val="00E77BE2"/>
    <w:rsid w:val="00E801E4"/>
    <w:rsid w:val="00E83BB5"/>
    <w:rsid w:val="00EA17DC"/>
    <w:rsid w:val="00EA3421"/>
    <w:rsid w:val="00EA6BC4"/>
    <w:rsid w:val="00EB1C90"/>
    <w:rsid w:val="00EB1D7D"/>
    <w:rsid w:val="00EB3360"/>
    <w:rsid w:val="00EB69A7"/>
    <w:rsid w:val="00EB7544"/>
    <w:rsid w:val="00EB79BD"/>
    <w:rsid w:val="00EC50E8"/>
    <w:rsid w:val="00ED0C90"/>
    <w:rsid w:val="00ED1B1A"/>
    <w:rsid w:val="00EE0BA7"/>
    <w:rsid w:val="00EE1930"/>
    <w:rsid w:val="00EE2C72"/>
    <w:rsid w:val="00EE4F8B"/>
    <w:rsid w:val="00EE68D5"/>
    <w:rsid w:val="00EF0190"/>
    <w:rsid w:val="00EF1990"/>
    <w:rsid w:val="00EF654E"/>
    <w:rsid w:val="00EF74FE"/>
    <w:rsid w:val="00EF75CD"/>
    <w:rsid w:val="00F0125E"/>
    <w:rsid w:val="00F07370"/>
    <w:rsid w:val="00F0761A"/>
    <w:rsid w:val="00F117BD"/>
    <w:rsid w:val="00F130BD"/>
    <w:rsid w:val="00F13761"/>
    <w:rsid w:val="00F24381"/>
    <w:rsid w:val="00F24F43"/>
    <w:rsid w:val="00F32534"/>
    <w:rsid w:val="00F3418F"/>
    <w:rsid w:val="00F35055"/>
    <w:rsid w:val="00F35725"/>
    <w:rsid w:val="00F36FE6"/>
    <w:rsid w:val="00F4001D"/>
    <w:rsid w:val="00F40B61"/>
    <w:rsid w:val="00F46B17"/>
    <w:rsid w:val="00F54AFB"/>
    <w:rsid w:val="00F5547D"/>
    <w:rsid w:val="00F57393"/>
    <w:rsid w:val="00F61557"/>
    <w:rsid w:val="00F6213E"/>
    <w:rsid w:val="00F62F2D"/>
    <w:rsid w:val="00F7394E"/>
    <w:rsid w:val="00F80013"/>
    <w:rsid w:val="00F81976"/>
    <w:rsid w:val="00F840F1"/>
    <w:rsid w:val="00F846BC"/>
    <w:rsid w:val="00F86B6B"/>
    <w:rsid w:val="00F878AD"/>
    <w:rsid w:val="00F927B9"/>
    <w:rsid w:val="00F94E38"/>
    <w:rsid w:val="00FA359C"/>
    <w:rsid w:val="00FA44B2"/>
    <w:rsid w:val="00FA648F"/>
    <w:rsid w:val="00FB2988"/>
    <w:rsid w:val="00FC1E33"/>
    <w:rsid w:val="00FC4964"/>
    <w:rsid w:val="00FC699C"/>
    <w:rsid w:val="00FC7BC1"/>
    <w:rsid w:val="00FD66E5"/>
    <w:rsid w:val="00FD6F98"/>
    <w:rsid w:val="00FD7186"/>
    <w:rsid w:val="00FE1ABF"/>
    <w:rsid w:val="00FE46CC"/>
    <w:rsid w:val="00FE47DB"/>
    <w:rsid w:val="00FE5DA8"/>
    <w:rsid w:val="00FE6022"/>
    <w:rsid w:val="00FE7154"/>
    <w:rsid w:val="00FF1C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5C260"/>
  <w15:docId w15:val="{A4FC5EE0-F57B-4C9E-9B46-819F6F4F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230"/>
    <w:rPr>
      <w:sz w:val="24"/>
      <w:szCs w:val="24"/>
      <w:lang w:eastAsia="en-US"/>
    </w:rPr>
  </w:style>
  <w:style w:type="paragraph" w:styleId="Antrat1">
    <w:name w:val="heading 1"/>
    <w:basedOn w:val="prastasis"/>
    <w:next w:val="prastasis"/>
    <w:link w:val="Antrat1Diagrama"/>
    <w:qFormat/>
    <w:rsid w:val="00986560"/>
    <w:pPr>
      <w:keepNext/>
      <w:spacing w:before="240" w:after="60"/>
      <w:outlineLvl w:val="0"/>
    </w:pPr>
    <w:rPr>
      <w:rFonts w:ascii="Cambria" w:hAnsi="Cambria"/>
      <w:b/>
      <w:bCs/>
      <w:kern w:val="32"/>
      <w:sz w:val="32"/>
      <w:szCs w:val="32"/>
      <w:lang w:eastAsia="lt-LT"/>
    </w:rPr>
  </w:style>
  <w:style w:type="paragraph" w:styleId="Antrat2">
    <w:name w:val="heading 2"/>
    <w:basedOn w:val="prastasis"/>
    <w:next w:val="prastasis"/>
    <w:qFormat/>
    <w:rsid w:val="00986560"/>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986560"/>
    <w:pPr>
      <w:keepNext/>
      <w:spacing w:before="240" w:after="60"/>
      <w:outlineLvl w:val="2"/>
    </w:pPr>
    <w:rPr>
      <w:rFonts w:ascii="Cambria" w:hAnsi="Cambria"/>
      <w:b/>
      <w:bCs/>
      <w:sz w:val="26"/>
      <w:szCs w:val="26"/>
      <w:lang w:eastAsia="lt-LT"/>
    </w:rPr>
  </w:style>
  <w:style w:type="paragraph" w:styleId="Antrat5">
    <w:name w:val="heading 5"/>
    <w:basedOn w:val="prastasis"/>
    <w:next w:val="prastasis"/>
    <w:link w:val="Antrat5Diagrama"/>
    <w:qFormat/>
    <w:rsid w:val="00986560"/>
    <w:pPr>
      <w:spacing w:before="240" w:after="60"/>
      <w:outlineLvl w:val="4"/>
    </w:pPr>
    <w:rPr>
      <w:rFonts w:ascii="Calibri" w:hAnsi="Calibri"/>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986560"/>
    <w:rPr>
      <w:rFonts w:ascii="Cambria" w:hAnsi="Cambria"/>
      <w:b/>
      <w:bCs/>
      <w:kern w:val="32"/>
      <w:sz w:val="32"/>
      <w:szCs w:val="32"/>
      <w:lang w:val="lt-LT" w:eastAsia="lt-LT" w:bidi="ar-SA"/>
    </w:rPr>
  </w:style>
  <w:style w:type="character" w:customStyle="1" w:styleId="Antrat3Diagrama">
    <w:name w:val="Antraštė 3 Diagrama"/>
    <w:link w:val="Antrat3"/>
    <w:locked/>
    <w:rsid w:val="00986560"/>
    <w:rPr>
      <w:rFonts w:ascii="Cambria" w:hAnsi="Cambria"/>
      <w:b/>
      <w:bCs/>
      <w:sz w:val="26"/>
      <w:szCs w:val="26"/>
      <w:lang w:val="lt-LT" w:eastAsia="lt-LT" w:bidi="ar-SA"/>
    </w:rPr>
  </w:style>
  <w:style w:type="character" w:customStyle="1" w:styleId="Antrat5Diagrama">
    <w:name w:val="Antraštė 5 Diagrama"/>
    <w:link w:val="Antrat5"/>
    <w:locked/>
    <w:rsid w:val="00986560"/>
    <w:rPr>
      <w:rFonts w:ascii="Calibri" w:hAnsi="Calibri"/>
      <w:b/>
      <w:bCs/>
      <w:i/>
      <w:iCs/>
      <w:sz w:val="26"/>
      <w:szCs w:val="26"/>
      <w:lang w:val="lt-LT" w:eastAsia="lt-LT" w:bidi="ar-SA"/>
    </w:rPr>
  </w:style>
  <w:style w:type="paragraph" w:customStyle="1" w:styleId="PI-1EMEASMCA">
    <w:name w:val="PI-1 EMEA_SMCA"/>
    <w:basedOn w:val="Antrat2"/>
    <w:autoRedefine/>
    <w:rsid w:val="00986560"/>
    <w:pPr>
      <w:tabs>
        <w:tab w:val="left" w:pos="567"/>
      </w:tabs>
      <w:spacing w:before="0" w:after="0"/>
      <w:ind w:left="567" w:hanging="567"/>
    </w:pPr>
    <w:rPr>
      <w:rFonts w:ascii="Times New Roman" w:hAnsi="Times New Roman"/>
      <w:bCs w:val="0"/>
      <w:i w:val="0"/>
      <w:iCs w:val="0"/>
      <w:sz w:val="22"/>
      <w:szCs w:val="22"/>
      <w:lang w:eastAsia="lt-LT"/>
    </w:rPr>
  </w:style>
  <w:style w:type="paragraph" w:customStyle="1" w:styleId="PI-1labEMEASMCA">
    <w:name w:val="PI-1_lab EMEA_SMCA"/>
    <w:basedOn w:val="prastasis"/>
    <w:autoRedefine/>
    <w:rsid w:val="0098656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56757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rsid w:val="006E671E"/>
    <w:pPr>
      <w:tabs>
        <w:tab w:val="left" w:pos="540"/>
      </w:tabs>
    </w:pPr>
    <w:rPr>
      <w:sz w:val="22"/>
      <w:szCs w:val="22"/>
    </w:rPr>
  </w:style>
  <w:style w:type="paragraph" w:customStyle="1" w:styleId="TTEMEASMCA">
    <w:name w:val="TT EMEA_SMCA"/>
    <w:basedOn w:val="Antrat1"/>
    <w:autoRedefine/>
    <w:rsid w:val="00986560"/>
    <w:pPr>
      <w:keepNext w:val="0"/>
      <w:tabs>
        <w:tab w:val="left" w:pos="567"/>
      </w:tabs>
      <w:spacing w:before="0" w:after="0"/>
      <w:ind w:left="567" w:hanging="567"/>
      <w:jc w:val="center"/>
    </w:pPr>
    <w:rPr>
      <w:rFonts w:ascii="Times New Roman" w:hAnsi="Times New Roman"/>
      <w:bCs w:val="0"/>
      <w:caps/>
      <w:kern w:val="0"/>
      <w:sz w:val="22"/>
      <w:szCs w:val="22"/>
      <w:lang w:val="en-US"/>
    </w:rPr>
  </w:style>
  <w:style w:type="paragraph" w:customStyle="1" w:styleId="BTAnIIEMEASMCA">
    <w:name w:val="BT(AnII) EMEA_SMCA"/>
    <w:basedOn w:val="Debesliotekstas"/>
    <w:autoRedefine/>
    <w:rsid w:val="00986560"/>
    <w:pPr>
      <w:tabs>
        <w:tab w:val="left" w:pos="1701"/>
      </w:tabs>
      <w:ind w:left="1701" w:hanging="567"/>
    </w:pPr>
    <w:rPr>
      <w:rFonts w:ascii="Times New Roman" w:hAnsi="Times New Roman"/>
      <w:b/>
      <w:sz w:val="22"/>
      <w:szCs w:val="22"/>
      <w:lang w:val="en-GB" w:eastAsia="lt-LT"/>
    </w:rPr>
  </w:style>
  <w:style w:type="paragraph" w:customStyle="1" w:styleId="PI-3EMEASMCA">
    <w:name w:val="PI-3 EMEA_SMCA"/>
    <w:basedOn w:val="prastasis"/>
    <w:rsid w:val="00986560"/>
    <w:rPr>
      <w:b/>
      <w:bCs/>
      <w:sz w:val="22"/>
      <w:szCs w:val="22"/>
    </w:rPr>
  </w:style>
  <w:style w:type="paragraph" w:customStyle="1" w:styleId="BTbEMEASMCA">
    <w:name w:val="BT(b) EMEA_SMCA"/>
    <w:basedOn w:val="BTEMEASMCA"/>
    <w:autoRedefine/>
    <w:rsid w:val="00DD2B86"/>
    <w:rPr>
      <w:b/>
    </w:rPr>
  </w:style>
  <w:style w:type="paragraph" w:customStyle="1" w:styleId="BTeEMEASMCA">
    <w:name w:val="BT(e) EMEA_SMCA"/>
    <w:basedOn w:val="BTEMEASMCA"/>
    <w:autoRedefine/>
    <w:rsid w:val="00986560"/>
    <w:pPr>
      <w:jc w:val="center"/>
    </w:pPr>
  </w:style>
  <w:style w:type="paragraph" w:customStyle="1" w:styleId="BTuEMEASMCA">
    <w:name w:val="BT(u) EMEA_SMCA"/>
    <w:basedOn w:val="BTEMEASMCA"/>
    <w:autoRedefine/>
    <w:rsid w:val="00986560"/>
  </w:style>
  <w:style w:type="paragraph" w:styleId="Pagrindiniotekstotrauka">
    <w:name w:val="Body Text Indent"/>
    <w:basedOn w:val="prastasis"/>
    <w:link w:val="PagrindiniotekstotraukaDiagrama"/>
    <w:rsid w:val="00986560"/>
    <w:pPr>
      <w:ind w:firstLine="720"/>
      <w:jc w:val="both"/>
    </w:pPr>
    <w:rPr>
      <w:lang w:eastAsia="lt-LT"/>
    </w:rPr>
  </w:style>
  <w:style w:type="character" w:customStyle="1" w:styleId="PagrindiniotekstotraukaDiagrama">
    <w:name w:val="Pagrindinio teksto įtrauka Diagrama"/>
    <w:link w:val="Pagrindiniotekstotrauka"/>
    <w:locked/>
    <w:rsid w:val="00986560"/>
    <w:rPr>
      <w:sz w:val="24"/>
      <w:szCs w:val="24"/>
      <w:lang w:val="lt-LT" w:eastAsia="lt-LT" w:bidi="ar-SA"/>
    </w:rPr>
  </w:style>
  <w:style w:type="paragraph" w:styleId="Pavadinimas">
    <w:name w:val="Title"/>
    <w:basedOn w:val="prastasis"/>
    <w:link w:val="PavadinimasDiagrama"/>
    <w:qFormat/>
    <w:rsid w:val="00986560"/>
    <w:pPr>
      <w:overflowPunct w:val="0"/>
      <w:autoSpaceDE w:val="0"/>
      <w:autoSpaceDN w:val="0"/>
      <w:adjustRightInd w:val="0"/>
      <w:spacing w:before="240" w:after="60"/>
      <w:jc w:val="center"/>
      <w:textAlignment w:val="baseline"/>
    </w:pPr>
    <w:rPr>
      <w:rFonts w:ascii="Cambria" w:hAnsi="Cambria"/>
      <w:b/>
      <w:bCs/>
      <w:kern w:val="28"/>
      <w:sz w:val="32"/>
      <w:szCs w:val="32"/>
      <w:lang w:eastAsia="lt-LT"/>
    </w:rPr>
  </w:style>
  <w:style w:type="character" w:customStyle="1" w:styleId="PavadinimasDiagrama">
    <w:name w:val="Pavadinimas Diagrama"/>
    <w:link w:val="Pavadinimas"/>
    <w:locked/>
    <w:rsid w:val="00986560"/>
    <w:rPr>
      <w:rFonts w:ascii="Cambria" w:hAnsi="Cambria"/>
      <w:b/>
      <w:bCs/>
      <w:kern w:val="28"/>
      <w:sz w:val="32"/>
      <w:szCs w:val="32"/>
      <w:lang w:val="lt-LT" w:eastAsia="lt-LT" w:bidi="ar-SA"/>
    </w:rPr>
  </w:style>
  <w:style w:type="paragraph" w:styleId="Porat">
    <w:name w:val="footer"/>
    <w:basedOn w:val="prastasis"/>
    <w:link w:val="PoratDiagrama"/>
    <w:uiPriority w:val="99"/>
    <w:rsid w:val="00986560"/>
    <w:pPr>
      <w:tabs>
        <w:tab w:val="center" w:pos="4819"/>
        <w:tab w:val="right" w:pos="9638"/>
      </w:tabs>
    </w:pPr>
    <w:rPr>
      <w:lang w:eastAsia="lt-LT"/>
    </w:rPr>
  </w:style>
  <w:style w:type="character" w:customStyle="1" w:styleId="PoratDiagrama">
    <w:name w:val="Poraštė Diagrama"/>
    <w:link w:val="Porat"/>
    <w:uiPriority w:val="99"/>
    <w:locked/>
    <w:rsid w:val="00986560"/>
    <w:rPr>
      <w:sz w:val="24"/>
      <w:szCs w:val="24"/>
      <w:lang w:val="lt-LT" w:eastAsia="lt-LT" w:bidi="ar-SA"/>
    </w:rPr>
  </w:style>
  <w:style w:type="character" w:styleId="Puslapionumeris">
    <w:name w:val="page number"/>
    <w:rsid w:val="00986560"/>
    <w:rPr>
      <w:rFonts w:cs="Times New Roman"/>
    </w:rPr>
  </w:style>
  <w:style w:type="character" w:styleId="Hipersaitas">
    <w:name w:val="Hyperlink"/>
    <w:uiPriority w:val="99"/>
    <w:rsid w:val="00986560"/>
    <w:rPr>
      <w:color w:val="0000FF"/>
      <w:u w:val="single"/>
    </w:rPr>
  </w:style>
  <w:style w:type="paragraph" w:styleId="Debesliotekstas">
    <w:name w:val="Balloon Text"/>
    <w:basedOn w:val="prastasis"/>
    <w:semiHidden/>
    <w:rsid w:val="00986560"/>
    <w:rPr>
      <w:rFonts w:ascii="Tahoma" w:hAnsi="Tahoma"/>
      <w:sz w:val="16"/>
      <w:szCs w:val="16"/>
    </w:rPr>
  </w:style>
  <w:style w:type="character" w:styleId="Komentaronuoroda">
    <w:name w:val="annotation reference"/>
    <w:rsid w:val="00617EB6"/>
    <w:rPr>
      <w:sz w:val="16"/>
      <w:szCs w:val="16"/>
    </w:rPr>
  </w:style>
  <w:style w:type="paragraph" w:styleId="Komentarotekstas">
    <w:name w:val="annotation text"/>
    <w:basedOn w:val="prastasis"/>
    <w:link w:val="KomentarotekstasDiagrama"/>
    <w:rsid w:val="00617EB6"/>
    <w:rPr>
      <w:sz w:val="20"/>
      <w:szCs w:val="20"/>
    </w:rPr>
  </w:style>
  <w:style w:type="paragraph" w:styleId="Komentarotema">
    <w:name w:val="annotation subject"/>
    <w:basedOn w:val="Komentarotekstas"/>
    <w:next w:val="Komentarotekstas"/>
    <w:semiHidden/>
    <w:rsid w:val="00617EB6"/>
    <w:rPr>
      <w:b/>
      <w:bCs/>
    </w:rPr>
  </w:style>
  <w:style w:type="paragraph" w:styleId="Pagrindinistekstas">
    <w:name w:val="Body Text"/>
    <w:basedOn w:val="prastasis"/>
    <w:link w:val="PagrindinistekstasDiagrama"/>
    <w:rsid w:val="000A6BE7"/>
    <w:pPr>
      <w:spacing w:after="120"/>
    </w:pPr>
    <w:rPr>
      <w:lang w:val="x-none"/>
    </w:rPr>
  </w:style>
  <w:style w:type="character" w:customStyle="1" w:styleId="PagrindinistekstasDiagrama">
    <w:name w:val="Pagrindinis tekstas Diagrama"/>
    <w:link w:val="Pagrindinistekstas"/>
    <w:rsid w:val="000A6BE7"/>
    <w:rPr>
      <w:sz w:val="24"/>
      <w:szCs w:val="24"/>
      <w:lang w:eastAsia="en-US"/>
    </w:rPr>
  </w:style>
  <w:style w:type="paragraph" w:customStyle="1" w:styleId="ColorfulList-Accent11">
    <w:name w:val="Colorful List - Accent 11"/>
    <w:basedOn w:val="prastasis"/>
    <w:uiPriority w:val="72"/>
    <w:qFormat/>
    <w:rsid w:val="00F35725"/>
    <w:pPr>
      <w:ind w:left="720"/>
      <w:contextualSpacing/>
    </w:pPr>
  </w:style>
  <w:style w:type="character" w:customStyle="1" w:styleId="KomentarotekstasDiagrama">
    <w:name w:val="Komentaro tekstas Diagrama"/>
    <w:link w:val="Komentarotekstas"/>
    <w:rsid w:val="00EF1990"/>
    <w:rPr>
      <w:lang w:eastAsia="en-US"/>
    </w:rPr>
  </w:style>
  <w:style w:type="paragraph" w:styleId="Sraopastraipa">
    <w:name w:val="List Paragraph"/>
    <w:basedOn w:val="prastasis"/>
    <w:uiPriority w:val="34"/>
    <w:qFormat/>
    <w:rsid w:val="00EF654E"/>
    <w:pPr>
      <w:ind w:left="720"/>
      <w:contextualSpacing/>
    </w:pPr>
  </w:style>
  <w:style w:type="paragraph" w:customStyle="1" w:styleId="Default">
    <w:name w:val="Default"/>
    <w:rsid w:val="0051388B"/>
    <w:pPr>
      <w:autoSpaceDE w:val="0"/>
      <w:autoSpaceDN w:val="0"/>
      <w:adjustRightInd w:val="0"/>
    </w:pPr>
    <w:rPr>
      <w:color w:val="000000"/>
      <w:sz w:val="24"/>
      <w:szCs w:val="24"/>
      <w:lang w:val="en-US"/>
    </w:rPr>
  </w:style>
  <w:style w:type="paragraph" w:styleId="Antrats">
    <w:name w:val="header"/>
    <w:basedOn w:val="prastasis"/>
    <w:link w:val="AntratsDiagrama"/>
    <w:unhideWhenUsed/>
    <w:rsid w:val="003A7DB3"/>
    <w:pPr>
      <w:tabs>
        <w:tab w:val="center" w:pos="4986"/>
        <w:tab w:val="right" w:pos="9972"/>
      </w:tabs>
    </w:pPr>
  </w:style>
  <w:style w:type="character" w:customStyle="1" w:styleId="AntratsDiagrama">
    <w:name w:val="Antraštės Diagrama"/>
    <w:basedOn w:val="Numatytasispastraiposriftas"/>
    <w:link w:val="Antrats"/>
    <w:rsid w:val="003A7DB3"/>
    <w:rPr>
      <w:sz w:val="24"/>
      <w:szCs w:val="24"/>
      <w:lang w:eastAsia="en-US"/>
    </w:rPr>
  </w:style>
  <w:style w:type="character" w:styleId="Emfaz">
    <w:name w:val="Emphasis"/>
    <w:basedOn w:val="Numatytasispastraiposriftas"/>
    <w:uiPriority w:val="20"/>
    <w:qFormat/>
    <w:rsid w:val="00497B22"/>
    <w:rPr>
      <w:i/>
      <w:iCs/>
    </w:rPr>
  </w:style>
  <w:style w:type="character" w:customStyle="1" w:styleId="BTEMEASMCAChar">
    <w:name w:val="BT EMEA_SMCA Char"/>
    <w:basedOn w:val="Numatytasispastraiposriftas"/>
    <w:link w:val="BTEMEASMCA"/>
    <w:rsid w:val="002F50C6"/>
    <w:rPr>
      <w:sz w:val="22"/>
      <w:szCs w:val="22"/>
      <w:lang w:eastAsia="en-US"/>
    </w:rPr>
  </w:style>
  <w:style w:type="character" w:customStyle="1" w:styleId="jlqj4b">
    <w:name w:val="jlqj4b"/>
    <w:basedOn w:val="Numatytasispastraiposriftas"/>
    <w:rsid w:val="00C56814"/>
  </w:style>
  <w:style w:type="paragraph" w:styleId="Pataisymai">
    <w:name w:val="Revision"/>
    <w:hidden/>
    <w:uiPriority w:val="62"/>
    <w:unhideWhenUsed/>
    <w:rsid w:val="00AA5EE3"/>
    <w:rPr>
      <w:sz w:val="24"/>
      <w:szCs w:val="24"/>
      <w:lang w:eastAsia="en-US"/>
    </w:rPr>
  </w:style>
  <w:style w:type="character" w:styleId="Perirtashipersaitas">
    <w:name w:val="FollowedHyperlink"/>
    <w:basedOn w:val="Numatytasispastraiposriftas"/>
    <w:semiHidden/>
    <w:unhideWhenUsed/>
    <w:rsid w:val="00EB1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045873">
      <w:bodyDiv w:val="1"/>
      <w:marLeft w:val="0"/>
      <w:marRight w:val="0"/>
      <w:marTop w:val="0"/>
      <w:marBottom w:val="0"/>
      <w:divBdr>
        <w:top w:val="none" w:sz="0" w:space="0" w:color="auto"/>
        <w:left w:val="none" w:sz="0" w:space="0" w:color="auto"/>
        <w:bottom w:val="none" w:sz="0" w:space="0" w:color="auto"/>
        <w:right w:val="none" w:sz="0" w:space="0" w:color="auto"/>
      </w:divBdr>
      <w:divsChild>
        <w:div w:id="205878160">
          <w:marLeft w:val="0"/>
          <w:marRight w:val="0"/>
          <w:marTop w:val="100"/>
          <w:marBottom w:val="0"/>
          <w:divBdr>
            <w:top w:val="none" w:sz="0" w:space="0" w:color="auto"/>
            <w:left w:val="none" w:sz="0" w:space="0" w:color="auto"/>
            <w:bottom w:val="none" w:sz="0" w:space="0" w:color="auto"/>
            <w:right w:val="none" w:sz="0" w:space="0" w:color="auto"/>
          </w:divBdr>
          <w:divsChild>
            <w:div w:id="816728570">
              <w:marLeft w:val="0"/>
              <w:marRight w:val="0"/>
              <w:marTop w:val="60"/>
              <w:marBottom w:val="0"/>
              <w:divBdr>
                <w:top w:val="none" w:sz="0" w:space="0" w:color="auto"/>
                <w:left w:val="none" w:sz="0" w:space="0" w:color="auto"/>
                <w:bottom w:val="none" w:sz="0" w:space="0" w:color="auto"/>
                <w:right w:val="none" w:sz="0" w:space="0" w:color="auto"/>
              </w:divBdr>
            </w:div>
          </w:divsChild>
        </w:div>
        <w:div w:id="537163779">
          <w:marLeft w:val="0"/>
          <w:marRight w:val="0"/>
          <w:marTop w:val="0"/>
          <w:marBottom w:val="0"/>
          <w:divBdr>
            <w:top w:val="none" w:sz="0" w:space="0" w:color="auto"/>
            <w:left w:val="none" w:sz="0" w:space="0" w:color="auto"/>
            <w:bottom w:val="none" w:sz="0" w:space="0" w:color="auto"/>
            <w:right w:val="none" w:sz="0" w:space="0" w:color="auto"/>
          </w:divBdr>
          <w:divsChild>
            <w:div w:id="618293520">
              <w:marLeft w:val="0"/>
              <w:marRight w:val="0"/>
              <w:marTop w:val="0"/>
              <w:marBottom w:val="0"/>
              <w:divBdr>
                <w:top w:val="none" w:sz="0" w:space="0" w:color="auto"/>
                <w:left w:val="none" w:sz="0" w:space="0" w:color="auto"/>
                <w:bottom w:val="none" w:sz="0" w:space="0" w:color="auto"/>
                <w:right w:val="none" w:sz="0" w:space="0" w:color="auto"/>
              </w:divBdr>
              <w:divsChild>
                <w:div w:id="985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70060">
      <w:bodyDiv w:val="1"/>
      <w:marLeft w:val="0"/>
      <w:marRight w:val="0"/>
      <w:marTop w:val="0"/>
      <w:marBottom w:val="0"/>
      <w:divBdr>
        <w:top w:val="none" w:sz="0" w:space="0" w:color="auto"/>
        <w:left w:val="none" w:sz="0" w:space="0" w:color="auto"/>
        <w:bottom w:val="none" w:sz="0" w:space="0" w:color="auto"/>
        <w:right w:val="none" w:sz="0" w:space="0" w:color="auto"/>
      </w:divBdr>
    </w:div>
    <w:div w:id="861361619">
      <w:bodyDiv w:val="1"/>
      <w:marLeft w:val="0"/>
      <w:marRight w:val="0"/>
      <w:marTop w:val="0"/>
      <w:marBottom w:val="0"/>
      <w:divBdr>
        <w:top w:val="none" w:sz="0" w:space="0" w:color="auto"/>
        <w:left w:val="none" w:sz="0" w:space="0" w:color="auto"/>
        <w:bottom w:val="none" w:sz="0" w:space="0" w:color="auto"/>
        <w:right w:val="none" w:sz="0" w:space="0" w:color="auto"/>
      </w:divBdr>
    </w:div>
    <w:div w:id="1045518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4A757-EEA8-40B4-B1EB-824207011B13}">
  <ds:schemaRefs>
    <ds:schemaRef ds:uri="http://schemas.microsoft.com/sharepoint/v3/contenttype/forms"/>
  </ds:schemaRefs>
</ds:datastoreItem>
</file>

<file path=customXml/itemProps2.xml><?xml version="1.0" encoding="utf-8"?>
<ds:datastoreItem xmlns:ds="http://schemas.openxmlformats.org/officeDocument/2006/customXml" ds:itemID="{E4B67954-F9A7-47F8-9F0C-9D7D2732C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421B49-D95E-425F-91A1-BE6B96A958EF}">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26A12177-B0B0-4572-BB1D-77BBDC5E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8048</Words>
  <Characters>57387</Characters>
  <Application>Microsoft Office Word</Application>
  <DocSecurity>4</DocSecurity>
  <Lines>478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65305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Lithuanian</dc:creator>
  <cp:keywords/>
  <cp:lastModifiedBy>Albina Burkauskaitė</cp:lastModifiedBy>
  <cp:revision>2</cp:revision>
  <dcterms:created xsi:type="dcterms:W3CDTF">2024-01-02T11:05:00Z</dcterms:created>
  <dcterms:modified xsi:type="dcterms:W3CDTF">2024-01-02T11:05:00Z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