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0BC8" w14:textId="77777777" w:rsidR="00A31847" w:rsidRPr="00900CEC" w:rsidRDefault="00A31847" w:rsidP="00BA698D">
      <w:pPr>
        <w:tabs>
          <w:tab w:val="left" w:pos="-1440"/>
          <w:tab w:val="left" w:pos="-720"/>
        </w:tabs>
        <w:spacing w:line="240" w:lineRule="auto"/>
        <w:rPr>
          <w:b/>
          <w:szCs w:val="22"/>
          <w:lang w:val="lt-LT"/>
        </w:rPr>
      </w:pPr>
    </w:p>
    <w:p w14:paraId="7EC3BD1D" w14:textId="77777777" w:rsidR="00A31847" w:rsidRPr="00900CEC" w:rsidRDefault="00A31847" w:rsidP="00BA698D">
      <w:pPr>
        <w:tabs>
          <w:tab w:val="left" w:pos="-1440"/>
          <w:tab w:val="left" w:pos="-720"/>
        </w:tabs>
        <w:spacing w:line="240" w:lineRule="auto"/>
        <w:rPr>
          <w:b/>
          <w:szCs w:val="22"/>
          <w:lang w:val="lt-LT"/>
        </w:rPr>
      </w:pPr>
    </w:p>
    <w:p w14:paraId="363B00FB" w14:textId="77777777" w:rsidR="00A31847" w:rsidRPr="00900CEC" w:rsidRDefault="00A31847" w:rsidP="00BA698D">
      <w:pPr>
        <w:tabs>
          <w:tab w:val="left" w:pos="-1440"/>
          <w:tab w:val="left" w:pos="-720"/>
        </w:tabs>
        <w:spacing w:line="240" w:lineRule="auto"/>
        <w:rPr>
          <w:b/>
          <w:szCs w:val="22"/>
          <w:lang w:val="lt-LT"/>
        </w:rPr>
      </w:pPr>
    </w:p>
    <w:p w14:paraId="10A166B1" w14:textId="77777777" w:rsidR="00A31847" w:rsidRPr="00900CEC" w:rsidRDefault="00A31847" w:rsidP="00BA698D">
      <w:pPr>
        <w:tabs>
          <w:tab w:val="left" w:pos="-1440"/>
          <w:tab w:val="left" w:pos="-720"/>
        </w:tabs>
        <w:spacing w:line="240" w:lineRule="auto"/>
        <w:rPr>
          <w:b/>
          <w:szCs w:val="22"/>
          <w:lang w:val="lt-LT"/>
        </w:rPr>
      </w:pPr>
    </w:p>
    <w:p w14:paraId="1AED4F0C" w14:textId="77777777" w:rsidR="00A31847" w:rsidRPr="00900CEC" w:rsidRDefault="00A31847" w:rsidP="00BA698D">
      <w:pPr>
        <w:tabs>
          <w:tab w:val="left" w:pos="-1440"/>
          <w:tab w:val="left" w:pos="-720"/>
        </w:tabs>
        <w:spacing w:line="240" w:lineRule="auto"/>
        <w:rPr>
          <w:b/>
          <w:szCs w:val="22"/>
          <w:lang w:val="lt-LT"/>
        </w:rPr>
      </w:pPr>
    </w:p>
    <w:p w14:paraId="1CFE426C" w14:textId="77777777" w:rsidR="00A31847" w:rsidRPr="00900CEC" w:rsidRDefault="00A31847" w:rsidP="00BA698D">
      <w:pPr>
        <w:tabs>
          <w:tab w:val="left" w:pos="-1440"/>
          <w:tab w:val="left" w:pos="-720"/>
        </w:tabs>
        <w:spacing w:line="240" w:lineRule="auto"/>
        <w:rPr>
          <w:b/>
          <w:szCs w:val="22"/>
          <w:lang w:val="lt-LT"/>
        </w:rPr>
      </w:pPr>
    </w:p>
    <w:p w14:paraId="6146F283" w14:textId="77777777" w:rsidR="00A31847" w:rsidRPr="00900CEC" w:rsidRDefault="00A31847" w:rsidP="00BA698D">
      <w:pPr>
        <w:tabs>
          <w:tab w:val="left" w:pos="-1440"/>
          <w:tab w:val="left" w:pos="-720"/>
        </w:tabs>
        <w:spacing w:line="240" w:lineRule="auto"/>
        <w:rPr>
          <w:b/>
          <w:szCs w:val="22"/>
          <w:lang w:val="lt-LT"/>
        </w:rPr>
      </w:pPr>
    </w:p>
    <w:p w14:paraId="79D27E27" w14:textId="77777777" w:rsidR="00F34163" w:rsidRPr="00900CEC" w:rsidRDefault="00F34163" w:rsidP="00BA698D">
      <w:pPr>
        <w:tabs>
          <w:tab w:val="left" w:pos="-1440"/>
          <w:tab w:val="left" w:pos="-720"/>
        </w:tabs>
        <w:spacing w:line="240" w:lineRule="auto"/>
        <w:rPr>
          <w:b/>
          <w:szCs w:val="22"/>
          <w:lang w:val="lt-LT"/>
        </w:rPr>
      </w:pPr>
    </w:p>
    <w:p w14:paraId="1B3E93F5" w14:textId="77777777" w:rsidR="00F34163" w:rsidRPr="00900CEC" w:rsidRDefault="00F34163" w:rsidP="00BA698D">
      <w:pPr>
        <w:tabs>
          <w:tab w:val="left" w:pos="-1440"/>
          <w:tab w:val="left" w:pos="-720"/>
        </w:tabs>
        <w:spacing w:line="240" w:lineRule="auto"/>
        <w:rPr>
          <w:b/>
          <w:szCs w:val="22"/>
          <w:lang w:val="lt-LT"/>
        </w:rPr>
      </w:pPr>
    </w:p>
    <w:p w14:paraId="4ABEE629" w14:textId="77777777" w:rsidR="00F34163" w:rsidRPr="00900CEC" w:rsidRDefault="00F34163" w:rsidP="00BA698D">
      <w:pPr>
        <w:tabs>
          <w:tab w:val="left" w:pos="-1440"/>
          <w:tab w:val="left" w:pos="-720"/>
        </w:tabs>
        <w:spacing w:line="240" w:lineRule="auto"/>
        <w:rPr>
          <w:b/>
          <w:szCs w:val="22"/>
          <w:lang w:val="lt-LT"/>
        </w:rPr>
      </w:pPr>
    </w:p>
    <w:p w14:paraId="189089AA" w14:textId="77777777" w:rsidR="00F34163" w:rsidRPr="00900CEC" w:rsidRDefault="00F34163" w:rsidP="00BA698D">
      <w:pPr>
        <w:tabs>
          <w:tab w:val="left" w:pos="-1440"/>
          <w:tab w:val="left" w:pos="-720"/>
        </w:tabs>
        <w:spacing w:line="240" w:lineRule="auto"/>
        <w:rPr>
          <w:b/>
          <w:szCs w:val="22"/>
          <w:lang w:val="lt-LT"/>
        </w:rPr>
      </w:pPr>
    </w:p>
    <w:p w14:paraId="7BFDFF45" w14:textId="77777777" w:rsidR="00F34163" w:rsidRPr="00900CEC" w:rsidRDefault="00F34163" w:rsidP="00BA698D">
      <w:pPr>
        <w:tabs>
          <w:tab w:val="left" w:pos="-1440"/>
          <w:tab w:val="left" w:pos="-720"/>
        </w:tabs>
        <w:spacing w:line="240" w:lineRule="auto"/>
        <w:rPr>
          <w:b/>
          <w:szCs w:val="22"/>
          <w:lang w:val="lt-LT"/>
        </w:rPr>
      </w:pPr>
    </w:p>
    <w:p w14:paraId="5A36E2F7" w14:textId="77777777" w:rsidR="00F34163" w:rsidRPr="00900CEC" w:rsidRDefault="00F34163" w:rsidP="00BA698D">
      <w:pPr>
        <w:tabs>
          <w:tab w:val="left" w:pos="-1440"/>
          <w:tab w:val="left" w:pos="-720"/>
        </w:tabs>
        <w:spacing w:line="240" w:lineRule="auto"/>
        <w:rPr>
          <w:b/>
          <w:szCs w:val="22"/>
          <w:lang w:val="lt-LT"/>
        </w:rPr>
      </w:pPr>
    </w:p>
    <w:p w14:paraId="06AE02F6" w14:textId="77777777" w:rsidR="00F34163" w:rsidRPr="00900CEC" w:rsidRDefault="00F34163" w:rsidP="00BA698D">
      <w:pPr>
        <w:tabs>
          <w:tab w:val="left" w:pos="-1440"/>
          <w:tab w:val="left" w:pos="-720"/>
        </w:tabs>
        <w:spacing w:line="240" w:lineRule="auto"/>
        <w:rPr>
          <w:b/>
          <w:szCs w:val="22"/>
          <w:lang w:val="lt-LT"/>
        </w:rPr>
      </w:pPr>
    </w:p>
    <w:p w14:paraId="5CB45A0D" w14:textId="77777777" w:rsidR="00F34163" w:rsidRPr="00900CEC" w:rsidRDefault="00F34163" w:rsidP="00BA698D">
      <w:pPr>
        <w:tabs>
          <w:tab w:val="left" w:pos="-1440"/>
          <w:tab w:val="left" w:pos="-720"/>
        </w:tabs>
        <w:spacing w:line="240" w:lineRule="auto"/>
        <w:rPr>
          <w:b/>
          <w:szCs w:val="22"/>
          <w:lang w:val="lt-LT"/>
        </w:rPr>
      </w:pPr>
    </w:p>
    <w:p w14:paraId="0DEF97E4" w14:textId="77777777" w:rsidR="00F34163" w:rsidRPr="00900CEC" w:rsidRDefault="00F34163" w:rsidP="00BA698D">
      <w:pPr>
        <w:tabs>
          <w:tab w:val="left" w:pos="-1440"/>
          <w:tab w:val="left" w:pos="-720"/>
        </w:tabs>
        <w:spacing w:line="240" w:lineRule="auto"/>
        <w:rPr>
          <w:b/>
          <w:szCs w:val="22"/>
          <w:lang w:val="lt-LT"/>
        </w:rPr>
      </w:pPr>
    </w:p>
    <w:p w14:paraId="3BA2C046" w14:textId="77777777" w:rsidR="00F34163" w:rsidRPr="00900CEC" w:rsidRDefault="00F34163" w:rsidP="00BA698D">
      <w:pPr>
        <w:tabs>
          <w:tab w:val="left" w:pos="-1440"/>
          <w:tab w:val="left" w:pos="-720"/>
        </w:tabs>
        <w:spacing w:line="240" w:lineRule="auto"/>
        <w:rPr>
          <w:b/>
          <w:szCs w:val="22"/>
          <w:lang w:val="lt-LT"/>
        </w:rPr>
      </w:pPr>
    </w:p>
    <w:p w14:paraId="6DB70AFA" w14:textId="77777777" w:rsidR="00A31847" w:rsidRPr="00900CEC" w:rsidRDefault="00A31847" w:rsidP="00BA698D">
      <w:pPr>
        <w:tabs>
          <w:tab w:val="left" w:pos="-1440"/>
          <w:tab w:val="left" w:pos="-720"/>
        </w:tabs>
        <w:spacing w:line="240" w:lineRule="auto"/>
        <w:rPr>
          <w:b/>
          <w:szCs w:val="22"/>
          <w:lang w:val="lt-LT"/>
        </w:rPr>
      </w:pPr>
    </w:p>
    <w:p w14:paraId="222D18F3" w14:textId="77777777" w:rsidR="00A31847" w:rsidRPr="00900CEC" w:rsidRDefault="00A31847" w:rsidP="00BA698D">
      <w:pPr>
        <w:tabs>
          <w:tab w:val="left" w:pos="-1440"/>
          <w:tab w:val="left" w:pos="-720"/>
        </w:tabs>
        <w:spacing w:line="240" w:lineRule="auto"/>
        <w:rPr>
          <w:b/>
          <w:szCs w:val="22"/>
          <w:lang w:val="lt-LT"/>
        </w:rPr>
      </w:pPr>
    </w:p>
    <w:p w14:paraId="3722ED22" w14:textId="77777777" w:rsidR="00F34163" w:rsidRPr="00900CEC" w:rsidRDefault="00F34163" w:rsidP="00BA698D">
      <w:pPr>
        <w:tabs>
          <w:tab w:val="left" w:pos="-1440"/>
          <w:tab w:val="left" w:pos="-720"/>
        </w:tabs>
        <w:spacing w:line="240" w:lineRule="auto"/>
        <w:rPr>
          <w:b/>
          <w:szCs w:val="22"/>
          <w:lang w:val="lt-LT"/>
        </w:rPr>
      </w:pPr>
    </w:p>
    <w:p w14:paraId="51EFF66F" w14:textId="77777777" w:rsidR="00EA03B1" w:rsidRPr="00900CEC" w:rsidRDefault="00EA03B1" w:rsidP="00BA698D">
      <w:pPr>
        <w:pStyle w:val="Antrat2"/>
        <w:spacing w:before="0" w:after="0" w:line="240" w:lineRule="auto"/>
        <w:jc w:val="center"/>
        <w:rPr>
          <w:rFonts w:ascii="Times New Roman" w:hAnsi="Times New Roman"/>
          <w:i w:val="0"/>
          <w:sz w:val="22"/>
          <w:szCs w:val="22"/>
          <w:lang w:val="lt-LT"/>
        </w:rPr>
      </w:pPr>
    </w:p>
    <w:p w14:paraId="7DCDEC4B" w14:textId="77777777" w:rsidR="00EA03B1" w:rsidRPr="00900CEC" w:rsidRDefault="00EA03B1" w:rsidP="00BA698D">
      <w:pPr>
        <w:pStyle w:val="Antrat2"/>
        <w:spacing w:before="0" w:after="0" w:line="240" w:lineRule="auto"/>
        <w:jc w:val="center"/>
        <w:rPr>
          <w:rFonts w:ascii="Times New Roman" w:hAnsi="Times New Roman"/>
          <w:i w:val="0"/>
          <w:sz w:val="22"/>
          <w:szCs w:val="22"/>
          <w:lang w:val="lt-LT"/>
        </w:rPr>
      </w:pPr>
    </w:p>
    <w:p w14:paraId="5FEEEFA2" w14:textId="77777777" w:rsidR="00EA03B1" w:rsidRPr="00900CEC" w:rsidRDefault="00EA03B1" w:rsidP="00BA698D">
      <w:pPr>
        <w:pStyle w:val="Antrat2"/>
        <w:spacing w:before="0" w:after="0" w:line="240" w:lineRule="auto"/>
        <w:jc w:val="center"/>
        <w:rPr>
          <w:rFonts w:ascii="Times New Roman" w:hAnsi="Times New Roman"/>
          <w:i w:val="0"/>
          <w:sz w:val="22"/>
          <w:szCs w:val="22"/>
          <w:lang w:val="lt-LT"/>
        </w:rPr>
      </w:pPr>
    </w:p>
    <w:p w14:paraId="6C6BF363" w14:textId="77777777" w:rsidR="00F34163" w:rsidRPr="00900CEC" w:rsidRDefault="00F34163" w:rsidP="00BA698D">
      <w:pPr>
        <w:pStyle w:val="Antrat2"/>
        <w:spacing w:before="0" w:after="0" w:line="240" w:lineRule="auto"/>
        <w:jc w:val="center"/>
        <w:rPr>
          <w:rFonts w:ascii="Times New Roman" w:hAnsi="Times New Roman"/>
          <w:bCs w:val="0"/>
          <w:i w:val="0"/>
          <w:iCs w:val="0"/>
          <w:sz w:val="22"/>
          <w:szCs w:val="22"/>
          <w:lang w:val="lt-LT"/>
        </w:rPr>
      </w:pPr>
      <w:r w:rsidRPr="00900CEC">
        <w:rPr>
          <w:rFonts w:ascii="Times New Roman" w:hAnsi="Times New Roman"/>
          <w:i w:val="0"/>
          <w:sz w:val="22"/>
          <w:szCs w:val="22"/>
          <w:lang w:val="lt-LT"/>
        </w:rPr>
        <w:t>I PRIEDAS</w:t>
      </w:r>
    </w:p>
    <w:p w14:paraId="04651F7E" w14:textId="77777777" w:rsidR="00F34163" w:rsidRPr="00900CEC" w:rsidRDefault="00F34163" w:rsidP="00BA698D">
      <w:pPr>
        <w:spacing w:line="240" w:lineRule="auto"/>
        <w:rPr>
          <w:szCs w:val="22"/>
          <w:lang w:val="lt-LT"/>
        </w:rPr>
      </w:pPr>
    </w:p>
    <w:p w14:paraId="3675E86F" w14:textId="77777777" w:rsidR="00F34163" w:rsidRPr="00900CEC" w:rsidRDefault="00F34163" w:rsidP="00BA698D">
      <w:pPr>
        <w:tabs>
          <w:tab w:val="left" w:pos="-1440"/>
          <w:tab w:val="left" w:pos="-720"/>
        </w:tabs>
        <w:spacing w:line="240" w:lineRule="auto"/>
        <w:jc w:val="center"/>
        <w:rPr>
          <w:b/>
          <w:szCs w:val="22"/>
          <w:lang w:val="lt-LT"/>
        </w:rPr>
      </w:pPr>
      <w:r w:rsidRPr="00900CEC">
        <w:rPr>
          <w:b/>
          <w:szCs w:val="22"/>
          <w:lang w:val="lt-LT"/>
        </w:rPr>
        <w:t>PREPARATO CHARAKTERISTIKŲ SANTRAUKA</w:t>
      </w:r>
    </w:p>
    <w:p w14:paraId="6462C4FC" w14:textId="77777777" w:rsidR="00F34163" w:rsidRPr="00900CEC" w:rsidRDefault="00F34163" w:rsidP="00BA698D">
      <w:pPr>
        <w:tabs>
          <w:tab w:val="left" w:pos="-1440"/>
          <w:tab w:val="left" w:pos="-720"/>
        </w:tabs>
        <w:spacing w:line="240" w:lineRule="auto"/>
        <w:jc w:val="center"/>
        <w:rPr>
          <w:szCs w:val="22"/>
          <w:lang w:val="lt-LT"/>
        </w:rPr>
      </w:pPr>
      <w:r w:rsidRPr="00900CEC">
        <w:rPr>
          <w:szCs w:val="22"/>
          <w:lang w:val="lt-LT" w:eastAsia="zh-CN"/>
        </w:rPr>
        <w:br w:type="page"/>
      </w:r>
    </w:p>
    <w:p w14:paraId="0D6389A0" w14:textId="13D8F665" w:rsidR="00F51FBD" w:rsidRPr="00900CEC" w:rsidRDefault="00F34163" w:rsidP="00F51FBD">
      <w:pPr>
        <w:pStyle w:val="Antrat3"/>
        <w:spacing w:before="0" w:after="0" w:line="240" w:lineRule="auto"/>
        <w:rPr>
          <w:rFonts w:ascii="Times New Roman" w:hAnsi="Times New Roman"/>
          <w:sz w:val="22"/>
          <w:szCs w:val="22"/>
          <w:lang w:val="lt-LT"/>
        </w:rPr>
      </w:pPr>
      <w:r w:rsidRPr="00900CEC">
        <w:rPr>
          <w:rFonts w:ascii="Times New Roman" w:hAnsi="Times New Roman"/>
          <w:sz w:val="22"/>
          <w:szCs w:val="22"/>
          <w:lang w:val="lt-LT"/>
        </w:rPr>
        <w:lastRenderedPageBreak/>
        <w:t>1.</w:t>
      </w:r>
      <w:r w:rsidRPr="00900CEC">
        <w:rPr>
          <w:rFonts w:ascii="Times New Roman" w:hAnsi="Times New Roman"/>
          <w:sz w:val="22"/>
          <w:szCs w:val="22"/>
          <w:lang w:val="lt-LT"/>
        </w:rPr>
        <w:tab/>
      </w:r>
      <w:r w:rsidR="00F51FBD" w:rsidRPr="00900CEC">
        <w:rPr>
          <w:rFonts w:ascii="Times New Roman" w:hAnsi="Times New Roman"/>
          <w:sz w:val="22"/>
          <w:szCs w:val="22"/>
          <w:lang w:val="lt-LT"/>
        </w:rPr>
        <w:t>VAISTINIO PREPARATO PAVADINIMAS</w:t>
      </w:r>
    </w:p>
    <w:p w14:paraId="3EA36AA9" w14:textId="77777777" w:rsidR="00F51FBD" w:rsidRPr="00900CEC" w:rsidRDefault="00F51FBD" w:rsidP="00F51FBD">
      <w:pPr>
        <w:spacing w:line="240" w:lineRule="auto"/>
        <w:rPr>
          <w:szCs w:val="22"/>
          <w:lang w:val="lt-LT"/>
        </w:rPr>
      </w:pPr>
    </w:p>
    <w:p w14:paraId="1E3FB455" w14:textId="1F06A7F6" w:rsidR="00F51FBD" w:rsidRPr="00900CEC" w:rsidRDefault="006A24B2" w:rsidP="00F51FBD">
      <w:pPr>
        <w:tabs>
          <w:tab w:val="center" w:pos="4535"/>
        </w:tabs>
        <w:spacing w:line="240" w:lineRule="auto"/>
        <w:rPr>
          <w:snapToGrid/>
          <w:szCs w:val="22"/>
          <w:lang w:val="lt-LT"/>
        </w:rPr>
      </w:pPr>
      <w:proofErr w:type="spellStart"/>
      <w:r>
        <w:rPr>
          <w:snapToGrid/>
          <w:szCs w:val="22"/>
          <w:lang w:val="lt-LT"/>
        </w:rPr>
        <w:t>Paracetamol</w:t>
      </w:r>
      <w:proofErr w:type="spellEnd"/>
      <w:r>
        <w:rPr>
          <w:snapToGrid/>
          <w:szCs w:val="22"/>
          <w:lang w:val="lt-LT"/>
        </w:rPr>
        <w:t>/</w:t>
      </w:r>
      <w:proofErr w:type="spellStart"/>
      <w:r>
        <w:rPr>
          <w:snapToGrid/>
          <w:szCs w:val="22"/>
          <w:lang w:val="lt-LT"/>
        </w:rPr>
        <w:t>Ibuprofen</w:t>
      </w:r>
      <w:proofErr w:type="spellEnd"/>
      <w:r>
        <w:rPr>
          <w:snapToGrid/>
          <w:szCs w:val="22"/>
          <w:lang w:val="lt-LT"/>
        </w:rPr>
        <w:t xml:space="preserve"> AFT </w:t>
      </w:r>
      <w:proofErr w:type="spellStart"/>
      <w:r>
        <w:rPr>
          <w:snapToGrid/>
          <w:szCs w:val="22"/>
          <w:lang w:val="lt-LT"/>
        </w:rPr>
        <w:t>Pharmaceuticals</w:t>
      </w:r>
      <w:proofErr w:type="spellEnd"/>
      <w:r w:rsidR="00F51FBD">
        <w:rPr>
          <w:snapToGrid/>
          <w:szCs w:val="22"/>
          <w:lang w:val="lt-LT"/>
        </w:rPr>
        <w:t xml:space="preserve"> 10</w:t>
      </w:r>
      <w:r w:rsidR="008B2E65">
        <w:rPr>
          <w:snapToGrid/>
          <w:szCs w:val="22"/>
          <w:lang w:val="lt-LT"/>
        </w:rPr>
        <w:t> </w:t>
      </w:r>
      <w:r w:rsidR="00F51FBD">
        <w:rPr>
          <w:snapToGrid/>
          <w:szCs w:val="22"/>
          <w:lang w:val="lt-LT"/>
        </w:rPr>
        <w:t>mg/3</w:t>
      </w:r>
      <w:r w:rsidR="008B2E65">
        <w:rPr>
          <w:snapToGrid/>
          <w:szCs w:val="22"/>
          <w:lang w:val="lt-LT"/>
        </w:rPr>
        <w:t> </w:t>
      </w:r>
      <w:r w:rsidR="00F51FBD">
        <w:rPr>
          <w:snapToGrid/>
          <w:szCs w:val="22"/>
          <w:lang w:val="lt-LT"/>
        </w:rPr>
        <w:t>mg/ml infuzinis tirpalas</w:t>
      </w:r>
    </w:p>
    <w:p w14:paraId="0CF5D9AE" w14:textId="77777777" w:rsidR="00F51FBD" w:rsidRPr="00900CEC" w:rsidRDefault="00F51FBD" w:rsidP="00F51FBD">
      <w:pPr>
        <w:spacing w:line="240" w:lineRule="auto"/>
        <w:rPr>
          <w:szCs w:val="22"/>
          <w:lang w:val="lt-LT"/>
        </w:rPr>
      </w:pPr>
    </w:p>
    <w:p w14:paraId="4EAC8F8C" w14:textId="77777777" w:rsidR="00F51FBD" w:rsidRPr="00900CEC" w:rsidRDefault="00F51FBD" w:rsidP="00F51FBD">
      <w:pPr>
        <w:spacing w:line="240" w:lineRule="auto"/>
        <w:rPr>
          <w:szCs w:val="22"/>
          <w:lang w:val="lt-LT"/>
        </w:rPr>
      </w:pPr>
    </w:p>
    <w:p w14:paraId="4D0BD58F" w14:textId="77777777" w:rsidR="00F51FBD" w:rsidRPr="00900CEC" w:rsidRDefault="00F51FBD" w:rsidP="00F51FBD">
      <w:pPr>
        <w:pStyle w:val="Antrat3"/>
        <w:spacing w:before="0" w:after="0" w:line="240" w:lineRule="auto"/>
        <w:rPr>
          <w:rFonts w:ascii="Times New Roman" w:hAnsi="Times New Roman"/>
          <w:sz w:val="22"/>
          <w:szCs w:val="22"/>
          <w:lang w:val="lt-LT"/>
        </w:rPr>
      </w:pPr>
      <w:r w:rsidRPr="00900CEC">
        <w:rPr>
          <w:rFonts w:ascii="Times New Roman" w:hAnsi="Times New Roman"/>
          <w:sz w:val="22"/>
          <w:szCs w:val="22"/>
          <w:lang w:val="lt-LT"/>
        </w:rPr>
        <w:t>2.</w:t>
      </w:r>
      <w:r w:rsidRPr="00900CEC">
        <w:rPr>
          <w:rFonts w:ascii="Times New Roman" w:hAnsi="Times New Roman"/>
          <w:sz w:val="22"/>
          <w:szCs w:val="22"/>
          <w:lang w:val="lt-LT"/>
        </w:rPr>
        <w:tab/>
        <w:t>KOKYBINĖ IR KIEKYBINĖ SUDĖTIS</w:t>
      </w:r>
    </w:p>
    <w:p w14:paraId="5A0CB7C6" w14:textId="77777777" w:rsidR="00F51FBD" w:rsidRPr="00900CEC" w:rsidRDefault="00F51FBD" w:rsidP="00F51FBD">
      <w:pPr>
        <w:spacing w:line="240" w:lineRule="auto"/>
        <w:rPr>
          <w:szCs w:val="22"/>
          <w:lang w:val="lt-LT"/>
        </w:rPr>
      </w:pPr>
    </w:p>
    <w:p w14:paraId="34F30531" w14:textId="77777777" w:rsidR="00F51FBD" w:rsidRPr="00900CEC" w:rsidRDefault="00F51FBD" w:rsidP="00F51FBD">
      <w:pPr>
        <w:spacing w:line="240" w:lineRule="auto"/>
        <w:rPr>
          <w:szCs w:val="22"/>
          <w:lang w:val="lt-LT"/>
        </w:rPr>
      </w:pPr>
      <w:r>
        <w:rPr>
          <w:szCs w:val="22"/>
          <w:lang w:val="lt-LT"/>
        </w:rPr>
        <w:t>Kiekv</w:t>
      </w:r>
      <w:r w:rsidRPr="00900CEC">
        <w:rPr>
          <w:szCs w:val="22"/>
          <w:lang w:val="lt-LT"/>
        </w:rPr>
        <w:t xml:space="preserve">iename ml </w:t>
      </w:r>
      <w:r>
        <w:rPr>
          <w:szCs w:val="22"/>
          <w:lang w:val="lt-LT"/>
        </w:rPr>
        <w:t xml:space="preserve">tirpalo </w:t>
      </w:r>
      <w:r w:rsidRPr="00900CEC">
        <w:rPr>
          <w:szCs w:val="22"/>
          <w:lang w:val="lt-LT"/>
        </w:rPr>
        <w:t xml:space="preserve">yra 10 mg paracetamolio ir </w:t>
      </w:r>
      <w:r>
        <w:rPr>
          <w:szCs w:val="22"/>
          <w:lang w:val="lt-LT"/>
        </w:rPr>
        <w:t>3</w:t>
      </w:r>
      <w:r w:rsidRPr="00900CEC">
        <w:rPr>
          <w:szCs w:val="22"/>
          <w:lang w:val="lt-LT"/>
        </w:rPr>
        <w:t> </w:t>
      </w:r>
      <w:r>
        <w:rPr>
          <w:szCs w:val="22"/>
          <w:lang w:val="lt-LT"/>
        </w:rPr>
        <w:t xml:space="preserve">mg </w:t>
      </w:r>
      <w:proofErr w:type="spellStart"/>
      <w:r>
        <w:rPr>
          <w:szCs w:val="22"/>
          <w:lang w:val="lt-LT"/>
        </w:rPr>
        <w:t>ibuprofeno</w:t>
      </w:r>
      <w:proofErr w:type="spellEnd"/>
      <w:r>
        <w:rPr>
          <w:szCs w:val="22"/>
          <w:lang w:val="lt-LT"/>
        </w:rPr>
        <w:t xml:space="preserve"> (</w:t>
      </w:r>
      <w:proofErr w:type="spellStart"/>
      <w:r w:rsidRPr="00900CEC">
        <w:rPr>
          <w:szCs w:val="22"/>
          <w:lang w:val="lt-LT"/>
        </w:rPr>
        <w:t>ibuprofeno</w:t>
      </w:r>
      <w:proofErr w:type="spellEnd"/>
      <w:r w:rsidRPr="00900CEC">
        <w:rPr>
          <w:szCs w:val="22"/>
          <w:lang w:val="lt-LT"/>
        </w:rPr>
        <w:t xml:space="preserve"> natrio druskos </w:t>
      </w:r>
      <w:proofErr w:type="spellStart"/>
      <w:r w:rsidRPr="005B4804">
        <w:rPr>
          <w:szCs w:val="22"/>
          <w:lang w:val="lt-LT"/>
        </w:rPr>
        <w:t>dihidrato</w:t>
      </w:r>
      <w:proofErr w:type="spellEnd"/>
      <w:r w:rsidRPr="00C060EC">
        <w:rPr>
          <w:szCs w:val="22"/>
          <w:lang w:val="lt-LT"/>
        </w:rPr>
        <w:t xml:space="preserve"> pavidalu)</w:t>
      </w:r>
      <w:r>
        <w:rPr>
          <w:szCs w:val="22"/>
          <w:lang w:val="lt-LT"/>
        </w:rPr>
        <w:t>.</w:t>
      </w:r>
    </w:p>
    <w:p w14:paraId="6A1AEF9B" w14:textId="77777777" w:rsidR="00F51FBD" w:rsidRPr="00900CEC" w:rsidRDefault="00F51FBD" w:rsidP="00F51FBD">
      <w:pPr>
        <w:spacing w:line="240" w:lineRule="auto"/>
        <w:rPr>
          <w:szCs w:val="22"/>
          <w:lang w:val="lt-LT"/>
        </w:rPr>
      </w:pPr>
    </w:p>
    <w:p w14:paraId="2667001A" w14:textId="77777777" w:rsidR="00F51FBD" w:rsidRPr="00900CEC" w:rsidRDefault="00F51FBD" w:rsidP="00F51FBD">
      <w:pPr>
        <w:spacing w:line="240" w:lineRule="auto"/>
        <w:rPr>
          <w:szCs w:val="22"/>
          <w:lang w:val="lt-LT"/>
        </w:rPr>
      </w:pPr>
      <w:r w:rsidRPr="00900CEC">
        <w:rPr>
          <w:szCs w:val="22"/>
          <w:u w:val="single"/>
          <w:lang w:val="lt-LT"/>
        </w:rPr>
        <w:t>Pagalbinė medžiaga, kurios poveikis žinomas</w:t>
      </w:r>
    </w:p>
    <w:p w14:paraId="587BA369" w14:textId="77777777" w:rsidR="00F51FBD" w:rsidRPr="00900CEC" w:rsidRDefault="00F51FBD" w:rsidP="00F51FBD">
      <w:pPr>
        <w:spacing w:line="240" w:lineRule="auto"/>
        <w:rPr>
          <w:szCs w:val="22"/>
          <w:lang w:val="lt-LT"/>
        </w:rPr>
      </w:pPr>
      <w:r w:rsidRPr="00900CEC">
        <w:rPr>
          <w:szCs w:val="22"/>
          <w:lang w:val="lt-LT"/>
        </w:rPr>
        <w:t>Natris 35 mg</w:t>
      </w:r>
      <w:r>
        <w:rPr>
          <w:szCs w:val="22"/>
          <w:lang w:val="lt-LT"/>
        </w:rPr>
        <w:t>/</w:t>
      </w:r>
      <w:r w:rsidRPr="00900CEC">
        <w:rPr>
          <w:szCs w:val="22"/>
          <w:lang w:val="lt-LT"/>
        </w:rPr>
        <w:t>100 ml (0,35 mg/ml).</w:t>
      </w:r>
    </w:p>
    <w:p w14:paraId="1A38D54E" w14:textId="77777777" w:rsidR="00F51FBD" w:rsidRPr="00900CEC" w:rsidRDefault="00F51FBD" w:rsidP="00F51FBD">
      <w:pPr>
        <w:spacing w:line="240" w:lineRule="auto"/>
        <w:rPr>
          <w:szCs w:val="22"/>
          <w:lang w:val="lt-LT"/>
        </w:rPr>
      </w:pPr>
    </w:p>
    <w:p w14:paraId="115BC2DE" w14:textId="5D6656E4" w:rsidR="00F51FBD" w:rsidRPr="00900CEC" w:rsidRDefault="00F51FBD" w:rsidP="00F51FBD">
      <w:pPr>
        <w:spacing w:line="240" w:lineRule="auto"/>
        <w:rPr>
          <w:szCs w:val="22"/>
          <w:lang w:val="lt-LT"/>
        </w:rPr>
      </w:pPr>
      <w:r w:rsidRPr="00900CEC">
        <w:rPr>
          <w:szCs w:val="22"/>
          <w:lang w:val="lt-LT"/>
        </w:rPr>
        <w:t>Visos pagalbinės medžiagos išvardytos 6.1</w:t>
      </w:r>
      <w:r w:rsidR="008B2E65">
        <w:rPr>
          <w:szCs w:val="22"/>
          <w:lang w:val="lt-LT"/>
        </w:rPr>
        <w:t> </w:t>
      </w:r>
      <w:r w:rsidRPr="00900CEC">
        <w:rPr>
          <w:szCs w:val="22"/>
          <w:lang w:val="lt-LT"/>
        </w:rPr>
        <w:t>skyriuje.</w:t>
      </w:r>
    </w:p>
    <w:p w14:paraId="084F749A" w14:textId="77777777" w:rsidR="00F51FBD" w:rsidRPr="00900CEC" w:rsidRDefault="00F51FBD" w:rsidP="00F51FBD">
      <w:pPr>
        <w:spacing w:line="240" w:lineRule="auto"/>
        <w:rPr>
          <w:szCs w:val="22"/>
          <w:lang w:val="lt-LT"/>
        </w:rPr>
      </w:pPr>
    </w:p>
    <w:p w14:paraId="6B38E307" w14:textId="77777777" w:rsidR="00F51FBD" w:rsidRPr="00900CEC" w:rsidRDefault="00F51FBD" w:rsidP="00F51FBD">
      <w:pPr>
        <w:spacing w:line="240" w:lineRule="auto"/>
        <w:rPr>
          <w:szCs w:val="22"/>
          <w:lang w:val="lt-LT"/>
        </w:rPr>
      </w:pPr>
    </w:p>
    <w:p w14:paraId="006A6E65" w14:textId="77777777" w:rsidR="00F51FBD" w:rsidRPr="00900CEC" w:rsidRDefault="00F51FBD" w:rsidP="00F51FBD">
      <w:pPr>
        <w:pStyle w:val="Antrat3"/>
        <w:spacing w:before="0" w:after="0" w:line="240" w:lineRule="auto"/>
        <w:rPr>
          <w:rFonts w:ascii="Times New Roman" w:hAnsi="Times New Roman"/>
          <w:sz w:val="22"/>
          <w:szCs w:val="22"/>
          <w:lang w:val="lt-LT"/>
        </w:rPr>
      </w:pPr>
      <w:r w:rsidRPr="00900CEC">
        <w:rPr>
          <w:rFonts w:ascii="Times New Roman" w:hAnsi="Times New Roman"/>
          <w:sz w:val="22"/>
          <w:szCs w:val="22"/>
          <w:lang w:val="lt-LT"/>
        </w:rPr>
        <w:t>3.</w:t>
      </w:r>
      <w:r w:rsidRPr="00900CEC">
        <w:rPr>
          <w:rFonts w:ascii="Times New Roman" w:hAnsi="Times New Roman"/>
          <w:sz w:val="22"/>
          <w:szCs w:val="22"/>
          <w:lang w:val="lt-LT"/>
        </w:rPr>
        <w:tab/>
        <w:t>FARMACINĖ FORMA</w:t>
      </w:r>
    </w:p>
    <w:p w14:paraId="0E19CD12" w14:textId="77777777" w:rsidR="00F51FBD" w:rsidRPr="00900CEC" w:rsidRDefault="00F51FBD" w:rsidP="00F51FBD">
      <w:pPr>
        <w:spacing w:line="240" w:lineRule="auto"/>
        <w:rPr>
          <w:szCs w:val="22"/>
          <w:lang w:val="lt-LT"/>
        </w:rPr>
      </w:pPr>
    </w:p>
    <w:p w14:paraId="0EDCDDBF" w14:textId="77777777" w:rsidR="00F51FBD" w:rsidRPr="00900CEC" w:rsidRDefault="00F51FBD" w:rsidP="00F51FBD">
      <w:pPr>
        <w:spacing w:line="240" w:lineRule="auto"/>
        <w:rPr>
          <w:szCs w:val="22"/>
          <w:lang w:val="lt-LT"/>
        </w:rPr>
      </w:pPr>
      <w:r w:rsidRPr="00900CEC">
        <w:rPr>
          <w:szCs w:val="22"/>
          <w:lang w:val="lt-LT"/>
        </w:rPr>
        <w:t>Infuzinis tirpalas.</w:t>
      </w:r>
    </w:p>
    <w:p w14:paraId="4A339BD3" w14:textId="3A205074" w:rsidR="00F51FBD" w:rsidRPr="00900CEC" w:rsidRDefault="00F51FBD" w:rsidP="00F51FBD">
      <w:pPr>
        <w:spacing w:line="240" w:lineRule="auto"/>
        <w:rPr>
          <w:szCs w:val="22"/>
          <w:lang w:val="lt-LT"/>
        </w:rPr>
      </w:pPr>
      <w:r w:rsidRPr="00900CEC">
        <w:rPr>
          <w:szCs w:val="22"/>
          <w:lang w:val="lt-LT"/>
        </w:rPr>
        <w:t xml:space="preserve">Skaidrus bespalvis tirpalas, praktiškai be matomų dalelių, kurio pH yra 6,3–7,3, o </w:t>
      </w:r>
      <w:proofErr w:type="spellStart"/>
      <w:r w:rsidRPr="00900CEC">
        <w:rPr>
          <w:szCs w:val="22"/>
          <w:lang w:val="lt-LT"/>
        </w:rPr>
        <w:t>osmoliališkumas</w:t>
      </w:r>
      <w:proofErr w:type="spellEnd"/>
      <w:r w:rsidRPr="00900CEC">
        <w:rPr>
          <w:szCs w:val="22"/>
          <w:lang w:val="lt-LT"/>
        </w:rPr>
        <w:t xml:space="preserve"> – 285–320</w:t>
      </w:r>
      <w:r w:rsidR="008B2E65">
        <w:rPr>
          <w:szCs w:val="22"/>
          <w:lang w:val="lt-LT"/>
        </w:rPr>
        <w:t> </w:t>
      </w:r>
      <w:proofErr w:type="spellStart"/>
      <w:r w:rsidRPr="00900CEC">
        <w:rPr>
          <w:szCs w:val="22"/>
          <w:lang w:val="lt-LT"/>
        </w:rPr>
        <w:t>mOsm</w:t>
      </w:r>
      <w:proofErr w:type="spellEnd"/>
      <w:r w:rsidRPr="00900CEC">
        <w:rPr>
          <w:szCs w:val="22"/>
          <w:lang w:val="lt-LT"/>
        </w:rPr>
        <w:t>/kg.</w:t>
      </w:r>
    </w:p>
    <w:p w14:paraId="38EDCF06" w14:textId="77777777" w:rsidR="00F51FBD" w:rsidRPr="00900CEC" w:rsidRDefault="00F51FBD" w:rsidP="00F51FBD">
      <w:pPr>
        <w:spacing w:line="240" w:lineRule="auto"/>
        <w:rPr>
          <w:szCs w:val="22"/>
          <w:lang w:val="lt-LT"/>
        </w:rPr>
      </w:pPr>
    </w:p>
    <w:p w14:paraId="162BE16A" w14:textId="77777777" w:rsidR="00F51FBD" w:rsidRPr="00900CEC" w:rsidRDefault="00F51FBD" w:rsidP="00F51FBD">
      <w:pPr>
        <w:spacing w:line="240" w:lineRule="auto"/>
        <w:rPr>
          <w:szCs w:val="22"/>
          <w:lang w:val="lt-LT"/>
        </w:rPr>
      </w:pPr>
    </w:p>
    <w:p w14:paraId="2C7356E2" w14:textId="77777777" w:rsidR="00F51FBD" w:rsidRPr="00900CEC" w:rsidRDefault="00F51FBD" w:rsidP="00F51FBD">
      <w:pPr>
        <w:pStyle w:val="Antrat3"/>
        <w:spacing w:before="0" w:after="0" w:line="240" w:lineRule="auto"/>
        <w:rPr>
          <w:rFonts w:ascii="Times New Roman" w:hAnsi="Times New Roman"/>
          <w:sz w:val="22"/>
          <w:szCs w:val="22"/>
          <w:lang w:val="lt-LT"/>
        </w:rPr>
      </w:pPr>
      <w:r w:rsidRPr="00900CEC">
        <w:rPr>
          <w:rFonts w:ascii="Times New Roman" w:hAnsi="Times New Roman"/>
          <w:sz w:val="22"/>
          <w:szCs w:val="22"/>
          <w:lang w:val="lt-LT"/>
        </w:rPr>
        <w:t>4.</w:t>
      </w:r>
      <w:r w:rsidRPr="00900CEC">
        <w:rPr>
          <w:rFonts w:ascii="Times New Roman" w:hAnsi="Times New Roman"/>
          <w:sz w:val="22"/>
          <w:szCs w:val="22"/>
          <w:lang w:val="lt-LT"/>
        </w:rPr>
        <w:tab/>
        <w:t>KLINIKINĖ INFORMACIJA</w:t>
      </w:r>
    </w:p>
    <w:p w14:paraId="5FD8D87E" w14:textId="77777777" w:rsidR="00F51FBD" w:rsidRPr="00900CEC" w:rsidRDefault="00F51FBD" w:rsidP="00F51FBD">
      <w:pPr>
        <w:spacing w:line="240" w:lineRule="auto"/>
        <w:rPr>
          <w:szCs w:val="22"/>
          <w:lang w:val="lt-LT"/>
        </w:rPr>
      </w:pPr>
    </w:p>
    <w:p w14:paraId="1CF6430D" w14:textId="77777777" w:rsidR="00F51FBD" w:rsidRPr="00900CEC" w:rsidRDefault="00F51FBD" w:rsidP="00F51FBD">
      <w:pPr>
        <w:pStyle w:val="Antrat4"/>
        <w:spacing w:line="240" w:lineRule="auto"/>
        <w:jc w:val="left"/>
        <w:rPr>
          <w:rFonts w:ascii="Times New Roman" w:hAnsi="Times New Roman"/>
          <w:sz w:val="22"/>
          <w:szCs w:val="22"/>
          <w:lang w:val="lt-LT"/>
        </w:rPr>
      </w:pPr>
      <w:r w:rsidRPr="00900CEC">
        <w:rPr>
          <w:rFonts w:ascii="Times New Roman" w:hAnsi="Times New Roman"/>
          <w:sz w:val="22"/>
          <w:szCs w:val="22"/>
          <w:lang w:val="lt-LT"/>
        </w:rPr>
        <w:t>4.1</w:t>
      </w:r>
      <w:r w:rsidRPr="00900CEC">
        <w:rPr>
          <w:rFonts w:ascii="Times New Roman" w:hAnsi="Times New Roman"/>
          <w:sz w:val="22"/>
          <w:szCs w:val="22"/>
          <w:lang w:val="lt-LT"/>
        </w:rPr>
        <w:tab/>
        <w:t>Terapinės indikacijos</w:t>
      </w:r>
    </w:p>
    <w:p w14:paraId="2E770511" w14:textId="77777777" w:rsidR="00F51FBD" w:rsidRPr="00900CEC" w:rsidRDefault="00F51FBD" w:rsidP="00F51FBD">
      <w:pPr>
        <w:spacing w:line="240" w:lineRule="auto"/>
        <w:rPr>
          <w:szCs w:val="22"/>
          <w:lang w:val="lt-LT"/>
        </w:rPr>
      </w:pPr>
    </w:p>
    <w:p w14:paraId="270A319F" w14:textId="05F85534" w:rsidR="00F51FBD" w:rsidRPr="00900CEC" w:rsidRDefault="006A24B2" w:rsidP="00F51FBD">
      <w:pPr>
        <w:spacing w:line="240" w:lineRule="auto"/>
        <w:rPr>
          <w:lang w:val="lt-LT"/>
        </w:rPr>
      </w:pPr>
      <w:proofErr w:type="spellStart"/>
      <w:r>
        <w:rPr>
          <w:lang w:val="lt-LT"/>
        </w:rPr>
        <w:t>Paracetamol</w:t>
      </w:r>
      <w:proofErr w:type="spellEnd"/>
      <w:r>
        <w:rPr>
          <w:lang w:val="lt-LT"/>
        </w:rPr>
        <w:t>/</w:t>
      </w:r>
      <w:proofErr w:type="spellStart"/>
      <w:r>
        <w:rPr>
          <w:lang w:val="lt-LT"/>
        </w:rPr>
        <w:t>Ibuprofen</w:t>
      </w:r>
      <w:proofErr w:type="spellEnd"/>
      <w:r>
        <w:rPr>
          <w:lang w:val="lt-LT"/>
        </w:rPr>
        <w:t xml:space="preserve"> AFT </w:t>
      </w:r>
      <w:proofErr w:type="spellStart"/>
      <w:r>
        <w:rPr>
          <w:lang w:val="lt-LT"/>
        </w:rPr>
        <w:t>Pharmaceuticals</w:t>
      </w:r>
      <w:proofErr w:type="spellEnd"/>
      <w:r w:rsidR="00F51FBD" w:rsidRPr="00900CEC">
        <w:rPr>
          <w:lang w:val="lt-LT"/>
        </w:rPr>
        <w:t xml:space="preserve"> skirtas suaugusi</w:t>
      </w:r>
      <w:r w:rsidR="00F51FBD">
        <w:rPr>
          <w:lang w:val="lt-LT"/>
        </w:rPr>
        <w:t>ųjų</w:t>
      </w:r>
      <w:r w:rsidR="00F51FBD" w:rsidRPr="00900CEC">
        <w:rPr>
          <w:lang w:val="lt-LT"/>
        </w:rPr>
        <w:t xml:space="preserve"> </w:t>
      </w:r>
      <w:r w:rsidR="00F51FBD">
        <w:rPr>
          <w:lang w:val="lt-LT"/>
        </w:rPr>
        <w:t xml:space="preserve">ūminio </w:t>
      </w:r>
      <w:r w:rsidR="00F51FBD" w:rsidRPr="00900CEC">
        <w:rPr>
          <w:lang w:val="lt-LT"/>
        </w:rPr>
        <w:t xml:space="preserve">vidutinio stiprumo skausmo trumpalaikiam simptominiam gydymui, kai kliniškai būtinas leidimas į veną ir (arba) kai </w:t>
      </w:r>
      <w:r w:rsidR="00F51FBD">
        <w:rPr>
          <w:lang w:val="lt-LT"/>
        </w:rPr>
        <w:t>kitoks vartojimo būdas negalimas</w:t>
      </w:r>
      <w:r w:rsidR="00F51FBD" w:rsidRPr="00900CEC">
        <w:rPr>
          <w:lang w:val="lt-LT"/>
        </w:rPr>
        <w:t>.</w:t>
      </w:r>
    </w:p>
    <w:p w14:paraId="4D1E6F70" w14:textId="77777777" w:rsidR="00F51FBD" w:rsidRPr="00900CEC" w:rsidRDefault="00F51FBD" w:rsidP="00F51FBD">
      <w:pPr>
        <w:spacing w:line="240" w:lineRule="auto"/>
        <w:rPr>
          <w:lang w:val="lt-LT"/>
        </w:rPr>
      </w:pPr>
    </w:p>
    <w:p w14:paraId="23A5EAE4" w14:textId="77777777" w:rsidR="00F51FBD" w:rsidRPr="00900CEC" w:rsidRDefault="00F51FBD" w:rsidP="00F51FBD">
      <w:pPr>
        <w:pStyle w:val="Antrat4"/>
        <w:spacing w:line="240" w:lineRule="auto"/>
        <w:jc w:val="left"/>
        <w:rPr>
          <w:rFonts w:ascii="Times New Roman" w:hAnsi="Times New Roman"/>
          <w:sz w:val="22"/>
          <w:szCs w:val="22"/>
          <w:lang w:val="lt-LT"/>
        </w:rPr>
      </w:pPr>
      <w:r w:rsidRPr="00900CEC">
        <w:rPr>
          <w:rFonts w:ascii="Times New Roman" w:hAnsi="Times New Roman"/>
          <w:sz w:val="22"/>
          <w:szCs w:val="22"/>
          <w:lang w:val="lt-LT"/>
        </w:rPr>
        <w:t>4.2</w:t>
      </w:r>
      <w:r w:rsidRPr="00900CEC">
        <w:rPr>
          <w:rFonts w:ascii="Times New Roman" w:hAnsi="Times New Roman"/>
          <w:sz w:val="22"/>
          <w:szCs w:val="22"/>
          <w:lang w:val="lt-LT"/>
        </w:rPr>
        <w:tab/>
        <w:t>Dozavimas ir vartojimo metodas</w:t>
      </w:r>
    </w:p>
    <w:p w14:paraId="2F30E015" w14:textId="77777777" w:rsidR="00F51FBD" w:rsidRPr="00900CEC" w:rsidRDefault="00F51FBD" w:rsidP="00F51FBD">
      <w:pPr>
        <w:spacing w:line="240" w:lineRule="auto"/>
        <w:rPr>
          <w:szCs w:val="22"/>
          <w:lang w:val="lt-LT"/>
        </w:rPr>
      </w:pPr>
    </w:p>
    <w:p w14:paraId="01114266" w14:textId="77777777" w:rsidR="00F51FBD" w:rsidRPr="00900CEC" w:rsidRDefault="00F51FBD" w:rsidP="00F51FBD">
      <w:pPr>
        <w:spacing w:line="240" w:lineRule="auto"/>
        <w:rPr>
          <w:szCs w:val="22"/>
          <w:u w:val="single"/>
          <w:lang w:val="lt-LT"/>
        </w:rPr>
      </w:pPr>
      <w:r w:rsidRPr="00900CEC">
        <w:rPr>
          <w:szCs w:val="22"/>
          <w:u w:val="single"/>
          <w:lang w:val="lt-LT"/>
        </w:rPr>
        <w:t>Dozavimas</w:t>
      </w:r>
    </w:p>
    <w:p w14:paraId="0E2D0273" w14:textId="6CE5AE5B" w:rsidR="00F51FBD" w:rsidRPr="00900CEC" w:rsidRDefault="00F51FBD" w:rsidP="00F51FBD">
      <w:pPr>
        <w:spacing w:line="240" w:lineRule="auto"/>
        <w:rPr>
          <w:szCs w:val="22"/>
          <w:lang w:val="lt-LT"/>
        </w:rPr>
      </w:pPr>
      <w:r w:rsidRPr="00900CEC">
        <w:rPr>
          <w:szCs w:val="22"/>
          <w:lang w:val="lt-LT"/>
        </w:rPr>
        <w:t>Vartoti į veną ir tik trumpą laiką (ne ilgiau kaip 2</w:t>
      </w:r>
      <w:r w:rsidR="008B2E65">
        <w:rPr>
          <w:szCs w:val="22"/>
          <w:lang w:val="lt-LT"/>
        </w:rPr>
        <w:t> </w:t>
      </w:r>
      <w:r w:rsidRPr="00900CEC">
        <w:rPr>
          <w:szCs w:val="22"/>
          <w:lang w:val="lt-LT"/>
        </w:rPr>
        <w:t>dienas). Sumažinti nepageidaujamo poveikio tikimybę galima vartojant mažiausią veiksmingą dozę kiek įmanoma trumpesnį laiką, būtiną simptomams šalinti (žr. 4.4</w:t>
      </w:r>
      <w:r w:rsidR="008B2E65">
        <w:rPr>
          <w:szCs w:val="22"/>
          <w:lang w:val="lt-LT"/>
        </w:rPr>
        <w:t> </w:t>
      </w:r>
      <w:r w:rsidRPr="00900CEC">
        <w:rPr>
          <w:szCs w:val="22"/>
          <w:lang w:val="lt-LT"/>
        </w:rPr>
        <w:t xml:space="preserve">skyrių). </w:t>
      </w:r>
    </w:p>
    <w:p w14:paraId="6FC39C84" w14:textId="77777777" w:rsidR="00F51FBD" w:rsidRPr="00900CEC" w:rsidRDefault="00F51FBD" w:rsidP="00F51FBD">
      <w:pPr>
        <w:tabs>
          <w:tab w:val="clear" w:pos="567"/>
        </w:tabs>
        <w:spacing w:line="240" w:lineRule="auto"/>
        <w:rPr>
          <w:szCs w:val="22"/>
          <w:lang w:val="lt-LT"/>
        </w:rPr>
      </w:pPr>
    </w:p>
    <w:p w14:paraId="3E5855C6" w14:textId="77777777" w:rsidR="00F51FBD" w:rsidRPr="00900CEC" w:rsidRDefault="00F51FBD" w:rsidP="00F51FBD">
      <w:pPr>
        <w:pStyle w:val="Antrat3"/>
        <w:spacing w:before="0" w:after="0" w:line="240" w:lineRule="auto"/>
        <w:rPr>
          <w:rFonts w:ascii="Times New Roman" w:hAnsi="Times New Roman"/>
          <w:b w:val="0"/>
          <w:i/>
          <w:sz w:val="22"/>
          <w:szCs w:val="22"/>
          <w:lang w:val="lt-LT"/>
        </w:rPr>
      </w:pPr>
      <w:r w:rsidRPr="00900CEC">
        <w:rPr>
          <w:rFonts w:ascii="Times New Roman" w:hAnsi="Times New Roman"/>
          <w:b w:val="0"/>
          <w:i/>
          <w:sz w:val="22"/>
          <w:szCs w:val="22"/>
          <w:lang w:val="lt-LT"/>
        </w:rPr>
        <w:t>Suaugusiesiems (sveriantiems &gt; 50 kg)</w:t>
      </w:r>
    </w:p>
    <w:p w14:paraId="5DDF58AE" w14:textId="4A75AFFC" w:rsidR="00F51FBD" w:rsidRPr="00900CEC" w:rsidRDefault="00F51FBD" w:rsidP="00F51FBD">
      <w:pPr>
        <w:tabs>
          <w:tab w:val="clear" w:pos="567"/>
        </w:tabs>
        <w:autoSpaceDE w:val="0"/>
        <w:spacing w:line="240" w:lineRule="auto"/>
        <w:rPr>
          <w:b/>
          <w:i/>
          <w:szCs w:val="22"/>
          <w:lang w:val="lt-LT"/>
        </w:rPr>
      </w:pPr>
      <w:r w:rsidRPr="00900CEC">
        <w:rPr>
          <w:szCs w:val="22"/>
          <w:lang w:val="lt-LT"/>
        </w:rPr>
        <w:t xml:space="preserve">Reikia leisti po vieną flakoną (100 ml) </w:t>
      </w:r>
      <w:proofErr w:type="spellStart"/>
      <w:r w:rsidR="006A24B2">
        <w:rPr>
          <w:lang w:val="lt-LT"/>
        </w:rPr>
        <w:t>Paracetamol</w:t>
      </w:r>
      <w:proofErr w:type="spellEnd"/>
      <w:r w:rsidR="006A24B2">
        <w:rPr>
          <w:lang w:val="lt-LT"/>
        </w:rPr>
        <w:t>/</w:t>
      </w:r>
      <w:proofErr w:type="spellStart"/>
      <w:r w:rsidR="006A24B2">
        <w:rPr>
          <w:lang w:val="lt-LT"/>
        </w:rPr>
        <w:t>Ibuprofen</w:t>
      </w:r>
      <w:proofErr w:type="spellEnd"/>
      <w:r w:rsidR="006A24B2">
        <w:rPr>
          <w:lang w:val="lt-LT"/>
        </w:rPr>
        <w:t xml:space="preserve"> AFT </w:t>
      </w:r>
      <w:proofErr w:type="spellStart"/>
      <w:r w:rsidR="006A24B2">
        <w:rPr>
          <w:lang w:val="lt-LT"/>
        </w:rPr>
        <w:t>Pharmaceuticals</w:t>
      </w:r>
      <w:proofErr w:type="spellEnd"/>
      <w:r>
        <w:rPr>
          <w:lang w:val="lt-LT"/>
        </w:rPr>
        <w:t xml:space="preserve"> </w:t>
      </w:r>
      <w:r w:rsidRPr="00900CEC">
        <w:rPr>
          <w:lang w:val="lt-LT"/>
        </w:rPr>
        <w:t xml:space="preserve">kaip 15 min. trukmės infuziją </w:t>
      </w:r>
      <w:r w:rsidRPr="00900CEC">
        <w:rPr>
          <w:szCs w:val="22"/>
          <w:lang w:val="lt-LT"/>
        </w:rPr>
        <w:t>kas 6</w:t>
      </w:r>
      <w:r w:rsidR="008B2E65">
        <w:rPr>
          <w:szCs w:val="22"/>
          <w:lang w:val="lt-LT"/>
        </w:rPr>
        <w:t> </w:t>
      </w:r>
      <w:r w:rsidRPr="00900CEC">
        <w:rPr>
          <w:szCs w:val="22"/>
          <w:lang w:val="lt-LT"/>
        </w:rPr>
        <w:t>val.</w:t>
      </w:r>
      <w:r>
        <w:rPr>
          <w:szCs w:val="22"/>
          <w:lang w:val="lt-LT"/>
        </w:rPr>
        <w:t>,</w:t>
      </w:r>
      <w:r w:rsidRPr="00900CEC">
        <w:rPr>
          <w:szCs w:val="22"/>
          <w:lang w:val="lt-LT"/>
        </w:rPr>
        <w:t xml:space="preserve"> pagal poreikį. Negalima viršyti bendros paros dozės, kuri yra keturi flakonai (</w:t>
      </w:r>
      <w:r w:rsidRPr="00900CEC">
        <w:rPr>
          <w:lang w:val="lt-LT"/>
        </w:rPr>
        <w:t>400 ml) ir tai prilygsta 4000 mg (4 g) paracetamolio ir 1200 mg ibuprofeno.</w:t>
      </w:r>
    </w:p>
    <w:p w14:paraId="5C59FD8D" w14:textId="77777777" w:rsidR="00F51FBD" w:rsidRPr="00900CEC" w:rsidRDefault="00F51FBD" w:rsidP="00F51FBD">
      <w:pPr>
        <w:tabs>
          <w:tab w:val="clear" w:pos="567"/>
        </w:tabs>
        <w:autoSpaceDE w:val="0"/>
        <w:spacing w:line="240" w:lineRule="auto"/>
        <w:rPr>
          <w:b/>
          <w:i/>
          <w:szCs w:val="22"/>
          <w:lang w:val="lt-LT"/>
        </w:rPr>
      </w:pPr>
    </w:p>
    <w:p w14:paraId="0360EB1C" w14:textId="77777777" w:rsidR="00F51FBD" w:rsidRPr="00900CEC" w:rsidRDefault="00F51FBD" w:rsidP="00F51FBD">
      <w:pPr>
        <w:pStyle w:val="Antrat3"/>
        <w:spacing w:before="0" w:after="0" w:line="240" w:lineRule="auto"/>
        <w:rPr>
          <w:rFonts w:ascii="Times New Roman" w:hAnsi="Times New Roman"/>
          <w:b w:val="0"/>
          <w:i/>
          <w:sz w:val="22"/>
          <w:szCs w:val="22"/>
          <w:lang w:val="lt-LT"/>
        </w:rPr>
      </w:pPr>
      <w:r w:rsidRPr="00900CEC">
        <w:rPr>
          <w:rFonts w:ascii="Times New Roman" w:hAnsi="Times New Roman"/>
          <w:b w:val="0"/>
          <w:i/>
          <w:sz w:val="22"/>
          <w:szCs w:val="22"/>
          <w:lang w:val="lt-LT"/>
        </w:rPr>
        <w:t>Suaugusiesiems (sveriantiems ≤ 50 kg)</w:t>
      </w:r>
    </w:p>
    <w:p w14:paraId="38283F54" w14:textId="6C31D76F" w:rsidR="00F51FBD" w:rsidRPr="00900CEC" w:rsidRDefault="00F51FBD" w:rsidP="00F51FBD">
      <w:pPr>
        <w:tabs>
          <w:tab w:val="clear" w:pos="567"/>
        </w:tabs>
        <w:autoSpaceDE w:val="0"/>
        <w:spacing w:line="240" w:lineRule="auto"/>
        <w:rPr>
          <w:bCs/>
          <w:iCs/>
          <w:szCs w:val="22"/>
          <w:lang w:val="lt-LT"/>
        </w:rPr>
      </w:pPr>
      <w:r w:rsidRPr="00900CEC">
        <w:rPr>
          <w:bCs/>
          <w:iCs/>
          <w:szCs w:val="22"/>
          <w:lang w:val="lt-LT"/>
        </w:rPr>
        <w:t>Suaugusiesiems, sveriantiems 50 kg ar mažiau, reikia skirti 1,5 ml/kg kūno svorio dozę, atsižvelgiant į jų svorį, kaip 15</w:t>
      </w:r>
      <w:r w:rsidR="00E37C83">
        <w:rPr>
          <w:bCs/>
          <w:iCs/>
          <w:szCs w:val="22"/>
          <w:lang w:val="lt-LT"/>
        </w:rPr>
        <w:t> </w:t>
      </w:r>
      <w:r w:rsidRPr="00900CEC">
        <w:rPr>
          <w:bCs/>
          <w:iCs/>
          <w:szCs w:val="22"/>
          <w:lang w:val="lt-LT"/>
        </w:rPr>
        <w:t>min. infuziją kas 6</w:t>
      </w:r>
      <w:r w:rsidR="00E37C83">
        <w:rPr>
          <w:bCs/>
          <w:iCs/>
          <w:szCs w:val="22"/>
          <w:lang w:val="lt-LT"/>
        </w:rPr>
        <w:t> </w:t>
      </w:r>
      <w:r w:rsidRPr="00900CEC">
        <w:rPr>
          <w:bCs/>
          <w:iCs/>
          <w:szCs w:val="22"/>
          <w:lang w:val="lt-LT"/>
        </w:rPr>
        <w:t>val.</w:t>
      </w:r>
      <w:r>
        <w:rPr>
          <w:bCs/>
          <w:iCs/>
          <w:szCs w:val="22"/>
          <w:lang w:val="lt-LT"/>
        </w:rPr>
        <w:t>,</w:t>
      </w:r>
      <w:r w:rsidRPr="00900CEC">
        <w:rPr>
          <w:bCs/>
          <w:iCs/>
          <w:szCs w:val="22"/>
          <w:lang w:val="lt-LT"/>
        </w:rPr>
        <w:t xml:space="preserve"> pagal poreikį. Tai prilygsta didžiausiai vienkartinei 75 ml dozei (likusį flakone vaistinį preparatą reikia išmesti) ir bendrai paros dozei, kuri yra 3000 mg (3 g) paracetamolio ir 900 mg ibuprofeno.</w:t>
      </w:r>
    </w:p>
    <w:p w14:paraId="7B124F28" w14:textId="77777777" w:rsidR="00F51FBD" w:rsidRPr="00900CEC" w:rsidRDefault="00F51FBD" w:rsidP="00F51FBD">
      <w:pPr>
        <w:tabs>
          <w:tab w:val="clear" w:pos="567"/>
        </w:tabs>
        <w:autoSpaceDE w:val="0"/>
        <w:spacing w:line="240" w:lineRule="auto"/>
        <w:rPr>
          <w:b/>
          <w:i/>
          <w:szCs w:val="22"/>
          <w:lang w:val="lt-LT"/>
        </w:rPr>
      </w:pPr>
    </w:p>
    <w:p w14:paraId="0873A2FA" w14:textId="77777777" w:rsidR="00F51FBD" w:rsidRPr="00900CEC" w:rsidRDefault="00F51FBD" w:rsidP="00F51FBD">
      <w:pPr>
        <w:pStyle w:val="Antrat3"/>
        <w:spacing w:before="0" w:after="0" w:line="240" w:lineRule="auto"/>
        <w:rPr>
          <w:rFonts w:ascii="Times New Roman" w:hAnsi="Times New Roman"/>
          <w:b w:val="0"/>
          <w:bCs w:val="0"/>
          <w:i/>
          <w:sz w:val="22"/>
          <w:szCs w:val="22"/>
          <w:lang w:val="lt-LT"/>
        </w:rPr>
      </w:pPr>
      <w:r w:rsidRPr="00900CEC">
        <w:rPr>
          <w:rFonts w:ascii="Times New Roman" w:hAnsi="Times New Roman"/>
          <w:b w:val="0"/>
          <w:bCs w:val="0"/>
          <w:i/>
          <w:sz w:val="22"/>
          <w:szCs w:val="22"/>
          <w:lang w:val="lt-LT"/>
        </w:rPr>
        <w:t>Vaikų populiacija</w:t>
      </w:r>
    </w:p>
    <w:p w14:paraId="57400498" w14:textId="17C7DF25" w:rsidR="00F51FBD" w:rsidRPr="00900CEC" w:rsidRDefault="006A24B2" w:rsidP="00F51FBD">
      <w:pPr>
        <w:tabs>
          <w:tab w:val="clear" w:pos="567"/>
        </w:tabs>
        <w:spacing w:line="240" w:lineRule="auto"/>
        <w:rPr>
          <w:szCs w:val="22"/>
          <w:lang w:val="lt-LT"/>
        </w:rPr>
      </w:pPr>
      <w:proofErr w:type="spellStart"/>
      <w:r>
        <w:rPr>
          <w:lang w:val="lt-LT"/>
        </w:rPr>
        <w:t>Paracetamol</w:t>
      </w:r>
      <w:proofErr w:type="spellEnd"/>
      <w:r>
        <w:rPr>
          <w:lang w:val="lt-LT"/>
        </w:rPr>
        <w:t>/</w:t>
      </w:r>
      <w:proofErr w:type="spellStart"/>
      <w:r>
        <w:rPr>
          <w:lang w:val="lt-LT"/>
        </w:rPr>
        <w:t>Ibuprofen</w:t>
      </w:r>
      <w:proofErr w:type="spellEnd"/>
      <w:r>
        <w:rPr>
          <w:lang w:val="lt-LT"/>
        </w:rPr>
        <w:t xml:space="preserve"> AFT </w:t>
      </w:r>
      <w:proofErr w:type="spellStart"/>
      <w:r>
        <w:rPr>
          <w:lang w:val="lt-LT"/>
        </w:rPr>
        <w:t>Pharmaceuticals</w:t>
      </w:r>
      <w:proofErr w:type="spellEnd"/>
      <w:r w:rsidR="00F51FBD" w:rsidRPr="00900CEC">
        <w:rPr>
          <w:lang w:val="lt-LT"/>
        </w:rPr>
        <w:t xml:space="preserve"> negalima vartoti </w:t>
      </w:r>
      <w:r w:rsidR="00F51FBD" w:rsidRPr="00900CEC">
        <w:rPr>
          <w:bCs/>
          <w:szCs w:val="22"/>
          <w:lang w:val="lt-LT"/>
        </w:rPr>
        <w:t>pacientams iki 18</w:t>
      </w:r>
      <w:r w:rsidR="00E37C83">
        <w:rPr>
          <w:bCs/>
          <w:szCs w:val="22"/>
          <w:lang w:val="lt-LT"/>
        </w:rPr>
        <w:t> </w:t>
      </w:r>
      <w:r w:rsidR="00F51FBD" w:rsidRPr="00900CEC">
        <w:rPr>
          <w:bCs/>
          <w:szCs w:val="22"/>
          <w:lang w:val="lt-LT"/>
        </w:rPr>
        <w:t xml:space="preserve">metų </w:t>
      </w:r>
      <w:r w:rsidR="00F51FBD" w:rsidRPr="00900CEC">
        <w:rPr>
          <w:szCs w:val="22"/>
          <w:lang w:val="lt-LT"/>
        </w:rPr>
        <w:t>(žr. 4.3</w:t>
      </w:r>
      <w:r w:rsidR="00E37C83">
        <w:rPr>
          <w:szCs w:val="22"/>
          <w:lang w:val="lt-LT"/>
        </w:rPr>
        <w:t> </w:t>
      </w:r>
      <w:r w:rsidR="00F51FBD" w:rsidRPr="00900CEC">
        <w:rPr>
          <w:szCs w:val="22"/>
          <w:lang w:val="lt-LT"/>
        </w:rPr>
        <w:t xml:space="preserve">skyrių). </w:t>
      </w:r>
    </w:p>
    <w:p w14:paraId="4DFD28C3" w14:textId="77777777" w:rsidR="00F51FBD" w:rsidRPr="00900CEC" w:rsidRDefault="00F51FBD" w:rsidP="00F51FBD">
      <w:pPr>
        <w:pStyle w:val="Antrat3"/>
        <w:spacing w:before="0" w:after="0" w:line="240" w:lineRule="auto"/>
        <w:rPr>
          <w:rFonts w:ascii="Times New Roman" w:hAnsi="Times New Roman"/>
          <w:i/>
          <w:sz w:val="22"/>
          <w:szCs w:val="22"/>
          <w:lang w:val="lt-LT"/>
        </w:rPr>
      </w:pPr>
    </w:p>
    <w:p w14:paraId="0411B01D" w14:textId="77777777" w:rsidR="00F51FBD" w:rsidRPr="00900CEC" w:rsidRDefault="00F51FBD" w:rsidP="00F51FBD">
      <w:pPr>
        <w:pStyle w:val="Antrat3"/>
        <w:spacing w:before="0" w:after="0" w:line="240" w:lineRule="auto"/>
        <w:rPr>
          <w:rFonts w:ascii="Times New Roman" w:hAnsi="Times New Roman"/>
          <w:i/>
          <w:sz w:val="22"/>
          <w:szCs w:val="22"/>
          <w:lang w:val="lt-LT"/>
        </w:rPr>
      </w:pPr>
      <w:r>
        <w:rPr>
          <w:rFonts w:ascii="Times New Roman" w:hAnsi="Times New Roman"/>
          <w:i/>
          <w:sz w:val="22"/>
          <w:szCs w:val="22"/>
          <w:lang w:val="lt-LT"/>
        </w:rPr>
        <w:t>Ypatingos</w:t>
      </w:r>
      <w:r w:rsidRPr="00900CEC">
        <w:rPr>
          <w:rFonts w:ascii="Times New Roman" w:hAnsi="Times New Roman"/>
          <w:i/>
          <w:sz w:val="22"/>
          <w:szCs w:val="22"/>
          <w:lang w:val="lt-LT"/>
        </w:rPr>
        <w:t xml:space="preserve"> populiacijos</w:t>
      </w:r>
    </w:p>
    <w:p w14:paraId="359DF1E6" w14:textId="77777777" w:rsidR="00F51FBD" w:rsidRPr="00900CEC" w:rsidRDefault="00F51FBD" w:rsidP="00F51FBD">
      <w:pPr>
        <w:rPr>
          <w:lang w:val="lt-LT"/>
        </w:rPr>
      </w:pPr>
    </w:p>
    <w:p w14:paraId="0755C239" w14:textId="77777777" w:rsidR="00F51FBD" w:rsidRPr="00900CEC" w:rsidRDefault="00F51FBD" w:rsidP="00F51FBD">
      <w:pPr>
        <w:pStyle w:val="Antrat3"/>
        <w:spacing w:before="0" w:after="0" w:line="240" w:lineRule="auto"/>
        <w:rPr>
          <w:rFonts w:ascii="Times New Roman" w:hAnsi="Times New Roman"/>
          <w:b w:val="0"/>
          <w:i/>
          <w:sz w:val="22"/>
          <w:szCs w:val="22"/>
          <w:lang w:val="lt-LT"/>
        </w:rPr>
      </w:pPr>
      <w:r w:rsidRPr="00900CEC">
        <w:rPr>
          <w:rFonts w:ascii="Times New Roman" w:hAnsi="Times New Roman"/>
          <w:b w:val="0"/>
          <w:i/>
          <w:sz w:val="22"/>
          <w:szCs w:val="22"/>
          <w:lang w:val="lt-LT"/>
        </w:rPr>
        <w:lastRenderedPageBreak/>
        <w:t>Senyviems pacientams</w:t>
      </w:r>
    </w:p>
    <w:p w14:paraId="0008CAFE" w14:textId="77777777" w:rsidR="00F51FBD" w:rsidRPr="00900CEC" w:rsidRDefault="00F51FBD" w:rsidP="00F51FBD">
      <w:pPr>
        <w:tabs>
          <w:tab w:val="clear" w:pos="567"/>
        </w:tabs>
        <w:autoSpaceDE w:val="0"/>
        <w:spacing w:line="240" w:lineRule="auto"/>
        <w:rPr>
          <w:szCs w:val="22"/>
          <w:lang w:val="lt-LT"/>
        </w:rPr>
      </w:pPr>
      <w:r w:rsidRPr="00900CEC">
        <w:rPr>
          <w:szCs w:val="22"/>
          <w:lang w:val="lt-LT"/>
        </w:rPr>
        <w:t>Senyviems pacientams dozę reikia parinkti atsargiai, paprastai pradedant nuo mažiausios dozės, atsižvelgiant į dažnesnius kepenų, inkstų ar širdies funkcijos sutrikimus, taip pat gretutines ligas ar kitų vaist</w:t>
      </w:r>
      <w:r>
        <w:rPr>
          <w:szCs w:val="22"/>
          <w:lang w:val="lt-LT"/>
        </w:rPr>
        <w:t>ini</w:t>
      </w:r>
      <w:r w:rsidRPr="00900CEC">
        <w:rPr>
          <w:szCs w:val="22"/>
          <w:lang w:val="lt-LT"/>
        </w:rPr>
        <w:t>ų</w:t>
      </w:r>
      <w:r>
        <w:rPr>
          <w:szCs w:val="22"/>
          <w:lang w:val="lt-LT"/>
        </w:rPr>
        <w:t xml:space="preserve"> preparatų</w:t>
      </w:r>
      <w:r w:rsidRPr="00900CEC">
        <w:rPr>
          <w:szCs w:val="22"/>
          <w:lang w:val="lt-LT"/>
        </w:rPr>
        <w:t xml:space="preserve"> vartojimą.</w:t>
      </w:r>
    </w:p>
    <w:p w14:paraId="6C603448" w14:textId="77777777" w:rsidR="00F51FBD" w:rsidRPr="00900CEC" w:rsidRDefault="00F51FBD" w:rsidP="00F51FBD">
      <w:pPr>
        <w:tabs>
          <w:tab w:val="clear" w:pos="567"/>
        </w:tabs>
        <w:autoSpaceDE w:val="0"/>
        <w:spacing w:line="240" w:lineRule="auto"/>
        <w:rPr>
          <w:szCs w:val="22"/>
          <w:lang w:val="lt-LT"/>
        </w:rPr>
      </w:pPr>
    </w:p>
    <w:p w14:paraId="41C2AF56" w14:textId="69C85C4A" w:rsidR="00F51FBD" w:rsidRPr="00900CEC" w:rsidRDefault="00F51FBD" w:rsidP="00F51FBD">
      <w:pPr>
        <w:tabs>
          <w:tab w:val="clear" w:pos="567"/>
        </w:tabs>
        <w:autoSpaceDE w:val="0"/>
        <w:spacing w:line="240" w:lineRule="auto"/>
        <w:rPr>
          <w:szCs w:val="22"/>
          <w:lang w:val="lt-LT"/>
        </w:rPr>
      </w:pPr>
      <w:r w:rsidRPr="00900CEC">
        <w:rPr>
          <w:szCs w:val="22"/>
          <w:lang w:val="lt-LT"/>
        </w:rPr>
        <w:t>Senyviems pacientams kyla didesnis sunkių nepageidaujamų reakcijų padarinių pavojus. Jeigu manoma, kad nesteroidinis vaist</w:t>
      </w:r>
      <w:r w:rsidR="00E37C83">
        <w:rPr>
          <w:szCs w:val="22"/>
          <w:lang w:val="lt-LT"/>
        </w:rPr>
        <w:t>inis preparatas</w:t>
      </w:r>
      <w:r w:rsidRPr="00900CEC">
        <w:rPr>
          <w:szCs w:val="22"/>
          <w:lang w:val="lt-LT"/>
        </w:rPr>
        <w:t xml:space="preserve"> nuo uždegimo (NVNU) būtinas, tai reikia vartoti mažiausią veiksmingą dozę ir kiek įmanoma trumpiau. Gydymas turėtų būti reguliariai peržiūrimas ir, jei nematoma jokios naudos ar pasireiškia netoleravimas, gydymą reikia nutraukti. Gydymo NVNU metu reikia reguliariai tikrinti, ar neprasidėjo kraujavimas virškinimo trakte.</w:t>
      </w:r>
    </w:p>
    <w:p w14:paraId="64CD3D33" w14:textId="77777777" w:rsidR="00F51FBD" w:rsidRPr="00900CEC" w:rsidRDefault="00F51FBD" w:rsidP="00F51FBD">
      <w:pPr>
        <w:tabs>
          <w:tab w:val="clear" w:pos="567"/>
        </w:tabs>
        <w:autoSpaceDE w:val="0"/>
        <w:spacing w:line="240" w:lineRule="auto"/>
        <w:rPr>
          <w:szCs w:val="22"/>
          <w:lang w:val="lt-LT"/>
        </w:rPr>
      </w:pPr>
    </w:p>
    <w:p w14:paraId="30B1A7E4" w14:textId="77777777" w:rsidR="00F51FBD" w:rsidRPr="00900CEC" w:rsidRDefault="00F51FBD" w:rsidP="00F51FBD">
      <w:pPr>
        <w:pStyle w:val="Antrat3"/>
        <w:spacing w:before="0" w:after="0" w:line="240" w:lineRule="auto"/>
        <w:rPr>
          <w:rFonts w:ascii="Times New Roman" w:hAnsi="Times New Roman"/>
          <w:b w:val="0"/>
          <w:i/>
          <w:sz w:val="22"/>
          <w:szCs w:val="22"/>
          <w:lang w:val="lt-LT"/>
        </w:rPr>
      </w:pPr>
      <w:r w:rsidRPr="00900CEC">
        <w:rPr>
          <w:rFonts w:ascii="Times New Roman" w:hAnsi="Times New Roman"/>
          <w:b w:val="0"/>
          <w:i/>
          <w:sz w:val="22"/>
          <w:szCs w:val="22"/>
          <w:lang w:val="lt-LT"/>
        </w:rPr>
        <w:t>Pacientams, kurių inkstų funkcija sutrikusi</w:t>
      </w:r>
    </w:p>
    <w:p w14:paraId="2A82B1EB" w14:textId="46897885" w:rsidR="00F51FBD" w:rsidRPr="00900CEC" w:rsidRDefault="00F51FBD" w:rsidP="00F51FBD">
      <w:pPr>
        <w:tabs>
          <w:tab w:val="clear" w:pos="567"/>
        </w:tabs>
        <w:autoSpaceDE w:val="0"/>
        <w:spacing w:line="240" w:lineRule="auto"/>
        <w:rPr>
          <w:szCs w:val="22"/>
          <w:lang w:val="lt-LT"/>
        </w:rPr>
      </w:pPr>
      <w:r w:rsidRPr="00900CEC">
        <w:rPr>
          <w:szCs w:val="22"/>
          <w:lang w:val="lt-LT"/>
        </w:rPr>
        <w:t xml:space="preserve">Pacientams, kurių inkstų funkcija sutrikusi, </w:t>
      </w:r>
      <w:proofErr w:type="spellStart"/>
      <w:r w:rsidRPr="00900CEC">
        <w:rPr>
          <w:szCs w:val="22"/>
          <w:lang w:val="lt-LT"/>
        </w:rPr>
        <w:t>ibuprofeną</w:t>
      </w:r>
      <w:proofErr w:type="spellEnd"/>
      <w:r w:rsidRPr="00900CEC">
        <w:rPr>
          <w:szCs w:val="22"/>
          <w:lang w:val="lt-LT"/>
        </w:rPr>
        <w:t xml:space="preserve"> reikia vartoti atsargiai. Ši</w:t>
      </w:r>
      <w:r>
        <w:rPr>
          <w:szCs w:val="22"/>
          <w:lang w:val="lt-LT"/>
        </w:rPr>
        <w:t>o</w:t>
      </w:r>
      <w:r w:rsidRPr="00900CEC">
        <w:rPr>
          <w:szCs w:val="22"/>
          <w:lang w:val="lt-LT"/>
        </w:rPr>
        <w:t xml:space="preserve"> vaistinio preparato negalima vartoti pacientams, sergantiems sunkiu inkstų </w:t>
      </w:r>
      <w:r>
        <w:rPr>
          <w:szCs w:val="22"/>
          <w:lang w:val="lt-LT"/>
        </w:rPr>
        <w:t xml:space="preserve">funkcijos </w:t>
      </w:r>
      <w:r w:rsidRPr="00900CEC">
        <w:rPr>
          <w:szCs w:val="22"/>
          <w:lang w:val="lt-LT"/>
        </w:rPr>
        <w:t>nepakankamumu (žr. 4.3</w:t>
      </w:r>
      <w:r w:rsidR="00E37C83">
        <w:rPr>
          <w:szCs w:val="22"/>
          <w:lang w:val="lt-LT"/>
        </w:rPr>
        <w:t> </w:t>
      </w:r>
      <w:r w:rsidRPr="00900CEC">
        <w:rPr>
          <w:szCs w:val="22"/>
          <w:lang w:val="lt-LT"/>
        </w:rPr>
        <w:t xml:space="preserve">skyrių). </w:t>
      </w:r>
    </w:p>
    <w:p w14:paraId="72F040E9" w14:textId="77777777" w:rsidR="00F51FBD" w:rsidRPr="00900CEC" w:rsidRDefault="00F51FBD" w:rsidP="00F51FBD">
      <w:pPr>
        <w:tabs>
          <w:tab w:val="clear" w:pos="567"/>
        </w:tabs>
        <w:autoSpaceDE w:val="0"/>
        <w:spacing w:line="240" w:lineRule="auto"/>
        <w:rPr>
          <w:szCs w:val="22"/>
          <w:lang w:val="lt-LT"/>
        </w:rPr>
      </w:pPr>
    </w:p>
    <w:p w14:paraId="05F721DC" w14:textId="22E166E7" w:rsidR="00F51FBD" w:rsidRPr="00900CEC" w:rsidRDefault="00F51FBD" w:rsidP="00F51FBD">
      <w:pPr>
        <w:tabs>
          <w:tab w:val="clear" w:pos="567"/>
        </w:tabs>
        <w:autoSpaceDE w:val="0"/>
        <w:spacing w:line="240" w:lineRule="auto"/>
        <w:rPr>
          <w:szCs w:val="22"/>
          <w:lang w:val="lt-LT"/>
        </w:rPr>
      </w:pPr>
      <w:r w:rsidRPr="00900CEC">
        <w:rPr>
          <w:szCs w:val="22"/>
          <w:lang w:val="lt-LT"/>
        </w:rPr>
        <w:t xml:space="preserve">Dozė turi būti parenkama individualiai. Pradinę dozę reikia sumažinti pacientams, kuriems yra lengvas ar vidutinio sunkumo inkstų funkcijos </w:t>
      </w:r>
      <w:r>
        <w:rPr>
          <w:szCs w:val="22"/>
          <w:lang w:val="lt-LT"/>
        </w:rPr>
        <w:t>nepakankamumas</w:t>
      </w:r>
      <w:r w:rsidRPr="00900CEC">
        <w:rPr>
          <w:szCs w:val="22"/>
          <w:lang w:val="lt-LT"/>
        </w:rPr>
        <w:t xml:space="preserve">. Reikia išlaikyti kuo mažesnę dozę ir vartoti kuo trumpesnį laiką, reikalingą simptomams </w:t>
      </w:r>
      <w:r>
        <w:rPr>
          <w:szCs w:val="22"/>
          <w:lang w:val="lt-LT"/>
        </w:rPr>
        <w:t>kontroliuoti</w:t>
      </w:r>
      <w:r w:rsidRPr="00900CEC">
        <w:rPr>
          <w:szCs w:val="22"/>
          <w:lang w:val="lt-LT"/>
        </w:rPr>
        <w:t>. Reikia stebėti inkstų funkciją (žr. 4.3, 4.4 ir 5.2</w:t>
      </w:r>
      <w:r w:rsidR="00E37C83">
        <w:rPr>
          <w:szCs w:val="22"/>
          <w:lang w:val="lt-LT"/>
        </w:rPr>
        <w:t> </w:t>
      </w:r>
      <w:r w:rsidRPr="00900CEC">
        <w:rPr>
          <w:szCs w:val="22"/>
          <w:lang w:val="lt-LT"/>
        </w:rPr>
        <w:t>skyrius).</w:t>
      </w:r>
    </w:p>
    <w:p w14:paraId="74DAA818" w14:textId="77777777" w:rsidR="00F51FBD" w:rsidRPr="00900CEC" w:rsidRDefault="00F51FBD" w:rsidP="00F51FBD">
      <w:pPr>
        <w:tabs>
          <w:tab w:val="clear" w:pos="567"/>
        </w:tabs>
        <w:autoSpaceDE w:val="0"/>
        <w:spacing w:line="240" w:lineRule="auto"/>
        <w:rPr>
          <w:szCs w:val="22"/>
          <w:lang w:val="lt-LT"/>
        </w:rPr>
      </w:pPr>
    </w:p>
    <w:p w14:paraId="036FA33F" w14:textId="77777777" w:rsidR="00F51FBD" w:rsidRPr="00900CEC" w:rsidRDefault="00F51FBD" w:rsidP="00F51FBD">
      <w:pPr>
        <w:pStyle w:val="Antrat3"/>
        <w:spacing w:before="0" w:after="0" w:line="240" w:lineRule="auto"/>
        <w:rPr>
          <w:rFonts w:ascii="Times New Roman" w:hAnsi="Times New Roman"/>
          <w:b w:val="0"/>
          <w:i/>
          <w:sz w:val="22"/>
          <w:szCs w:val="22"/>
          <w:lang w:val="lt-LT"/>
        </w:rPr>
      </w:pPr>
      <w:r w:rsidRPr="00900CEC">
        <w:rPr>
          <w:rFonts w:ascii="Times New Roman" w:hAnsi="Times New Roman"/>
          <w:b w:val="0"/>
          <w:i/>
          <w:sz w:val="22"/>
          <w:szCs w:val="22"/>
          <w:lang w:val="lt-LT"/>
        </w:rPr>
        <w:t>Pacientams, kurių kepenų funkcija sutrikusi</w:t>
      </w:r>
    </w:p>
    <w:p w14:paraId="6CD66B8B" w14:textId="77777777" w:rsidR="00F51FBD" w:rsidRPr="00900CEC" w:rsidRDefault="00F51FBD" w:rsidP="00F51FBD">
      <w:pPr>
        <w:tabs>
          <w:tab w:val="clear" w:pos="567"/>
        </w:tabs>
        <w:spacing w:line="240" w:lineRule="auto"/>
        <w:rPr>
          <w:szCs w:val="22"/>
          <w:lang w:val="lt-LT"/>
        </w:rPr>
      </w:pPr>
      <w:r w:rsidRPr="00900CEC">
        <w:rPr>
          <w:szCs w:val="22"/>
          <w:lang w:val="lt-LT"/>
        </w:rPr>
        <w:t xml:space="preserve">Paracetamolio vartojimas didesnėmis nei rekomenduojama dozėmis gali sukelti toksinį poveikį kepenims ir net kepenų nepakankamumą bei mirtį. Pacientams, kuriems yra papildomų toksinio poveikio kepenims rizikos veiksnių, tokių kaip </w:t>
      </w:r>
      <w:proofErr w:type="spellStart"/>
      <w:r>
        <w:rPr>
          <w:szCs w:val="22"/>
          <w:lang w:val="lt-LT"/>
        </w:rPr>
        <w:t>hepatoceliulinis</w:t>
      </w:r>
      <w:proofErr w:type="spellEnd"/>
      <w:r>
        <w:rPr>
          <w:szCs w:val="22"/>
          <w:lang w:val="lt-LT"/>
        </w:rPr>
        <w:t xml:space="preserve"> </w:t>
      </w:r>
      <w:r w:rsidRPr="00900CEC">
        <w:rPr>
          <w:szCs w:val="22"/>
          <w:lang w:val="lt-LT"/>
        </w:rPr>
        <w:t xml:space="preserve">nepakankamumas, lėtinis alkoholizmas, ilgalaikė netinkama mityba (mažos </w:t>
      </w:r>
      <w:proofErr w:type="spellStart"/>
      <w:r w:rsidRPr="00900CEC">
        <w:rPr>
          <w:szCs w:val="22"/>
          <w:lang w:val="lt-LT"/>
        </w:rPr>
        <w:t>glutationo</w:t>
      </w:r>
      <w:proofErr w:type="spellEnd"/>
      <w:r w:rsidRPr="00900CEC">
        <w:rPr>
          <w:szCs w:val="22"/>
          <w:lang w:val="lt-LT"/>
        </w:rPr>
        <w:t xml:space="preserve"> atsargos kepenyse) ar dehidratacija, negalima viršyti bendros 3000 mg (3 g) paracetamolio paros dozės.</w:t>
      </w:r>
    </w:p>
    <w:p w14:paraId="78E8B485" w14:textId="77777777" w:rsidR="00F51FBD" w:rsidRPr="00900CEC" w:rsidRDefault="00F51FBD" w:rsidP="00F51FBD">
      <w:pPr>
        <w:tabs>
          <w:tab w:val="clear" w:pos="567"/>
        </w:tabs>
        <w:spacing w:line="240" w:lineRule="auto"/>
        <w:rPr>
          <w:szCs w:val="22"/>
          <w:lang w:val="lt-LT"/>
        </w:rPr>
      </w:pPr>
    </w:p>
    <w:p w14:paraId="12624A6E" w14:textId="758F9E90" w:rsidR="00F51FBD" w:rsidRPr="00900CEC" w:rsidRDefault="00F51FBD" w:rsidP="00F51FBD">
      <w:pPr>
        <w:tabs>
          <w:tab w:val="clear" w:pos="567"/>
        </w:tabs>
        <w:spacing w:line="240" w:lineRule="auto"/>
        <w:rPr>
          <w:szCs w:val="22"/>
          <w:lang w:val="lt-LT"/>
        </w:rPr>
      </w:pPr>
      <w:r w:rsidRPr="00900CEC">
        <w:rPr>
          <w:szCs w:val="22"/>
          <w:lang w:val="lt-LT"/>
        </w:rPr>
        <w:t>Šio vaistinio preparato negalima vartoti pacientams, sergantiems sunkiu kepenų nepakankamumu (žr. 4.3</w:t>
      </w:r>
      <w:r w:rsidR="00E37C83">
        <w:rPr>
          <w:szCs w:val="22"/>
          <w:lang w:val="lt-LT"/>
        </w:rPr>
        <w:t> </w:t>
      </w:r>
      <w:r w:rsidRPr="00900CEC">
        <w:rPr>
          <w:szCs w:val="22"/>
          <w:lang w:val="lt-LT"/>
        </w:rPr>
        <w:t xml:space="preserve">skyrių). Pacientas, kurio simptomai ir (arba) požymiai rodo kepenų funkcijos sutrikimą arba kurio kepenų tyrimų rodmenys yra </w:t>
      </w:r>
      <w:r>
        <w:rPr>
          <w:szCs w:val="22"/>
          <w:lang w:val="lt-LT"/>
        </w:rPr>
        <w:t>pakitę</w:t>
      </w:r>
      <w:r w:rsidRPr="00900CEC">
        <w:rPr>
          <w:szCs w:val="22"/>
          <w:lang w:val="lt-LT"/>
        </w:rPr>
        <w:t>, turi būti įvertintas, ar nėra sunkesnės kepenų reakcijos</w:t>
      </w:r>
      <w:r>
        <w:rPr>
          <w:szCs w:val="22"/>
          <w:lang w:val="lt-LT"/>
        </w:rPr>
        <w:t xml:space="preserve"> gydant </w:t>
      </w:r>
      <w:proofErr w:type="spellStart"/>
      <w:r>
        <w:rPr>
          <w:szCs w:val="22"/>
          <w:lang w:val="lt-LT"/>
        </w:rPr>
        <w:t>ibuprofenu</w:t>
      </w:r>
      <w:proofErr w:type="spellEnd"/>
      <w:r w:rsidRPr="00900CEC">
        <w:rPr>
          <w:szCs w:val="22"/>
          <w:lang w:val="lt-LT"/>
        </w:rPr>
        <w:t xml:space="preserve">, ir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Pr="00900CEC">
        <w:rPr>
          <w:szCs w:val="22"/>
          <w:lang w:val="lt-LT"/>
        </w:rPr>
        <w:t xml:space="preserve"> reikia nutraukti. Jei atsiranda klinikinių požymių ir simptomų, susijusių su kepenų liga, arba jei atsiranda sisteminis poveikis (pvz., </w:t>
      </w:r>
      <w:proofErr w:type="spellStart"/>
      <w:r w:rsidRPr="00900CEC">
        <w:rPr>
          <w:szCs w:val="22"/>
          <w:lang w:val="lt-LT"/>
        </w:rPr>
        <w:t>eozinofilija</w:t>
      </w:r>
      <w:proofErr w:type="spellEnd"/>
      <w:r w:rsidRPr="00900CEC">
        <w:rPr>
          <w:szCs w:val="22"/>
          <w:lang w:val="lt-LT"/>
        </w:rPr>
        <w:t xml:space="preserve">, </w:t>
      </w:r>
      <w:r>
        <w:rPr>
          <w:szCs w:val="22"/>
          <w:lang w:val="lt-LT"/>
        </w:rPr>
        <w:t>iš</w:t>
      </w:r>
      <w:r w:rsidRPr="00900CEC">
        <w:rPr>
          <w:szCs w:val="22"/>
          <w:lang w:val="lt-LT"/>
        </w:rPr>
        <w:t xml:space="preserve">bėrimas ir kt.),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Pr>
          <w:szCs w:val="22"/>
          <w:lang w:val="lt-LT"/>
        </w:rPr>
        <w:t xml:space="preserve"> </w:t>
      </w:r>
      <w:r w:rsidRPr="00900CEC">
        <w:rPr>
          <w:szCs w:val="22"/>
          <w:lang w:val="lt-LT"/>
        </w:rPr>
        <w:t>vartojimą reikia nutraukti.</w:t>
      </w:r>
    </w:p>
    <w:p w14:paraId="5FCE1807" w14:textId="77777777" w:rsidR="00F51FBD" w:rsidRPr="00900CEC" w:rsidRDefault="00F51FBD" w:rsidP="00F51FBD">
      <w:pPr>
        <w:tabs>
          <w:tab w:val="clear" w:pos="567"/>
        </w:tabs>
        <w:spacing w:line="240" w:lineRule="auto"/>
        <w:rPr>
          <w:szCs w:val="22"/>
          <w:u w:val="single"/>
          <w:lang w:val="lt-LT"/>
        </w:rPr>
      </w:pPr>
    </w:p>
    <w:p w14:paraId="007CBBFC" w14:textId="77777777" w:rsidR="00F51FBD" w:rsidRPr="00900CEC" w:rsidRDefault="00F51FBD" w:rsidP="00F51FBD">
      <w:pPr>
        <w:spacing w:line="240" w:lineRule="auto"/>
        <w:rPr>
          <w:szCs w:val="22"/>
          <w:u w:val="single"/>
          <w:lang w:val="lt-LT"/>
        </w:rPr>
      </w:pPr>
      <w:r w:rsidRPr="00900CEC">
        <w:rPr>
          <w:szCs w:val="22"/>
          <w:u w:val="single"/>
          <w:lang w:val="lt-LT"/>
        </w:rPr>
        <w:t xml:space="preserve">Vartojimo metodas </w:t>
      </w:r>
    </w:p>
    <w:p w14:paraId="4C445430" w14:textId="21C2DF9E" w:rsidR="00F51FBD" w:rsidRPr="00900CEC" w:rsidRDefault="006A24B2" w:rsidP="00F51FBD">
      <w:pPr>
        <w:spacing w:line="240" w:lineRule="auto"/>
        <w:rPr>
          <w:szCs w:val="22"/>
          <w:lang w:val="lt-LT"/>
        </w:rPr>
      </w:pPr>
      <w:proofErr w:type="spellStart"/>
      <w:r>
        <w:rPr>
          <w:szCs w:val="22"/>
          <w:lang w:val="lt-LT"/>
        </w:rPr>
        <w:t>Paracetamol</w:t>
      </w:r>
      <w:proofErr w:type="spellEnd"/>
      <w:r>
        <w:rPr>
          <w:szCs w:val="22"/>
          <w:lang w:val="lt-LT"/>
        </w:rPr>
        <w:t>/</w:t>
      </w:r>
      <w:proofErr w:type="spellStart"/>
      <w:r>
        <w:rPr>
          <w:szCs w:val="22"/>
          <w:lang w:val="lt-LT"/>
        </w:rPr>
        <w:t>Ibuprofen</w:t>
      </w:r>
      <w:proofErr w:type="spellEnd"/>
      <w:r>
        <w:rPr>
          <w:szCs w:val="22"/>
          <w:lang w:val="lt-LT"/>
        </w:rPr>
        <w:t xml:space="preserve"> AFT </w:t>
      </w:r>
      <w:proofErr w:type="spellStart"/>
      <w:r>
        <w:rPr>
          <w:szCs w:val="22"/>
          <w:lang w:val="lt-LT"/>
        </w:rPr>
        <w:t>Pharmaceuticals</w:t>
      </w:r>
      <w:proofErr w:type="spellEnd"/>
      <w:r w:rsidR="00F51FBD">
        <w:rPr>
          <w:szCs w:val="22"/>
          <w:lang w:val="lt-LT"/>
        </w:rPr>
        <w:t xml:space="preserve"> </w:t>
      </w:r>
      <w:r w:rsidR="00F51FBD" w:rsidRPr="00900CEC">
        <w:rPr>
          <w:szCs w:val="22"/>
          <w:lang w:val="lt-LT"/>
        </w:rPr>
        <w:t>turi būti skiriamas kaip 15 min. trukmės intraveninė infuzija.</w:t>
      </w:r>
    </w:p>
    <w:p w14:paraId="745EA4A1" w14:textId="77777777" w:rsidR="00F51FBD" w:rsidRPr="00900CEC" w:rsidRDefault="00F51FBD" w:rsidP="00F51FBD">
      <w:pPr>
        <w:spacing w:line="240" w:lineRule="auto"/>
        <w:rPr>
          <w:szCs w:val="22"/>
          <w:lang w:val="lt-LT"/>
        </w:rPr>
      </w:pPr>
    </w:p>
    <w:p w14:paraId="6DDEAF12" w14:textId="4C097A0D" w:rsidR="00F51FBD" w:rsidRPr="00900CEC" w:rsidRDefault="00F51FBD" w:rsidP="00F51FBD">
      <w:pPr>
        <w:spacing w:line="240" w:lineRule="auto"/>
        <w:rPr>
          <w:szCs w:val="22"/>
          <w:lang w:val="lt-LT"/>
        </w:rPr>
      </w:pPr>
      <w:r w:rsidRPr="00900CEC">
        <w:rPr>
          <w:szCs w:val="22"/>
          <w:lang w:val="lt-LT"/>
        </w:rPr>
        <w:t>Norėdami ištraukti tirpalą iš flakonų naudokite 0,8 mm adatą (21</w:t>
      </w:r>
      <w:r w:rsidR="00CB1F4B">
        <w:rPr>
          <w:szCs w:val="22"/>
          <w:lang w:val="lt-LT"/>
        </w:rPr>
        <w:t> </w:t>
      </w:r>
      <w:r>
        <w:rPr>
          <w:szCs w:val="22"/>
          <w:lang w:val="lt-LT"/>
        </w:rPr>
        <w:t>dydžio</w:t>
      </w:r>
      <w:r w:rsidRPr="00900CEC">
        <w:rPr>
          <w:szCs w:val="22"/>
          <w:lang w:val="lt-LT"/>
        </w:rPr>
        <w:t xml:space="preserve"> adatą) ir vertikaliai pradurkite kamštį tam nurodytoje vietoje.</w:t>
      </w:r>
    </w:p>
    <w:p w14:paraId="12EF25AD" w14:textId="77777777" w:rsidR="00F51FBD" w:rsidRPr="00900CEC" w:rsidRDefault="00F51FBD" w:rsidP="00F51FBD">
      <w:pPr>
        <w:spacing w:line="240" w:lineRule="auto"/>
        <w:rPr>
          <w:szCs w:val="22"/>
          <w:lang w:val="lt-LT"/>
        </w:rPr>
      </w:pPr>
    </w:p>
    <w:p w14:paraId="7B85131E" w14:textId="229C33C5" w:rsidR="00F51FBD" w:rsidRPr="00900CEC" w:rsidRDefault="00F51FBD" w:rsidP="00F51FBD">
      <w:pPr>
        <w:spacing w:line="240" w:lineRule="auto"/>
        <w:rPr>
          <w:szCs w:val="22"/>
          <w:lang w:val="lt-LT"/>
        </w:rPr>
      </w:pPr>
      <w:r w:rsidRPr="00900CEC">
        <w:rPr>
          <w:szCs w:val="22"/>
          <w:lang w:val="lt-LT"/>
        </w:rPr>
        <w:t>Pacientams, sveriantiems mažiau nei 50</w:t>
      </w:r>
      <w:r>
        <w:rPr>
          <w:szCs w:val="22"/>
          <w:lang w:val="lt-LT"/>
        </w:rPr>
        <w:t> </w:t>
      </w:r>
      <w:r w:rsidRPr="00900CEC">
        <w:rPr>
          <w:szCs w:val="22"/>
          <w:lang w:val="lt-LT"/>
        </w:rPr>
        <w:t>kg, kuriems nereikia pilno flakono (100 ml), reikia suleisti reikiamą kiekį, o likusį tirpalą išmesti (taip pat žr. 6.6</w:t>
      </w:r>
      <w:r w:rsidR="00CB1F4B">
        <w:rPr>
          <w:szCs w:val="22"/>
          <w:lang w:val="lt-LT"/>
        </w:rPr>
        <w:t> </w:t>
      </w:r>
      <w:r w:rsidRPr="00900CEC">
        <w:rPr>
          <w:szCs w:val="22"/>
          <w:lang w:val="lt-LT"/>
        </w:rPr>
        <w:t>skyrių).</w:t>
      </w:r>
    </w:p>
    <w:p w14:paraId="3B3B6BB9" w14:textId="77777777" w:rsidR="00F51FBD" w:rsidRPr="00900CEC" w:rsidRDefault="00F51FBD" w:rsidP="00F51FBD">
      <w:pPr>
        <w:spacing w:line="240" w:lineRule="auto"/>
        <w:rPr>
          <w:szCs w:val="22"/>
          <w:lang w:val="lt-LT"/>
        </w:rPr>
      </w:pPr>
    </w:p>
    <w:p w14:paraId="71A05B91" w14:textId="77777777" w:rsidR="00F51FBD" w:rsidRPr="00900CEC" w:rsidRDefault="00F51FBD" w:rsidP="00F51FBD">
      <w:pPr>
        <w:spacing w:line="240" w:lineRule="auto"/>
        <w:rPr>
          <w:szCs w:val="22"/>
          <w:lang w:val="lt-LT"/>
        </w:rPr>
      </w:pPr>
      <w:r w:rsidRPr="00900CEC">
        <w:rPr>
          <w:szCs w:val="22"/>
          <w:lang w:val="lt-LT"/>
        </w:rPr>
        <w:t xml:space="preserve">Reikia atsiminti, kad kaip ir visais stikliniuose flakonuose esančių infuzinių tirpalų vartojimo atvejais, infuziją reikia atidžiai stebėti, ypač jos pabaigoje, nepriklausomai nuo vartojimo būdo. Šis stebėjimas </w:t>
      </w:r>
      <w:r w:rsidRPr="006A1698">
        <w:rPr>
          <w:szCs w:val="22"/>
          <w:lang w:val="lt-LT"/>
        </w:rPr>
        <w:t>infuzij</w:t>
      </w:r>
      <w:r>
        <w:rPr>
          <w:szCs w:val="22"/>
          <w:lang w:val="lt-LT"/>
        </w:rPr>
        <w:t>os</w:t>
      </w:r>
      <w:r w:rsidRPr="00900CEC">
        <w:rPr>
          <w:szCs w:val="22"/>
          <w:lang w:val="lt-LT"/>
        </w:rPr>
        <w:t xml:space="preserve"> pabaigoje ypač taikomas infuzij</w:t>
      </w:r>
      <w:r>
        <w:rPr>
          <w:szCs w:val="22"/>
          <w:lang w:val="lt-LT"/>
        </w:rPr>
        <w:t>os</w:t>
      </w:r>
      <w:r w:rsidRPr="00900CEC">
        <w:rPr>
          <w:szCs w:val="22"/>
          <w:lang w:val="lt-LT"/>
        </w:rPr>
        <w:t xml:space="preserve"> </w:t>
      </w:r>
      <w:r>
        <w:rPr>
          <w:szCs w:val="22"/>
          <w:lang w:val="lt-LT"/>
        </w:rPr>
        <w:t xml:space="preserve">į </w:t>
      </w:r>
      <w:r w:rsidRPr="00900CEC">
        <w:rPr>
          <w:szCs w:val="22"/>
          <w:lang w:val="lt-LT"/>
        </w:rPr>
        <w:t>centrin</w:t>
      </w:r>
      <w:r>
        <w:rPr>
          <w:szCs w:val="22"/>
          <w:lang w:val="lt-LT"/>
        </w:rPr>
        <w:t>ę veną</w:t>
      </w:r>
      <w:r w:rsidRPr="00900CEC">
        <w:rPr>
          <w:szCs w:val="22"/>
          <w:lang w:val="lt-LT"/>
        </w:rPr>
        <w:t xml:space="preserve"> </w:t>
      </w:r>
      <w:r>
        <w:rPr>
          <w:szCs w:val="22"/>
          <w:lang w:val="lt-LT"/>
        </w:rPr>
        <w:t>atveju</w:t>
      </w:r>
      <w:r w:rsidRPr="00900CEC">
        <w:rPr>
          <w:szCs w:val="22"/>
          <w:lang w:val="lt-LT"/>
        </w:rPr>
        <w:t>, siekiant išvengti oro embolijos.</w:t>
      </w:r>
    </w:p>
    <w:p w14:paraId="2FE5AED5" w14:textId="77777777" w:rsidR="00F51FBD" w:rsidRPr="00900CEC" w:rsidRDefault="00F51FBD" w:rsidP="00F51FBD">
      <w:pPr>
        <w:spacing w:line="240" w:lineRule="auto"/>
        <w:rPr>
          <w:szCs w:val="22"/>
          <w:lang w:val="lt-LT"/>
        </w:rPr>
      </w:pPr>
    </w:p>
    <w:p w14:paraId="1970DD40" w14:textId="77777777" w:rsidR="00F51FBD" w:rsidRPr="00900CEC" w:rsidRDefault="00F51FBD" w:rsidP="00F51FBD">
      <w:pPr>
        <w:pStyle w:val="Antrat4"/>
        <w:spacing w:line="240" w:lineRule="auto"/>
        <w:jc w:val="left"/>
        <w:rPr>
          <w:rFonts w:ascii="Times New Roman" w:hAnsi="Times New Roman"/>
          <w:sz w:val="22"/>
          <w:szCs w:val="22"/>
          <w:lang w:val="lt-LT"/>
        </w:rPr>
      </w:pPr>
      <w:r w:rsidRPr="00900CEC">
        <w:rPr>
          <w:rFonts w:ascii="Times New Roman" w:hAnsi="Times New Roman"/>
          <w:sz w:val="22"/>
          <w:szCs w:val="22"/>
          <w:lang w:val="lt-LT"/>
        </w:rPr>
        <w:t>4.3</w:t>
      </w:r>
      <w:r w:rsidRPr="00900CEC">
        <w:rPr>
          <w:rFonts w:ascii="Times New Roman" w:hAnsi="Times New Roman"/>
          <w:sz w:val="22"/>
          <w:szCs w:val="22"/>
          <w:lang w:val="lt-LT"/>
        </w:rPr>
        <w:tab/>
        <w:t>Kontraindikacijos</w:t>
      </w:r>
    </w:p>
    <w:p w14:paraId="19E498C0" w14:textId="77777777" w:rsidR="00F51FBD" w:rsidRPr="00900CEC" w:rsidRDefault="00F51FBD" w:rsidP="00F51FBD">
      <w:pPr>
        <w:spacing w:line="240" w:lineRule="auto"/>
        <w:rPr>
          <w:szCs w:val="22"/>
          <w:lang w:val="lt-LT"/>
        </w:rPr>
      </w:pPr>
    </w:p>
    <w:p w14:paraId="71C4AF93" w14:textId="77777777" w:rsidR="00F51FBD" w:rsidRPr="00900CEC" w:rsidRDefault="00F51FBD" w:rsidP="00F51FBD">
      <w:pPr>
        <w:spacing w:line="240" w:lineRule="auto"/>
        <w:rPr>
          <w:szCs w:val="22"/>
          <w:lang w:val="lt-LT"/>
        </w:rPr>
      </w:pPr>
      <w:r w:rsidRPr="00900CEC">
        <w:rPr>
          <w:szCs w:val="22"/>
          <w:lang w:val="lt-LT"/>
        </w:rPr>
        <w:t>Šio vaistinio preparato negalima vartoti:</w:t>
      </w:r>
    </w:p>
    <w:p w14:paraId="21909297" w14:textId="5D7AC762" w:rsidR="00F51FBD" w:rsidRPr="00900CEC" w:rsidRDefault="00F51FBD" w:rsidP="00F51FBD">
      <w:pPr>
        <w:numPr>
          <w:ilvl w:val="0"/>
          <w:numId w:val="6"/>
        </w:numPr>
        <w:tabs>
          <w:tab w:val="clear" w:pos="567"/>
          <w:tab w:val="left" w:pos="709"/>
        </w:tabs>
        <w:suppressAutoHyphens/>
        <w:spacing w:line="240" w:lineRule="auto"/>
        <w:rPr>
          <w:szCs w:val="22"/>
          <w:lang w:val="lt-LT"/>
        </w:rPr>
      </w:pPr>
      <w:r w:rsidRPr="00900CEC">
        <w:rPr>
          <w:szCs w:val="22"/>
          <w:lang w:val="lt-LT"/>
        </w:rPr>
        <w:t xml:space="preserve">pacientams, kuriems yra padidėjęs jautrumas </w:t>
      </w:r>
      <w:proofErr w:type="spellStart"/>
      <w:r w:rsidRPr="00900CEC">
        <w:rPr>
          <w:szCs w:val="22"/>
          <w:lang w:val="lt-LT"/>
        </w:rPr>
        <w:t>paracetamoliui</w:t>
      </w:r>
      <w:proofErr w:type="spellEnd"/>
      <w:r w:rsidRPr="00900CEC">
        <w:rPr>
          <w:szCs w:val="22"/>
          <w:lang w:val="lt-LT"/>
        </w:rPr>
        <w:t xml:space="preserve">, </w:t>
      </w:r>
      <w:proofErr w:type="spellStart"/>
      <w:r w:rsidRPr="00900CEC">
        <w:rPr>
          <w:szCs w:val="22"/>
          <w:lang w:val="lt-LT"/>
        </w:rPr>
        <w:t>ibuprofenui</w:t>
      </w:r>
      <w:proofErr w:type="spellEnd"/>
      <w:r w:rsidRPr="00900CEC">
        <w:rPr>
          <w:szCs w:val="22"/>
          <w:lang w:val="lt-LT"/>
        </w:rPr>
        <w:t>, kitiems NVNU arba bet kuriai 6.1</w:t>
      </w:r>
      <w:r w:rsidR="00CB1F4B">
        <w:rPr>
          <w:szCs w:val="22"/>
          <w:lang w:val="lt-LT"/>
        </w:rPr>
        <w:t> </w:t>
      </w:r>
      <w:r w:rsidRPr="00900CEC">
        <w:rPr>
          <w:szCs w:val="22"/>
          <w:lang w:val="lt-LT"/>
        </w:rPr>
        <w:t>skyriuje nurodytai pagalbinei medžiag</w:t>
      </w:r>
      <w:r>
        <w:rPr>
          <w:szCs w:val="22"/>
          <w:lang w:val="lt-LT"/>
        </w:rPr>
        <w:t>ai</w:t>
      </w:r>
      <w:r w:rsidRPr="00900CEC">
        <w:rPr>
          <w:szCs w:val="22"/>
          <w:lang w:val="lt-LT"/>
        </w:rPr>
        <w:t>;</w:t>
      </w:r>
    </w:p>
    <w:p w14:paraId="42546BD2" w14:textId="77777777" w:rsidR="00F51FBD" w:rsidRPr="00900CEC" w:rsidRDefault="00F51FBD" w:rsidP="00F51FBD">
      <w:pPr>
        <w:numPr>
          <w:ilvl w:val="0"/>
          <w:numId w:val="6"/>
        </w:numPr>
        <w:tabs>
          <w:tab w:val="clear" w:pos="567"/>
          <w:tab w:val="left" w:pos="709"/>
        </w:tabs>
        <w:suppressAutoHyphens/>
        <w:spacing w:line="240" w:lineRule="auto"/>
        <w:rPr>
          <w:szCs w:val="22"/>
          <w:lang w:val="lt-LT"/>
        </w:rPr>
      </w:pPr>
      <w:r w:rsidRPr="00900CEC">
        <w:rPr>
          <w:szCs w:val="22"/>
          <w:lang w:val="lt-LT"/>
        </w:rPr>
        <w:t xml:space="preserve">pacientams, sergantiems sunkiu (IV </w:t>
      </w:r>
      <w:r w:rsidRPr="00D06760">
        <w:rPr>
          <w:i/>
          <w:szCs w:val="22"/>
          <w:lang w:val="lt-LT"/>
        </w:rPr>
        <w:t xml:space="preserve">NYHA </w:t>
      </w:r>
      <w:r>
        <w:rPr>
          <w:szCs w:val="22"/>
          <w:lang w:val="lt-LT"/>
        </w:rPr>
        <w:t xml:space="preserve">funkcinės </w:t>
      </w:r>
      <w:r w:rsidRPr="00900CEC">
        <w:rPr>
          <w:szCs w:val="22"/>
          <w:lang w:val="lt-LT"/>
        </w:rPr>
        <w:t>klasės) širdies nepakankamumu;</w:t>
      </w:r>
    </w:p>
    <w:p w14:paraId="3BB91D46" w14:textId="77777777" w:rsidR="00F51FBD" w:rsidRPr="00900CEC" w:rsidRDefault="00F51FBD" w:rsidP="00F51FBD">
      <w:pPr>
        <w:numPr>
          <w:ilvl w:val="0"/>
          <w:numId w:val="6"/>
        </w:numPr>
        <w:tabs>
          <w:tab w:val="clear" w:pos="567"/>
          <w:tab w:val="left" w:pos="709"/>
        </w:tabs>
        <w:suppressAutoHyphens/>
        <w:spacing w:line="240" w:lineRule="auto"/>
        <w:rPr>
          <w:szCs w:val="22"/>
          <w:lang w:val="lt-LT"/>
        </w:rPr>
      </w:pPr>
      <w:r w:rsidRPr="00900CEC">
        <w:rPr>
          <w:szCs w:val="22"/>
          <w:lang w:val="lt-LT"/>
        </w:rPr>
        <w:t xml:space="preserve">pacientams, šiuo metu sergantiems alkoholizmu (ilgalaikis piktnaudžiavimas alkoholiu vartojant paracetamolį gali sudaryti sąlygas </w:t>
      </w:r>
      <w:proofErr w:type="spellStart"/>
      <w:r w:rsidRPr="00900CEC">
        <w:rPr>
          <w:szCs w:val="22"/>
          <w:lang w:val="lt-LT"/>
        </w:rPr>
        <w:t>hepatotoksiniam</w:t>
      </w:r>
      <w:proofErr w:type="spellEnd"/>
      <w:r w:rsidRPr="00900CEC">
        <w:rPr>
          <w:szCs w:val="22"/>
          <w:lang w:val="lt-LT"/>
        </w:rPr>
        <w:t xml:space="preserve"> poveikiui pasireikšti);</w:t>
      </w:r>
    </w:p>
    <w:p w14:paraId="47A4D2EE" w14:textId="77777777" w:rsidR="00F51FBD" w:rsidRPr="00900CEC" w:rsidRDefault="00F51FBD" w:rsidP="00F51FBD">
      <w:pPr>
        <w:numPr>
          <w:ilvl w:val="0"/>
          <w:numId w:val="6"/>
        </w:numPr>
        <w:tabs>
          <w:tab w:val="clear" w:pos="567"/>
          <w:tab w:val="left" w:pos="709"/>
        </w:tabs>
        <w:suppressAutoHyphens/>
        <w:spacing w:line="240" w:lineRule="auto"/>
        <w:rPr>
          <w:szCs w:val="22"/>
          <w:lang w:val="lt-LT"/>
        </w:rPr>
      </w:pPr>
      <w:r w:rsidRPr="00900CEC">
        <w:rPr>
          <w:szCs w:val="22"/>
          <w:lang w:val="lt-LT"/>
        </w:rPr>
        <w:lastRenderedPageBreak/>
        <w:t>pacientams, kuriems buvo pasireiškusi astma, dilgėlinė arba alerginė reakcija, pavartojus acetilsalicilo rūgšties arba kitų NVNU;</w:t>
      </w:r>
    </w:p>
    <w:p w14:paraId="193CDFC3" w14:textId="77777777" w:rsidR="00F51FBD" w:rsidRPr="00900CEC" w:rsidRDefault="00F51FBD" w:rsidP="00F51FBD">
      <w:pPr>
        <w:numPr>
          <w:ilvl w:val="0"/>
          <w:numId w:val="6"/>
        </w:numPr>
        <w:tabs>
          <w:tab w:val="clear" w:pos="567"/>
          <w:tab w:val="left" w:pos="709"/>
        </w:tabs>
        <w:suppressAutoHyphens/>
        <w:spacing w:line="240" w:lineRule="auto"/>
        <w:rPr>
          <w:szCs w:val="22"/>
          <w:lang w:val="lt-LT"/>
        </w:rPr>
      </w:pPr>
      <w:r w:rsidRPr="00900CEC">
        <w:rPr>
          <w:szCs w:val="22"/>
          <w:lang w:val="lt-LT"/>
        </w:rPr>
        <w:t>pacientams, kuriems vartojant NVNU buvo pasireiškęs virškinimo trakto kraujavimas arba perforacija;</w:t>
      </w:r>
    </w:p>
    <w:p w14:paraId="4F60F383" w14:textId="77777777" w:rsidR="00F51FBD" w:rsidRPr="00900CEC" w:rsidRDefault="00F51FBD" w:rsidP="00F51FBD">
      <w:pPr>
        <w:numPr>
          <w:ilvl w:val="0"/>
          <w:numId w:val="6"/>
        </w:numPr>
        <w:tabs>
          <w:tab w:val="clear" w:pos="567"/>
          <w:tab w:val="left" w:pos="709"/>
        </w:tabs>
        <w:suppressAutoHyphens/>
        <w:spacing w:line="240" w:lineRule="auto"/>
        <w:rPr>
          <w:szCs w:val="22"/>
          <w:lang w:val="lt-LT"/>
        </w:rPr>
      </w:pPr>
      <w:r w:rsidRPr="00900CEC">
        <w:rPr>
          <w:szCs w:val="22"/>
          <w:lang w:val="lt-LT"/>
        </w:rPr>
        <w:t xml:space="preserve">pacientams, kuriems šiuo metu yra ar anksčiau buvo pasikartojanti aktyvi </w:t>
      </w:r>
      <w:proofErr w:type="spellStart"/>
      <w:r w:rsidRPr="00900CEC">
        <w:rPr>
          <w:szCs w:val="22"/>
          <w:lang w:val="lt-LT"/>
        </w:rPr>
        <w:t>peptinė</w:t>
      </w:r>
      <w:proofErr w:type="spellEnd"/>
      <w:r w:rsidRPr="00900CEC">
        <w:rPr>
          <w:szCs w:val="22"/>
          <w:lang w:val="lt-LT"/>
        </w:rPr>
        <w:t xml:space="preserve"> opa ar kraujavimas (t. y. buvo du ar daugiau skirtingų patvirtintų opos ar kraujavimo epizodų);</w:t>
      </w:r>
    </w:p>
    <w:p w14:paraId="556AC0DB" w14:textId="4A3FEAFE" w:rsidR="00F51FBD" w:rsidRPr="00900CEC" w:rsidRDefault="00F51FBD" w:rsidP="00F51FBD">
      <w:pPr>
        <w:numPr>
          <w:ilvl w:val="0"/>
          <w:numId w:val="6"/>
        </w:numPr>
        <w:tabs>
          <w:tab w:val="clear" w:pos="567"/>
          <w:tab w:val="left" w:pos="709"/>
        </w:tabs>
        <w:suppressAutoHyphens/>
        <w:spacing w:line="240" w:lineRule="auto"/>
        <w:rPr>
          <w:szCs w:val="22"/>
          <w:lang w:val="lt-LT"/>
        </w:rPr>
      </w:pPr>
      <w:r w:rsidRPr="00900CEC">
        <w:rPr>
          <w:szCs w:val="22"/>
          <w:lang w:val="lt-LT"/>
        </w:rPr>
        <w:t>pacientams, sergantiems sunkiu kepenų arba inkstų nepakankamumu (žr. 4.4</w:t>
      </w:r>
      <w:r w:rsidR="00CB1F4B">
        <w:rPr>
          <w:szCs w:val="22"/>
          <w:lang w:val="lt-LT"/>
        </w:rPr>
        <w:t> </w:t>
      </w:r>
      <w:r w:rsidRPr="00900CEC">
        <w:rPr>
          <w:szCs w:val="22"/>
          <w:lang w:val="lt-LT"/>
        </w:rPr>
        <w:t>skyrių);</w:t>
      </w:r>
    </w:p>
    <w:p w14:paraId="7B756A58" w14:textId="77777777" w:rsidR="00F51FBD" w:rsidRPr="00900CEC" w:rsidRDefault="00F51FBD" w:rsidP="00F51FBD">
      <w:pPr>
        <w:numPr>
          <w:ilvl w:val="0"/>
          <w:numId w:val="6"/>
        </w:numPr>
        <w:tabs>
          <w:tab w:val="clear" w:pos="567"/>
          <w:tab w:val="left" w:pos="709"/>
        </w:tabs>
        <w:suppressAutoHyphens/>
        <w:spacing w:line="240" w:lineRule="auto"/>
        <w:rPr>
          <w:szCs w:val="22"/>
          <w:lang w:val="lt-LT"/>
        </w:rPr>
      </w:pPr>
      <w:r w:rsidRPr="00900CEC">
        <w:rPr>
          <w:szCs w:val="22"/>
          <w:lang w:val="lt-LT"/>
        </w:rPr>
        <w:t>pacientams, kuriems yra kraujavimas į galvos smegenis arba kitoks aktyvus kraujavimas;</w:t>
      </w:r>
    </w:p>
    <w:p w14:paraId="627DBB89" w14:textId="77777777" w:rsidR="00F51FBD" w:rsidRPr="00900CEC" w:rsidRDefault="00F51FBD" w:rsidP="00F51FBD">
      <w:pPr>
        <w:numPr>
          <w:ilvl w:val="0"/>
          <w:numId w:val="6"/>
        </w:numPr>
        <w:tabs>
          <w:tab w:val="clear" w:pos="567"/>
          <w:tab w:val="left" w:pos="709"/>
        </w:tabs>
        <w:suppressAutoHyphens/>
        <w:spacing w:line="240" w:lineRule="auto"/>
        <w:rPr>
          <w:szCs w:val="22"/>
          <w:lang w:val="lt-LT"/>
        </w:rPr>
      </w:pPr>
      <w:bookmarkStart w:id="0" w:name="_Hlk39783807"/>
      <w:r w:rsidRPr="00900CEC">
        <w:rPr>
          <w:szCs w:val="22"/>
          <w:lang w:val="lt-LT"/>
        </w:rPr>
        <w:t>pacientams, kuriems yra kraujo krešėjimo sutrikimų ir būklės, dėl kurių padidėja polinkis kraujuoti;</w:t>
      </w:r>
    </w:p>
    <w:p w14:paraId="0C90637E" w14:textId="77777777" w:rsidR="00F51FBD" w:rsidRPr="00900CEC" w:rsidRDefault="00F51FBD" w:rsidP="00F51FBD">
      <w:pPr>
        <w:numPr>
          <w:ilvl w:val="0"/>
          <w:numId w:val="6"/>
        </w:numPr>
        <w:tabs>
          <w:tab w:val="clear" w:pos="567"/>
          <w:tab w:val="left" w:pos="709"/>
        </w:tabs>
        <w:suppressAutoHyphens/>
        <w:spacing w:line="240" w:lineRule="auto"/>
        <w:rPr>
          <w:szCs w:val="22"/>
          <w:lang w:val="lt-LT"/>
        </w:rPr>
      </w:pPr>
      <w:r w:rsidRPr="00900CEC">
        <w:rPr>
          <w:szCs w:val="22"/>
          <w:lang w:val="lt-LT"/>
        </w:rPr>
        <w:t>pacientams, kuriems yra sunki dehidratacija (sukelta vėmimo, viduriavimo ar nepakankamo skysčių vartojimo);</w:t>
      </w:r>
    </w:p>
    <w:bookmarkEnd w:id="0"/>
    <w:p w14:paraId="1A45A1C2" w14:textId="1126FDCC" w:rsidR="00F51FBD" w:rsidRPr="00900CEC" w:rsidRDefault="00F51FBD" w:rsidP="00F51FBD">
      <w:pPr>
        <w:numPr>
          <w:ilvl w:val="0"/>
          <w:numId w:val="6"/>
        </w:numPr>
        <w:tabs>
          <w:tab w:val="clear" w:pos="567"/>
          <w:tab w:val="left" w:pos="709"/>
        </w:tabs>
        <w:suppressAutoHyphens/>
        <w:spacing w:line="240" w:lineRule="auto"/>
        <w:rPr>
          <w:szCs w:val="22"/>
          <w:lang w:val="lt-LT"/>
        </w:rPr>
      </w:pPr>
      <w:r w:rsidRPr="00900CEC">
        <w:rPr>
          <w:szCs w:val="22"/>
          <w:lang w:val="lt-LT"/>
        </w:rPr>
        <w:t>paskutinį nėštumo trimestrą (žr. 4.6</w:t>
      </w:r>
      <w:r w:rsidR="00CB1F4B">
        <w:rPr>
          <w:szCs w:val="22"/>
          <w:lang w:val="lt-LT"/>
        </w:rPr>
        <w:t> </w:t>
      </w:r>
      <w:r w:rsidRPr="00900CEC">
        <w:rPr>
          <w:szCs w:val="22"/>
          <w:lang w:val="lt-LT"/>
        </w:rPr>
        <w:t>skyrių).</w:t>
      </w:r>
    </w:p>
    <w:p w14:paraId="7C5B3FCD" w14:textId="1FE347B0" w:rsidR="00F51FBD" w:rsidRPr="00900CEC" w:rsidRDefault="00F51FBD" w:rsidP="00F51FBD">
      <w:pPr>
        <w:numPr>
          <w:ilvl w:val="0"/>
          <w:numId w:val="6"/>
        </w:numPr>
        <w:tabs>
          <w:tab w:val="clear" w:pos="567"/>
          <w:tab w:val="left" w:pos="709"/>
        </w:tabs>
        <w:suppressAutoHyphens/>
        <w:spacing w:line="240" w:lineRule="auto"/>
        <w:rPr>
          <w:szCs w:val="22"/>
          <w:lang w:val="lt-LT"/>
        </w:rPr>
      </w:pPr>
      <w:r w:rsidRPr="00900CEC">
        <w:rPr>
          <w:bCs/>
          <w:szCs w:val="22"/>
          <w:lang w:val="lt-LT"/>
        </w:rPr>
        <w:t>pacientams, jaunesniems kai</w:t>
      </w:r>
      <w:r>
        <w:rPr>
          <w:bCs/>
          <w:szCs w:val="22"/>
          <w:lang w:val="lt-LT"/>
        </w:rPr>
        <w:t>p</w:t>
      </w:r>
      <w:r w:rsidRPr="00900CEC">
        <w:rPr>
          <w:bCs/>
          <w:szCs w:val="22"/>
          <w:lang w:val="lt-LT"/>
        </w:rPr>
        <w:t xml:space="preserve"> 18</w:t>
      </w:r>
      <w:r w:rsidR="00CB1F4B">
        <w:rPr>
          <w:bCs/>
          <w:szCs w:val="22"/>
          <w:lang w:val="lt-LT"/>
        </w:rPr>
        <w:t> </w:t>
      </w:r>
      <w:r w:rsidRPr="00900CEC">
        <w:rPr>
          <w:bCs/>
          <w:szCs w:val="22"/>
          <w:lang w:val="lt-LT"/>
        </w:rPr>
        <w:t>metų.</w:t>
      </w:r>
    </w:p>
    <w:p w14:paraId="53ABA1BE" w14:textId="77777777" w:rsidR="00F51FBD" w:rsidRPr="00900CEC" w:rsidRDefault="00F51FBD" w:rsidP="00F51FBD">
      <w:pPr>
        <w:spacing w:line="240" w:lineRule="auto"/>
        <w:rPr>
          <w:szCs w:val="22"/>
          <w:lang w:val="lt-LT"/>
        </w:rPr>
      </w:pPr>
    </w:p>
    <w:p w14:paraId="7A68E30A" w14:textId="77777777" w:rsidR="00F51FBD" w:rsidRPr="00900CEC" w:rsidRDefault="00F51FBD" w:rsidP="00F51FBD">
      <w:pPr>
        <w:pStyle w:val="Antrat4"/>
        <w:spacing w:line="240" w:lineRule="auto"/>
        <w:jc w:val="left"/>
        <w:rPr>
          <w:rFonts w:ascii="Times New Roman" w:hAnsi="Times New Roman"/>
          <w:sz w:val="22"/>
          <w:szCs w:val="22"/>
          <w:lang w:val="lt-LT"/>
        </w:rPr>
      </w:pPr>
      <w:r w:rsidRPr="00900CEC">
        <w:rPr>
          <w:rFonts w:ascii="Times New Roman" w:hAnsi="Times New Roman"/>
          <w:sz w:val="22"/>
          <w:szCs w:val="22"/>
          <w:lang w:val="lt-LT"/>
        </w:rPr>
        <w:t>4.4</w:t>
      </w:r>
      <w:r w:rsidRPr="00900CEC">
        <w:rPr>
          <w:rFonts w:ascii="Times New Roman" w:hAnsi="Times New Roman"/>
          <w:sz w:val="22"/>
          <w:szCs w:val="22"/>
          <w:lang w:val="lt-LT"/>
        </w:rPr>
        <w:tab/>
        <w:t>Specialūs įspėjimai ir atsargumo priemonės</w:t>
      </w:r>
    </w:p>
    <w:p w14:paraId="24DB01DA" w14:textId="77777777" w:rsidR="00F51FBD" w:rsidRPr="00900CEC" w:rsidRDefault="00F51FBD" w:rsidP="00F51FBD">
      <w:pPr>
        <w:spacing w:line="240" w:lineRule="auto"/>
        <w:rPr>
          <w:szCs w:val="22"/>
          <w:lang w:val="lt-LT"/>
        </w:rPr>
      </w:pPr>
    </w:p>
    <w:p w14:paraId="00E2CE8F" w14:textId="6D41F6D6" w:rsidR="00F51FBD" w:rsidRPr="00900CEC" w:rsidRDefault="00F51FBD" w:rsidP="00F51FBD">
      <w:pPr>
        <w:spacing w:line="240" w:lineRule="auto"/>
        <w:rPr>
          <w:szCs w:val="22"/>
          <w:lang w:val="lt-LT"/>
        </w:rPr>
      </w:pPr>
      <w:r w:rsidRPr="00900CEC">
        <w:rPr>
          <w:szCs w:val="22"/>
          <w:lang w:val="lt-LT"/>
        </w:rPr>
        <w:t xml:space="preserve">Nepageidaujamą poveikį galima sumažinti arba jo išvengti vartojant mažiausią veiksmingą dozę trumpiausią simptomams </w:t>
      </w:r>
      <w:r w:rsidRPr="00D06760">
        <w:rPr>
          <w:szCs w:val="22"/>
          <w:lang w:val="lt-LT"/>
        </w:rPr>
        <w:t>šalinti</w:t>
      </w:r>
      <w:r w:rsidRPr="00900CEC">
        <w:rPr>
          <w:szCs w:val="22"/>
          <w:lang w:val="lt-LT"/>
        </w:rPr>
        <w:t xml:space="preserve"> būtiną laiką. Šis vaistinis preparatas skirtas vartoti trumpai, jo nerekomenduojama vartoti ilgiau kaip </w:t>
      </w:r>
      <w:r>
        <w:rPr>
          <w:szCs w:val="22"/>
          <w:lang w:val="lt-LT"/>
        </w:rPr>
        <w:t>2</w:t>
      </w:r>
      <w:r w:rsidR="00CB1F4B">
        <w:rPr>
          <w:szCs w:val="22"/>
          <w:lang w:val="lt-LT"/>
        </w:rPr>
        <w:t> </w:t>
      </w:r>
      <w:r w:rsidRPr="00900CEC">
        <w:rPr>
          <w:szCs w:val="22"/>
          <w:lang w:val="lt-LT"/>
        </w:rPr>
        <w:t>dienas.</w:t>
      </w:r>
    </w:p>
    <w:p w14:paraId="181AE692" w14:textId="77777777" w:rsidR="00F51FBD" w:rsidRPr="00900CEC" w:rsidRDefault="00F51FBD" w:rsidP="00F51FBD">
      <w:pPr>
        <w:spacing w:line="240" w:lineRule="auto"/>
        <w:rPr>
          <w:szCs w:val="22"/>
          <w:lang w:val="lt-LT"/>
        </w:rPr>
      </w:pPr>
    </w:p>
    <w:p w14:paraId="5B0C1F5E" w14:textId="16A77006" w:rsidR="00F51FBD" w:rsidRPr="00900CEC" w:rsidRDefault="00F51FBD" w:rsidP="00F51FBD">
      <w:pPr>
        <w:spacing w:line="240" w:lineRule="auto"/>
        <w:rPr>
          <w:szCs w:val="22"/>
          <w:lang w:val="lt-LT"/>
        </w:rPr>
      </w:pPr>
      <w:r w:rsidRPr="00900CEC">
        <w:rPr>
          <w:szCs w:val="22"/>
          <w:lang w:val="lt-LT"/>
        </w:rPr>
        <w:t xml:space="preserve">Reikia vengti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Pr>
          <w:szCs w:val="22"/>
          <w:lang w:val="lt-LT"/>
        </w:rPr>
        <w:t xml:space="preserve"> </w:t>
      </w:r>
      <w:r w:rsidRPr="00900CEC">
        <w:rPr>
          <w:szCs w:val="22"/>
          <w:lang w:val="lt-LT"/>
        </w:rPr>
        <w:t>vartoti kartu su NVNU, įskaitant selektyvius ciklooksigenazės-2 inhibitorius.</w:t>
      </w:r>
    </w:p>
    <w:p w14:paraId="7B1C448E" w14:textId="77777777" w:rsidR="00F51FBD" w:rsidRPr="00900CEC" w:rsidRDefault="00F51FBD" w:rsidP="00F51FBD">
      <w:pPr>
        <w:spacing w:line="240" w:lineRule="auto"/>
        <w:rPr>
          <w:bCs/>
          <w:szCs w:val="22"/>
          <w:lang w:val="lt-LT"/>
        </w:rPr>
      </w:pPr>
    </w:p>
    <w:p w14:paraId="067EF739" w14:textId="77777777" w:rsidR="00F51FBD" w:rsidRPr="00900CEC" w:rsidRDefault="00F51FBD" w:rsidP="00F51FBD">
      <w:pPr>
        <w:spacing w:line="240" w:lineRule="auto"/>
        <w:rPr>
          <w:bCs/>
          <w:szCs w:val="22"/>
          <w:lang w:val="lt-LT"/>
        </w:rPr>
      </w:pPr>
      <w:r w:rsidRPr="00900CEC">
        <w:rPr>
          <w:bCs/>
          <w:szCs w:val="22"/>
          <w:lang w:val="lt-LT"/>
        </w:rPr>
        <w:t xml:space="preserve">Norint išvengti perdozavimo reikia: </w:t>
      </w:r>
    </w:p>
    <w:p w14:paraId="4FDEEE18" w14:textId="77777777" w:rsidR="00F51FBD" w:rsidRPr="00900CEC" w:rsidRDefault="00F51FBD" w:rsidP="00F51FBD">
      <w:pPr>
        <w:numPr>
          <w:ilvl w:val="0"/>
          <w:numId w:val="6"/>
        </w:numPr>
        <w:tabs>
          <w:tab w:val="clear" w:pos="567"/>
          <w:tab w:val="left" w:pos="709"/>
        </w:tabs>
        <w:suppressAutoHyphens/>
        <w:spacing w:line="240" w:lineRule="auto"/>
        <w:rPr>
          <w:szCs w:val="22"/>
          <w:lang w:val="lt-LT"/>
        </w:rPr>
      </w:pPr>
      <w:r w:rsidRPr="00900CEC">
        <w:rPr>
          <w:szCs w:val="22"/>
          <w:lang w:val="lt-LT"/>
        </w:rPr>
        <w:t>patikrinti, ar kartu vartojamų vaistinių preparatų sudėtyje nėra paracetamolio;</w:t>
      </w:r>
    </w:p>
    <w:p w14:paraId="3660E4E3" w14:textId="30814875" w:rsidR="00F51FBD" w:rsidRPr="00900CEC" w:rsidRDefault="00F51FBD" w:rsidP="00F51FBD">
      <w:pPr>
        <w:numPr>
          <w:ilvl w:val="0"/>
          <w:numId w:val="6"/>
        </w:numPr>
        <w:tabs>
          <w:tab w:val="clear" w:pos="567"/>
          <w:tab w:val="left" w:pos="709"/>
        </w:tabs>
        <w:suppressAutoHyphens/>
        <w:spacing w:line="240" w:lineRule="auto"/>
        <w:rPr>
          <w:szCs w:val="22"/>
          <w:lang w:val="lt-LT"/>
        </w:rPr>
      </w:pPr>
      <w:r w:rsidRPr="00900CEC">
        <w:rPr>
          <w:szCs w:val="22"/>
          <w:lang w:val="lt-LT"/>
        </w:rPr>
        <w:t>neviršyti didžiausios rekomenduojamos dozės (žr. 4.2</w:t>
      </w:r>
      <w:r w:rsidR="00CB1F4B">
        <w:rPr>
          <w:szCs w:val="22"/>
          <w:lang w:val="lt-LT"/>
        </w:rPr>
        <w:t> </w:t>
      </w:r>
      <w:r w:rsidRPr="00900CEC">
        <w:rPr>
          <w:szCs w:val="22"/>
          <w:lang w:val="lt-LT"/>
        </w:rPr>
        <w:t>skyrių).</w:t>
      </w:r>
    </w:p>
    <w:p w14:paraId="3E39ADF5" w14:textId="77777777" w:rsidR="00F51FBD" w:rsidRPr="00900CEC" w:rsidRDefault="00F51FBD" w:rsidP="00F51FBD">
      <w:pPr>
        <w:tabs>
          <w:tab w:val="clear" w:pos="567"/>
          <w:tab w:val="left" w:pos="709"/>
        </w:tabs>
        <w:suppressAutoHyphens/>
        <w:spacing w:line="240" w:lineRule="auto"/>
        <w:rPr>
          <w:szCs w:val="22"/>
          <w:lang w:val="lt-LT"/>
        </w:rPr>
      </w:pPr>
    </w:p>
    <w:p w14:paraId="45D37382" w14:textId="77777777" w:rsidR="00F51FBD" w:rsidRPr="00900CEC" w:rsidRDefault="00F51FBD" w:rsidP="00F51FBD">
      <w:pPr>
        <w:pStyle w:val="Antrat3"/>
        <w:spacing w:before="0" w:after="0" w:line="240" w:lineRule="auto"/>
        <w:rPr>
          <w:rFonts w:ascii="Times New Roman" w:hAnsi="Times New Roman"/>
          <w:b w:val="0"/>
          <w:bCs w:val="0"/>
          <w:i/>
          <w:sz w:val="22"/>
          <w:szCs w:val="22"/>
          <w:lang w:val="lt-LT"/>
        </w:rPr>
      </w:pPr>
      <w:r w:rsidRPr="00900CEC">
        <w:rPr>
          <w:rFonts w:ascii="Times New Roman" w:hAnsi="Times New Roman"/>
          <w:b w:val="0"/>
          <w:i/>
          <w:sz w:val="22"/>
          <w:szCs w:val="22"/>
          <w:lang w:val="lt-LT"/>
        </w:rPr>
        <w:t>Kardiovaskulinės trombozės reiškiniai</w:t>
      </w:r>
    </w:p>
    <w:p w14:paraId="5C032475" w14:textId="77777777" w:rsidR="00F51FBD" w:rsidRPr="00900CEC" w:rsidRDefault="00F51FBD" w:rsidP="00F51FBD">
      <w:pPr>
        <w:spacing w:line="240" w:lineRule="auto"/>
        <w:rPr>
          <w:bCs/>
          <w:szCs w:val="22"/>
          <w:lang w:val="lt-LT"/>
        </w:rPr>
      </w:pPr>
      <w:r w:rsidRPr="00900CEC">
        <w:rPr>
          <w:bCs/>
          <w:szCs w:val="22"/>
          <w:lang w:val="lt-LT"/>
        </w:rPr>
        <w:t xml:space="preserve">Klinikinių tyrimų duomenimis, ibuprofeno (ypač didelių dozių, t. y. 2400 mg per parą) vartojimas gali </w:t>
      </w:r>
      <w:r>
        <w:rPr>
          <w:bCs/>
          <w:szCs w:val="22"/>
          <w:lang w:val="lt-LT"/>
        </w:rPr>
        <w:t xml:space="preserve">šiek tiek padidinti </w:t>
      </w:r>
      <w:r w:rsidRPr="00900CEC">
        <w:rPr>
          <w:bCs/>
          <w:szCs w:val="22"/>
          <w:lang w:val="lt-LT"/>
        </w:rPr>
        <w:t>arterijų trombozės reiškinių (pvz., miokardo infarkto ir insulto) rizik</w:t>
      </w:r>
      <w:r>
        <w:rPr>
          <w:bCs/>
          <w:szCs w:val="22"/>
          <w:lang w:val="lt-LT"/>
        </w:rPr>
        <w:t>ą</w:t>
      </w:r>
      <w:r w:rsidRPr="00900CEC">
        <w:rPr>
          <w:bCs/>
          <w:szCs w:val="22"/>
          <w:lang w:val="lt-LT"/>
        </w:rPr>
        <w:t xml:space="preserve">. Vis dėlto epidemiologiniai tyrimai nerodo mažos ibuprofeno dozės (pvz., 1200 mg per parą) ryšio su arterijų trombozės reiškinių rizikos padidėjimu. </w:t>
      </w:r>
    </w:p>
    <w:p w14:paraId="7F9A7B5C" w14:textId="77777777" w:rsidR="00F51FBD" w:rsidRPr="00900CEC" w:rsidRDefault="00F51FBD" w:rsidP="00F51FBD">
      <w:pPr>
        <w:spacing w:line="240" w:lineRule="auto"/>
        <w:rPr>
          <w:bCs/>
          <w:szCs w:val="22"/>
          <w:lang w:val="lt-LT"/>
        </w:rPr>
      </w:pPr>
    </w:p>
    <w:p w14:paraId="647B76F9" w14:textId="77777777" w:rsidR="00F51FBD" w:rsidRPr="00900CEC" w:rsidRDefault="00F51FBD" w:rsidP="00F51FBD">
      <w:pPr>
        <w:spacing w:line="240" w:lineRule="auto"/>
        <w:rPr>
          <w:bCs/>
          <w:szCs w:val="22"/>
          <w:lang w:val="lt-LT"/>
        </w:rPr>
      </w:pPr>
      <w:r w:rsidRPr="00900CEC">
        <w:rPr>
          <w:bCs/>
          <w:szCs w:val="22"/>
          <w:lang w:val="lt-LT"/>
        </w:rPr>
        <w:t xml:space="preserve">Pacientams, sergantiems nekontroliuojama hipertenzija, </w:t>
      </w:r>
      <w:proofErr w:type="spellStart"/>
      <w:r w:rsidRPr="00900CEC">
        <w:rPr>
          <w:bCs/>
          <w:szCs w:val="22"/>
          <w:lang w:val="lt-LT"/>
        </w:rPr>
        <w:t>staziniu</w:t>
      </w:r>
      <w:proofErr w:type="spellEnd"/>
      <w:r w:rsidRPr="00900CEC">
        <w:rPr>
          <w:bCs/>
          <w:szCs w:val="22"/>
          <w:lang w:val="lt-LT"/>
        </w:rPr>
        <w:t xml:space="preserve"> širdies nepakankamumu (II</w:t>
      </w:r>
      <w:r w:rsidRPr="00900CEC">
        <w:rPr>
          <w:bCs/>
          <w:szCs w:val="22"/>
          <w:lang w:val="lt-LT"/>
        </w:rPr>
        <w:noBreakHyphen/>
        <w:t xml:space="preserve">ar III </w:t>
      </w:r>
      <w:r w:rsidRPr="00D06760">
        <w:rPr>
          <w:bCs/>
          <w:i/>
          <w:szCs w:val="22"/>
          <w:lang w:val="lt-LT"/>
        </w:rPr>
        <w:t xml:space="preserve">NYHA </w:t>
      </w:r>
      <w:r>
        <w:rPr>
          <w:bCs/>
          <w:szCs w:val="22"/>
          <w:lang w:val="lt-LT"/>
        </w:rPr>
        <w:t xml:space="preserve">funkcinės </w:t>
      </w:r>
      <w:r w:rsidRPr="00900CEC">
        <w:rPr>
          <w:bCs/>
          <w:szCs w:val="22"/>
          <w:lang w:val="lt-LT"/>
        </w:rPr>
        <w:t xml:space="preserve">klasės), nustatyta išemine širdies liga, periferinių arterijų liga ir (arba) smegenų kraujagyslių liga, galima vartoti </w:t>
      </w:r>
      <w:proofErr w:type="spellStart"/>
      <w:r w:rsidRPr="00900CEC">
        <w:rPr>
          <w:bCs/>
          <w:szCs w:val="22"/>
          <w:lang w:val="lt-LT"/>
        </w:rPr>
        <w:t>ibuprofeną</w:t>
      </w:r>
      <w:proofErr w:type="spellEnd"/>
      <w:r w:rsidRPr="00900CEC">
        <w:rPr>
          <w:bCs/>
          <w:szCs w:val="22"/>
          <w:lang w:val="lt-LT"/>
        </w:rPr>
        <w:t xml:space="preserve"> tik kruopščiai apsvarsčius, o didelių dozių (2400 mg per parą) reikia vengti.</w:t>
      </w:r>
    </w:p>
    <w:p w14:paraId="6F9026B7" w14:textId="77777777" w:rsidR="00F51FBD" w:rsidRPr="00900CEC" w:rsidRDefault="00F51FBD" w:rsidP="00F51FBD">
      <w:pPr>
        <w:spacing w:line="240" w:lineRule="auto"/>
        <w:rPr>
          <w:bCs/>
          <w:szCs w:val="22"/>
          <w:lang w:val="lt-LT"/>
        </w:rPr>
      </w:pPr>
    </w:p>
    <w:p w14:paraId="082A28C7" w14:textId="77777777" w:rsidR="00F51FBD" w:rsidRPr="00900CEC" w:rsidRDefault="00F51FBD" w:rsidP="00F51FBD">
      <w:pPr>
        <w:spacing w:line="240" w:lineRule="auto"/>
        <w:rPr>
          <w:bCs/>
          <w:szCs w:val="22"/>
          <w:lang w:val="lt-LT"/>
        </w:rPr>
      </w:pPr>
      <w:r w:rsidRPr="00900CEC">
        <w:rPr>
          <w:bCs/>
          <w:szCs w:val="22"/>
          <w:lang w:val="lt-LT"/>
        </w:rPr>
        <w:t xml:space="preserve">Ilgalaikio gydymo, ypač didele ibuprofeno doze (2400 mg per parą), poreikį būtina kruopščiai apsvarstyti, jeigu yra kardiovaskulinės rizikos </w:t>
      </w:r>
      <w:r>
        <w:rPr>
          <w:bCs/>
          <w:szCs w:val="22"/>
          <w:lang w:val="lt-LT"/>
        </w:rPr>
        <w:t>veiksnių</w:t>
      </w:r>
      <w:r w:rsidRPr="00900CEC">
        <w:rPr>
          <w:bCs/>
          <w:szCs w:val="22"/>
          <w:lang w:val="lt-LT"/>
        </w:rPr>
        <w:t xml:space="preserve"> (pvz., hipertenzija, </w:t>
      </w:r>
      <w:proofErr w:type="spellStart"/>
      <w:r w:rsidRPr="00900CEC">
        <w:rPr>
          <w:bCs/>
          <w:szCs w:val="22"/>
          <w:lang w:val="lt-LT"/>
        </w:rPr>
        <w:t>hiperlipidemija</w:t>
      </w:r>
      <w:proofErr w:type="spellEnd"/>
      <w:r w:rsidRPr="00900CEC">
        <w:rPr>
          <w:bCs/>
          <w:szCs w:val="22"/>
          <w:lang w:val="lt-LT"/>
        </w:rPr>
        <w:t>, cukrinis diabetas, rūkymas).</w:t>
      </w:r>
    </w:p>
    <w:p w14:paraId="546B1C27" w14:textId="77777777" w:rsidR="00F51FBD" w:rsidRPr="00900CEC" w:rsidRDefault="00F51FBD" w:rsidP="00F51FBD">
      <w:pPr>
        <w:spacing w:line="240" w:lineRule="auto"/>
        <w:rPr>
          <w:bCs/>
          <w:szCs w:val="22"/>
          <w:lang w:val="lt-LT"/>
        </w:rPr>
      </w:pPr>
    </w:p>
    <w:p w14:paraId="2C23F769" w14:textId="77777777" w:rsidR="00F51FBD" w:rsidRPr="00900CEC" w:rsidRDefault="00F51FBD" w:rsidP="00F51FBD">
      <w:pPr>
        <w:pStyle w:val="Antrat3"/>
        <w:spacing w:before="0" w:after="0" w:line="240" w:lineRule="auto"/>
        <w:rPr>
          <w:bCs w:val="0"/>
          <w:szCs w:val="22"/>
          <w:lang w:val="lt-LT"/>
        </w:rPr>
      </w:pPr>
      <w:r w:rsidRPr="00900CEC">
        <w:rPr>
          <w:rFonts w:ascii="Times New Roman" w:hAnsi="Times New Roman"/>
          <w:b w:val="0"/>
          <w:i/>
          <w:sz w:val="22"/>
          <w:szCs w:val="22"/>
          <w:lang w:val="lt-LT"/>
        </w:rPr>
        <w:t>Sutrikusi kepenų funkcija</w:t>
      </w:r>
    </w:p>
    <w:p w14:paraId="7AD7388E" w14:textId="6AC585C5" w:rsidR="00F51FBD" w:rsidRPr="00900CEC" w:rsidRDefault="00F51FBD" w:rsidP="00F51FBD">
      <w:pPr>
        <w:spacing w:line="240" w:lineRule="auto"/>
        <w:rPr>
          <w:szCs w:val="22"/>
          <w:lang w:val="lt-LT"/>
        </w:rPr>
      </w:pPr>
      <w:r w:rsidRPr="00900CEC">
        <w:rPr>
          <w:bCs/>
          <w:szCs w:val="22"/>
          <w:lang w:val="lt-LT"/>
        </w:rPr>
        <w:t>Didesnės už rekomenduojamą p</w:t>
      </w:r>
      <w:r w:rsidRPr="00900CEC">
        <w:rPr>
          <w:szCs w:val="22"/>
          <w:lang w:val="lt-LT"/>
        </w:rPr>
        <w:t xml:space="preserve">aracetamolio dozės gali sukelti </w:t>
      </w:r>
      <w:proofErr w:type="spellStart"/>
      <w:r>
        <w:rPr>
          <w:szCs w:val="22"/>
          <w:lang w:val="lt-LT"/>
        </w:rPr>
        <w:t>hepatotoksinį</w:t>
      </w:r>
      <w:proofErr w:type="spellEnd"/>
      <w:r>
        <w:rPr>
          <w:szCs w:val="22"/>
          <w:lang w:val="lt-LT"/>
        </w:rPr>
        <w:t xml:space="preserve"> poveikį</w:t>
      </w:r>
      <w:r w:rsidRPr="00900CEC">
        <w:rPr>
          <w:szCs w:val="22"/>
          <w:lang w:val="lt-LT"/>
        </w:rPr>
        <w:t xml:space="preserve">, net kepenų nepakankamumą ir mirtį. Dėl to pacientų, kurių kepenų funkcija sutrikusi, sirgusių ar sergančių kepenų ligomis </w:t>
      </w:r>
      <w:r>
        <w:rPr>
          <w:szCs w:val="22"/>
          <w:lang w:val="lt-LT"/>
        </w:rPr>
        <w:t>ir</w:t>
      </w:r>
      <w:r w:rsidRPr="00900CEC">
        <w:rPr>
          <w:szCs w:val="22"/>
          <w:lang w:val="lt-LT"/>
        </w:rPr>
        <w:t xml:space="preserve"> vartojančių </w:t>
      </w:r>
      <w:proofErr w:type="spellStart"/>
      <w:r w:rsidRPr="00900CEC">
        <w:rPr>
          <w:szCs w:val="22"/>
          <w:lang w:val="lt-LT"/>
        </w:rPr>
        <w:t>ibuprofeną</w:t>
      </w:r>
      <w:proofErr w:type="spellEnd"/>
      <w:r w:rsidRPr="00900CEC">
        <w:rPr>
          <w:szCs w:val="22"/>
          <w:lang w:val="lt-LT"/>
        </w:rPr>
        <w:t xml:space="preserve"> ar </w:t>
      </w:r>
      <w:proofErr w:type="spellStart"/>
      <w:r w:rsidRPr="00900CEC">
        <w:rPr>
          <w:szCs w:val="22"/>
          <w:lang w:val="lt-LT"/>
        </w:rPr>
        <w:t>paracetamolį</w:t>
      </w:r>
      <w:proofErr w:type="spellEnd"/>
      <w:r w:rsidRPr="00900CEC">
        <w:rPr>
          <w:szCs w:val="22"/>
          <w:lang w:val="lt-LT"/>
        </w:rPr>
        <w:t xml:space="preserve"> </w:t>
      </w:r>
      <w:r>
        <w:rPr>
          <w:szCs w:val="22"/>
          <w:lang w:val="lt-LT"/>
        </w:rPr>
        <w:t>ilgą laiką</w:t>
      </w:r>
      <w:r w:rsidRPr="00900CEC">
        <w:rPr>
          <w:szCs w:val="22"/>
          <w:lang w:val="lt-LT"/>
        </w:rPr>
        <w:t>, kepenų funkciją reikia reguliariai tirti, kadangi nustatyta, kad ibuprofenas gali sukelti nežymų trumpalaikį poveikį kepenų fermentams. Pastebėjus kepenų funkcijos pablogėjimo požymių, rekomenduojama sumažinti dozę. Pasireiškus sunkiam kepenų nepakankamumui, gydymą reikia nutraukti (žr. 4.3</w:t>
      </w:r>
      <w:r w:rsidR="00CB1F4B">
        <w:rPr>
          <w:szCs w:val="22"/>
          <w:lang w:val="lt-LT"/>
        </w:rPr>
        <w:t> </w:t>
      </w:r>
      <w:r w:rsidRPr="00900CEC">
        <w:rPr>
          <w:szCs w:val="22"/>
          <w:lang w:val="lt-LT"/>
        </w:rPr>
        <w:t>skyrių).</w:t>
      </w:r>
    </w:p>
    <w:p w14:paraId="2DA18F61" w14:textId="77777777" w:rsidR="00F51FBD" w:rsidRPr="00900CEC" w:rsidRDefault="00F51FBD" w:rsidP="00F51FBD">
      <w:pPr>
        <w:spacing w:line="240" w:lineRule="auto"/>
        <w:rPr>
          <w:szCs w:val="22"/>
          <w:lang w:val="lt-LT"/>
        </w:rPr>
      </w:pPr>
    </w:p>
    <w:p w14:paraId="2A065661" w14:textId="77777777" w:rsidR="00F51FBD" w:rsidRPr="00900CEC" w:rsidRDefault="00F51FBD" w:rsidP="00F51FBD">
      <w:pPr>
        <w:spacing w:line="240" w:lineRule="auto"/>
        <w:rPr>
          <w:szCs w:val="22"/>
          <w:lang w:val="lt-LT"/>
        </w:rPr>
      </w:pPr>
      <w:r w:rsidRPr="00900CEC">
        <w:rPr>
          <w:szCs w:val="22"/>
          <w:lang w:val="lt-LT"/>
        </w:rPr>
        <w:t xml:space="preserve">Vartojant </w:t>
      </w:r>
      <w:proofErr w:type="spellStart"/>
      <w:r w:rsidRPr="00900CEC">
        <w:rPr>
          <w:szCs w:val="22"/>
          <w:lang w:val="lt-LT"/>
        </w:rPr>
        <w:t>ibuprofeną</w:t>
      </w:r>
      <w:proofErr w:type="spellEnd"/>
      <w:r w:rsidRPr="00900CEC">
        <w:rPr>
          <w:szCs w:val="22"/>
          <w:lang w:val="lt-LT"/>
        </w:rPr>
        <w:t xml:space="preserve">, kaip ir kitų NVNU, retais atvejais užfiksuota sunkių kepenų reakcijų, įskaitant geltą ir mirtimi pasibaigusį hepatitą. Jeigu kepenų funkcijos rodikliai išlieka pakitę ar blogėja, pasireiškia kepenų ligos klinikinių požymių ir simptomų arba sisteminių reiškinių (pvz., </w:t>
      </w:r>
      <w:proofErr w:type="spellStart"/>
      <w:r w:rsidRPr="00900CEC">
        <w:rPr>
          <w:szCs w:val="22"/>
          <w:lang w:val="lt-LT"/>
        </w:rPr>
        <w:t>eozinofilija</w:t>
      </w:r>
      <w:proofErr w:type="spellEnd"/>
      <w:r w:rsidRPr="00900CEC">
        <w:rPr>
          <w:szCs w:val="22"/>
          <w:lang w:val="lt-LT"/>
        </w:rPr>
        <w:t xml:space="preserve">, išbėrimas ir kt.), ibuprofeno vartojimą reikia nutraukti. Užfiksuota abiejų šio vaistinio preparato </w:t>
      </w:r>
      <w:r w:rsidRPr="00900CEC">
        <w:rPr>
          <w:szCs w:val="22"/>
          <w:lang w:val="lt-LT"/>
        </w:rPr>
        <w:lastRenderedPageBreak/>
        <w:t xml:space="preserve">veikliųjų medžiagų (ypač </w:t>
      </w:r>
      <w:proofErr w:type="spellStart"/>
      <w:r w:rsidRPr="00900CEC">
        <w:rPr>
          <w:szCs w:val="22"/>
          <w:lang w:val="lt-LT"/>
        </w:rPr>
        <w:t>paracetamolio</w:t>
      </w:r>
      <w:proofErr w:type="spellEnd"/>
      <w:r w:rsidRPr="00900CEC">
        <w:rPr>
          <w:szCs w:val="22"/>
          <w:lang w:val="lt-LT"/>
        </w:rPr>
        <w:t xml:space="preserve">) sukelto </w:t>
      </w:r>
      <w:proofErr w:type="spellStart"/>
      <w:r w:rsidRPr="00900CEC">
        <w:rPr>
          <w:szCs w:val="22"/>
          <w:lang w:val="lt-LT"/>
        </w:rPr>
        <w:t>hepatotoksinio</w:t>
      </w:r>
      <w:proofErr w:type="spellEnd"/>
      <w:r w:rsidRPr="00900CEC">
        <w:rPr>
          <w:szCs w:val="22"/>
          <w:lang w:val="lt-LT"/>
        </w:rPr>
        <w:t xml:space="preserve"> poveikio ir net kepenų nepakankamumo atvejų.</w:t>
      </w:r>
    </w:p>
    <w:p w14:paraId="502C8E6B" w14:textId="77777777" w:rsidR="00F51FBD" w:rsidRPr="00900CEC" w:rsidRDefault="00F51FBD" w:rsidP="00F51FBD">
      <w:pPr>
        <w:spacing w:line="240" w:lineRule="auto"/>
        <w:rPr>
          <w:szCs w:val="22"/>
          <w:lang w:val="lt-LT"/>
        </w:rPr>
      </w:pPr>
    </w:p>
    <w:p w14:paraId="58608E23" w14:textId="77777777" w:rsidR="00F51FBD" w:rsidRPr="00900CEC" w:rsidRDefault="00F51FBD" w:rsidP="00F51FBD">
      <w:pPr>
        <w:pStyle w:val="Antrat3"/>
        <w:spacing w:before="0" w:after="0" w:line="240" w:lineRule="auto"/>
        <w:rPr>
          <w:rFonts w:ascii="Times New Roman" w:hAnsi="Times New Roman"/>
          <w:b w:val="0"/>
          <w:i/>
          <w:sz w:val="22"/>
          <w:szCs w:val="22"/>
          <w:lang w:val="lt-LT"/>
        </w:rPr>
      </w:pPr>
      <w:r w:rsidRPr="00900CEC">
        <w:rPr>
          <w:rFonts w:ascii="Times New Roman" w:hAnsi="Times New Roman"/>
          <w:b w:val="0"/>
          <w:i/>
          <w:sz w:val="22"/>
          <w:szCs w:val="22"/>
          <w:lang w:val="lt-LT"/>
        </w:rPr>
        <w:t>Sutrikusi inkstų funkcija</w:t>
      </w:r>
    </w:p>
    <w:p w14:paraId="0B39CACE" w14:textId="36A9CB88" w:rsidR="00F51FBD" w:rsidRPr="00900CEC" w:rsidRDefault="00F51FBD" w:rsidP="00F51FBD">
      <w:pPr>
        <w:spacing w:line="240" w:lineRule="auto"/>
        <w:rPr>
          <w:szCs w:val="22"/>
          <w:lang w:val="lt-LT"/>
        </w:rPr>
      </w:pPr>
      <w:r w:rsidRPr="00900CEC">
        <w:rPr>
          <w:szCs w:val="22"/>
          <w:lang w:val="lt-LT"/>
        </w:rPr>
        <w:t xml:space="preserve">Pacientams, sergantiems lėtiniu inkstų nepakankamumu, paracetamolį galima dozuoti taip pat. Sergant vidutinio sunkumo ar sunkiu inkstų nepakankamumu, paracetamolio toksinio poveikio rizika </w:t>
      </w:r>
      <w:r>
        <w:rPr>
          <w:szCs w:val="22"/>
          <w:lang w:val="lt-LT"/>
        </w:rPr>
        <w:t>yra</w:t>
      </w:r>
      <w:r w:rsidRPr="00900CEC">
        <w:rPr>
          <w:szCs w:val="22"/>
          <w:lang w:val="lt-LT"/>
        </w:rPr>
        <w:t xml:space="preserve"> minimali. Vis dėlto šio vaistinio preparato sudėtyje yra ibuprofeno, todėl esant dehidratacijai gydymą reikia pradėti</w:t>
      </w:r>
      <w:r>
        <w:rPr>
          <w:szCs w:val="22"/>
          <w:lang w:val="lt-LT"/>
        </w:rPr>
        <w:t xml:space="preserve"> </w:t>
      </w:r>
      <w:r w:rsidRPr="00900CEC">
        <w:rPr>
          <w:szCs w:val="22"/>
          <w:lang w:val="lt-LT"/>
        </w:rPr>
        <w:t xml:space="preserve">atsargiai. Didžiausia dviejų pagrindinių ibuprofeno metabolitų dalis išskiriama su šlapimu, todėl sutrikus inkstų funkcijai jie gali kauptis. To reikšmė nežinoma. Nustatyta, kad NVNU sukelia įvairų </w:t>
      </w:r>
      <w:proofErr w:type="spellStart"/>
      <w:r w:rsidRPr="00900CEC">
        <w:rPr>
          <w:szCs w:val="22"/>
          <w:lang w:val="lt-LT"/>
        </w:rPr>
        <w:t>nefrotoksinį</w:t>
      </w:r>
      <w:proofErr w:type="spellEnd"/>
      <w:r w:rsidRPr="00900CEC">
        <w:rPr>
          <w:szCs w:val="22"/>
          <w:lang w:val="lt-LT"/>
        </w:rPr>
        <w:t xml:space="preserve"> poveikį: </w:t>
      </w:r>
      <w:proofErr w:type="spellStart"/>
      <w:r w:rsidRPr="00900CEC">
        <w:rPr>
          <w:szCs w:val="22"/>
          <w:lang w:val="lt-LT"/>
        </w:rPr>
        <w:t>intersticinį</w:t>
      </w:r>
      <w:proofErr w:type="spellEnd"/>
      <w:r w:rsidRPr="00900CEC">
        <w:rPr>
          <w:szCs w:val="22"/>
          <w:lang w:val="lt-LT"/>
        </w:rPr>
        <w:t xml:space="preserve"> nefritą, </w:t>
      </w:r>
      <w:proofErr w:type="spellStart"/>
      <w:r w:rsidRPr="00900CEC">
        <w:rPr>
          <w:szCs w:val="22"/>
          <w:lang w:val="lt-LT"/>
        </w:rPr>
        <w:t>nefritinį</w:t>
      </w:r>
      <w:proofErr w:type="spellEnd"/>
      <w:r w:rsidRPr="00900CEC">
        <w:rPr>
          <w:szCs w:val="22"/>
          <w:lang w:val="lt-LT"/>
        </w:rPr>
        <w:t xml:space="preserve"> sindromą ir inkstų nepakankamumą. Ibuprofeno sukeltas inkstų funkcijos sutrikimas dažniausiai būna laikinas. Pacientams, kurių inkstų, širdies arba kepenų funkcija sutrikusi, taip pat vartojantiems diuretikų arba AKF inhibitorių ir senyviems pacientams būtinos atsargumo priemonės, nes NVNU gali sukelti inkstų funkcijos pablogėjimą. Šiems pacientams dozė turi būti kiek įmanoma mažesnė, o inkstų funkciją reikia stebėti. Pasireiškus sunkiam inkstų nepakankamumui, jų gydymą reikia nutraukti (žr. 4.3</w:t>
      </w:r>
      <w:r w:rsidR="00CB1F4B">
        <w:rPr>
          <w:szCs w:val="22"/>
          <w:lang w:val="lt-LT"/>
        </w:rPr>
        <w:t> </w:t>
      </w:r>
      <w:r w:rsidRPr="00900CEC">
        <w:rPr>
          <w:szCs w:val="22"/>
          <w:lang w:val="lt-LT"/>
        </w:rPr>
        <w:t>skyrių).</w:t>
      </w:r>
    </w:p>
    <w:p w14:paraId="4325FE81" w14:textId="77777777" w:rsidR="00F51FBD" w:rsidRPr="00900CEC" w:rsidRDefault="00F51FBD" w:rsidP="00F51FBD">
      <w:pPr>
        <w:spacing w:line="240" w:lineRule="auto"/>
        <w:rPr>
          <w:szCs w:val="22"/>
          <w:lang w:val="lt-LT"/>
        </w:rPr>
      </w:pPr>
    </w:p>
    <w:p w14:paraId="23A16126" w14:textId="2AF1E8B7" w:rsidR="00F51FBD" w:rsidRPr="00900CEC" w:rsidRDefault="00F51FBD" w:rsidP="00F51FBD">
      <w:pPr>
        <w:pStyle w:val="Antrat3"/>
        <w:spacing w:before="0" w:after="0" w:line="240" w:lineRule="auto"/>
        <w:rPr>
          <w:rFonts w:ascii="Times New Roman" w:hAnsi="Times New Roman"/>
          <w:b w:val="0"/>
          <w:i/>
          <w:iCs/>
          <w:sz w:val="22"/>
          <w:szCs w:val="22"/>
          <w:lang w:val="lt-LT"/>
        </w:rPr>
      </w:pPr>
      <w:r w:rsidRPr="00900CEC">
        <w:rPr>
          <w:rFonts w:ascii="Times New Roman" w:hAnsi="Times New Roman"/>
          <w:b w:val="0"/>
          <w:i/>
          <w:iCs/>
          <w:sz w:val="22"/>
          <w:szCs w:val="22"/>
          <w:lang w:val="lt-LT"/>
        </w:rPr>
        <w:t xml:space="preserve">Vartojimas kartu su AKF inhibitoriais, angiotenzino receptorių blokatoriais, </w:t>
      </w:r>
      <w:r w:rsidR="00CB1F4B">
        <w:rPr>
          <w:rFonts w:ascii="Times New Roman" w:hAnsi="Times New Roman"/>
          <w:b w:val="0"/>
          <w:i/>
          <w:iCs/>
          <w:sz w:val="22"/>
          <w:szCs w:val="22"/>
          <w:lang w:val="lt-LT"/>
        </w:rPr>
        <w:t>vaistiniais preparatais</w:t>
      </w:r>
      <w:r w:rsidR="00CB1F4B" w:rsidRPr="00900CEC">
        <w:rPr>
          <w:rFonts w:ascii="Times New Roman" w:hAnsi="Times New Roman"/>
          <w:b w:val="0"/>
          <w:i/>
          <w:iCs/>
          <w:sz w:val="22"/>
          <w:szCs w:val="22"/>
          <w:lang w:val="lt-LT"/>
        </w:rPr>
        <w:t xml:space="preserve"> </w:t>
      </w:r>
      <w:r w:rsidRPr="00900CEC">
        <w:rPr>
          <w:rFonts w:ascii="Times New Roman" w:hAnsi="Times New Roman"/>
          <w:b w:val="0"/>
          <w:i/>
          <w:iCs/>
          <w:sz w:val="22"/>
          <w:szCs w:val="22"/>
          <w:lang w:val="lt-LT"/>
        </w:rPr>
        <w:t xml:space="preserve">nuo uždegimo arba </w:t>
      </w:r>
      <w:proofErr w:type="spellStart"/>
      <w:r w:rsidRPr="00900CEC">
        <w:rPr>
          <w:rFonts w:ascii="Times New Roman" w:hAnsi="Times New Roman"/>
          <w:b w:val="0"/>
          <w:i/>
          <w:iCs/>
          <w:sz w:val="22"/>
          <w:szCs w:val="22"/>
          <w:lang w:val="lt-LT"/>
        </w:rPr>
        <w:t>tiazidiniais</w:t>
      </w:r>
      <w:proofErr w:type="spellEnd"/>
      <w:r w:rsidRPr="00900CEC">
        <w:rPr>
          <w:rFonts w:ascii="Times New Roman" w:hAnsi="Times New Roman"/>
          <w:b w:val="0"/>
          <w:i/>
          <w:iCs/>
          <w:sz w:val="22"/>
          <w:szCs w:val="22"/>
          <w:lang w:val="lt-LT"/>
        </w:rPr>
        <w:t xml:space="preserve"> diuretikais</w:t>
      </w:r>
    </w:p>
    <w:p w14:paraId="0118B0D2" w14:textId="77777777" w:rsidR="00F51FBD" w:rsidRPr="00900CEC" w:rsidRDefault="00F51FBD" w:rsidP="00F51FBD">
      <w:pPr>
        <w:spacing w:line="240" w:lineRule="auto"/>
        <w:rPr>
          <w:szCs w:val="22"/>
          <w:lang w:val="lt-LT"/>
        </w:rPr>
      </w:pPr>
    </w:p>
    <w:p w14:paraId="2B441CBE" w14:textId="1D7972D3" w:rsidR="00F51FBD" w:rsidRPr="00900CEC" w:rsidRDefault="00F51FBD" w:rsidP="00F51FBD">
      <w:pPr>
        <w:spacing w:line="240" w:lineRule="auto"/>
        <w:rPr>
          <w:szCs w:val="22"/>
          <w:lang w:val="lt-LT"/>
        </w:rPr>
      </w:pPr>
      <w:r w:rsidRPr="00900CEC">
        <w:rPr>
          <w:szCs w:val="22"/>
          <w:lang w:val="lt-LT"/>
        </w:rPr>
        <w:t>Kartu vartojant AKF inhibitorių, angiotenzino receptorių blokatorių, vaist</w:t>
      </w:r>
      <w:r w:rsidR="00CB1F4B">
        <w:rPr>
          <w:szCs w:val="22"/>
          <w:lang w:val="lt-LT"/>
        </w:rPr>
        <w:t>ini</w:t>
      </w:r>
      <w:r w:rsidRPr="00900CEC">
        <w:rPr>
          <w:szCs w:val="22"/>
          <w:lang w:val="lt-LT"/>
        </w:rPr>
        <w:t xml:space="preserve">ų </w:t>
      </w:r>
      <w:r w:rsidR="00CB1F4B">
        <w:rPr>
          <w:szCs w:val="22"/>
          <w:lang w:val="lt-LT"/>
        </w:rPr>
        <w:t xml:space="preserve">preparatų </w:t>
      </w:r>
      <w:r w:rsidRPr="00900CEC">
        <w:rPr>
          <w:szCs w:val="22"/>
          <w:lang w:val="lt-LT"/>
        </w:rPr>
        <w:t>nuo uždegimo (NVNU ar CO</w:t>
      </w:r>
      <w:r>
        <w:rPr>
          <w:szCs w:val="22"/>
          <w:lang w:val="lt-LT"/>
        </w:rPr>
        <w:t>X</w:t>
      </w:r>
      <w:r w:rsidRPr="00900CEC">
        <w:rPr>
          <w:szCs w:val="22"/>
          <w:lang w:val="lt-LT"/>
        </w:rPr>
        <w:t xml:space="preserve">-2 inhibitorių) arba </w:t>
      </w:r>
      <w:proofErr w:type="spellStart"/>
      <w:r w:rsidRPr="00900CEC">
        <w:rPr>
          <w:szCs w:val="22"/>
          <w:lang w:val="lt-LT"/>
        </w:rPr>
        <w:t>tiazidinių</w:t>
      </w:r>
      <w:proofErr w:type="spellEnd"/>
      <w:r w:rsidRPr="00900CEC">
        <w:rPr>
          <w:szCs w:val="22"/>
          <w:lang w:val="lt-LT"/>
        </w:rPr>
        <w:t xml:space="preserve"> diuretikų, padidėja inkstų funkcijos sutrikimo rizika. Tarp tokių vaistinių preparatų yra kelių grupių veikliųjų medžiagų fiksuot</w:t>
      </w:r>
      <w:r>
        <w:rPr>
          <w:szCs w:val="22"/>
          <w:lang w:val="lt-LT"/>
        </w:rPr>
        <w:t>ų dozių</w:t>
      </w:r>
      <w:r w:rsidRPr="00900CEC">
        <w:rPr>
          <w:szCs w:val="22"/>
          <w:lang w:val="lt-LT"/>
        </w:rPr>
        <w:t xml:space="preserve"> deriniai. </w:t>
      </w:r>
      <w:r>
        <w:rPr>
          <w:szCs w:val="22"/>
          <w:lang w:val="lt-LT"/>
        </w:rPr>
        <w:t>Derinyje</w:t>
      </w:r>
      <w:r w:rsidRPr="00900CEC">
        <w:rPr>
          <w:szCs w:val="22"/>
          <w:lang w:val="lt-LT"/>
        </w:rPr>
        <w:t xml:space="preserve"> vartojant šių vaistinių preparatų, reikia dažniau tirti kreatinino koncentraciją serume, ypač pradedant sudėtinį gydymą. </w:t>
      </w:r>
      <w:r>
        <w:rPr>
          <w:szCs w:val="22"/>
          <w:lang w:val="lt-LT"/>
        </w:rPr>
        <w:t>Š</w:t>
      </w:r>
      <w:r w:rsidRPr="00900CEC">
        <w:rPr>
          <w:szCs w:val="22"/>
          <w:lang w:val="lt-LT"/>
        </w:rPr>
        <w:t>ių 3</w:t>
      </w:r>
      <w:r w:rsidR="00CB1F4B">
        <w:rPr>
          <w:szCs w:val="22"/>
          <w:lang w:val="lt-LT"/>
        </w:rPr>
        <w:t> </w:t>
      </w:r>
      <w:r w:rsidRPr="00900CEC">
        <w:rPr>
          <w:szCs w:val="22"/>
          <w:lang w:val="lt-LT"/>
        </w:rPr>
        <w:t>grupių veikliųjų medžiagų</w:t>
      </w:r>
      <w:r>
        <w:rPr>
          <w:szCs w:val="22"/>
          <w:lang w:val="lt-LT"/>
        </w:rPr>
        <w:t xml:space="preserve"> derinys</w:t>
      </w:r>
      <w:r w:rsidRPr="00900CEC">
        <w:rPr>
          <w:szCs w:val="22"/>
          <w:lang w:val="lt-LT"/>
        </w:rPr>
        <w:t xml:space="preserve"> skiriama</w:t>
      </w:r>
      <w:r>
        <w:rPr>
          <w:szCs w:val="22"/>
          <w:lang w:val="lt-LT"/>
        </w:rPr>
        <w:t>s</w:t>
      </w:r>
      <w:r w:rsidRPr="00900CEC">
        <w:rPr>
          <w:szCs w:val="22"/>
          <w:lang w:val="lt-LT"/>
        </w:rPr>
        <w:t xml:space="preserve"> atsargiai, ypač senyviems</w:t>
      </w:r>
      <w:r>
        <w:rPr>
          <w:szCs w:val="22"/>
          <w:lang w:val="lt-LT"/>
        </w:rPr>
        <w:t xml:space="preserve"> pacientams</w:t>
      </w:r>
      <w:r w:rsidRPr="00900CEC">
        <w:rPr>
          <w:szCs w:val="22"/>
          <w:lang w:val="lt-LT"/>
        </w:rPr>
        <w:t xml:space="preserve"> ir</w:t>
      </w:r>
      <w:r>
        <w:rPr>
          <w:szCs w:val="22"/>
          <w:lang w:val="lt-LT"/>
        </w:rPr>
        <w:t xml:space="preserve"> pacientams, kurių</w:t>
      </w:r>
      <w:r w:rsidRPr="00900CEC">
        <w:rPr>
          <w:szCs w:val="22"/>
          <w:lang w:val="lt-LT"/>
        </w:rPr>
        <w:t xml:space="preserve"> inkstų funkcij</w:t>
      </w:r>
      <w:r>
        <w:rPr>
          <w:szCs w:val="22"/>
          <w:lang w:val="lt-LT"/>
        </w:rPr>
        <w:t>a jau sutrikusi</w:t>
      </w:r>
      <w:r w:rsidRPr="00900CEC">
        <w:rPr>
          <w:szCs w:val="22"/>
          <w:lang w:val="lt-LT"/>
        </w:rPr>
        <w:t>.</w:t>
      </w:r>
    </w:p>
    <w:p w14:paraId="6F0F5E31" w14:textId="77777777" w:rsidR="00F51FBD" w:rsidRPr="00900CEC" w:rsidRDefault="00F51FBD" w:rsidP="00F51FBD">
      <w:pPr>
        <w:spacing w:line="240" w:lineRule="auto"/>
        <w:rPr>
          <w:szCs w:val="22"/>
          <w:lang w:val="lt-LT"/>
        </w:rPr>
      </w:pPr>
    </w:p>
    <w:p w14:paraId="3B9D79D8" w14:textId="77777777" w:rsidR="00F51FBD" w:rsidRPr="00900CEC" w:rsidRDefault="00F51FBD" w:rsidP="00F51FBD">
      <w:pPr>
        <w:pStyle w:val="Antrat3"/>
        <w:spacing w:before="0" w:after="0" w:line="240" w:lineRule="auto"/>
        <w:rPr>
          <w:rFonts w:ascii="Times New Roman" w:hAnsi="Times New Roman"/>
          <w:b w:val="0"/>
          <w:bCs w:val="0"/>
          <w:i/>
          <w:sz w:val="22"/>
          <w:szCs w:val="22"/>
          <w:u w:val="single"/>
          <w:lang w:val="lt-LT"/>
        </w:rPr>
      </w:pPr>
      <w:r w:rsidRPr="00900CEC">
        <w:rPr>
          <w:rFonts w:ascii="Times New Roman" w:hAnsi="Times New Roman"/>
          <w:b w:val="0"/>
          <w:i/>
          <w:sz w:val="22"/>
          <w:szCs w:val="22"/>
          <w:lang w:val="lt-LT"/>
        </w:rPr>
        <w:t>Senyviems pacientams</w:t>
      </w:r>
    </w:p>
    <w:p w14:paraId="23583541" w14:textId="77777777" w:rsidR="00F51FBD" w:rsidRPr="00900CEC" w:rsidRDefault="00F51FBD" w:rsidP="00F51FBD">
      <w:pPr>
        <w:spacing w:line="240" w:lineRule="auto"/>
        <w:rPr>
          <w:b/>
          <w:bCs/>
          <w:szCs w:val="22"/>
          <w:lang w:val="lt-LT"/>
        </w:rPr>
      </w:pPr>
      <w:r w:rsidRPr="00900CEC">
        <w:rPr>
          <w:szCs w:val="22"/>
          <w:lang w:val="lt-LT"/>
        </w:rPr>
        <w:t xml:space="preserve">Rekomenduojamos dozės koreguoti nereikia. Būtina imtis atsargumo priemonių dėl ibuprofeno: vyresniems kaip 65 metų žmonėms jo vartoti negalima neįvertinus gretutinių ligų ir kartu vartojamų vaistinių preparatų, nes jiems kyla didesnė nepageidaujamo poveikio (ypač širdies nepakankamumo, virškinimo trakto opų ir inkstų funkcijos sutrikimo) rizika. </w:t>
      </w:r>
    </w:p>
    <w:p w14:paraId="09FFB3AB" w14:textId="77777777" w:rsidR="00F51FBD" w:rsidRPr="00900CEC" w:rsidRDefault="00F51FBD" w:rsidP="00F51FBD">
      <w:pPr>
        <w:spacing w:line="240" w:lineRule="auto"/>
        <w:rPr>
          <w:b/>
          <w:bCs/>
          <w:szCs w:val="22"/>
          <w:lang w:val="lt-LT"/>
        </w:rPr>
      </w:pPr>
    </w:p>
    <w:p w14:paraId="319C4B50" w14:textId="77777777" w:rsidR="00F51FBD" w:rsidRPr="00900CEC" w:rsidRDefault="00F51FBD" w:rsidP="00F51FBD">
      <w:pPr>
        <w:pStyle w:val="Antrat3"/>
        <w:spacing w:before="0" w:after="0" w:line="240" w:lineRule="auto"/>
        <w:rPr>
          <w:rFonts w:ascii="Times New Roman" w:hAnsi="Times New Roman"/>
          <w:b w:val="0"/>
          <w:i/>
          <w:sz w:val="22"/>
          <w:szCs w:val="22"/>
          <w:lang w:val="lt-LT"/>
        </w:rPr>
      </w:pPr>
      <w:r w:rsidRPr="00900CEC">
        <w:rPr>
          <w:rFonts w:ascii="Times New Roman" w:hAnsi="Times New Roman"/>
          <w:b w:val="0"/>
          <w:i/>
          <w:sz w:val="22"/>
          <w:szCs w:val="22"/>
          <w:lang w:val="lt-LT"/>
        </w:rPr>
        <w:t>Hematologinis poveikis</w:t>
      </w:r>
    </w:p>
    <w:p w14:paraId="54020BA3" w14:textId="77777777" w:rsidR="00F51FBD" w:rsidRPr="00900CEC" w:rsidRDefault="00F51FBD" w:rsidP="00F51FBD">
      <w:pPr>
        <w:spacing w:line="240" w:lineRule="auto"/>
        <w:rPr>
          <w:szCs w:val="22"/>
          <w:lang w:val="lt-LT"/>
        </w:rPr>
      </w:pPr>
      <w:r w:rsidRPr="00900CEC">
        <w:rPr>
          <w:szCs w:val="22"/>
          <w:lang w:val="lt-LT"/>
        </w:rPr>
        <w:t xml:space="preserve">Užfiksuota retų kraujo </w:t>
      </w:r>
      <w:proofErr w:type="spellStart"/>
      <w:r w:rsidRPr="00900CEC">
        <w:rPr>
          <w:szCs w:val="22"/>
          <w:lang w:val="lt-LT"/>
        </w:rPr>
        <w:t>diskrazijų</w:t>
      </w:r>
      <w:proofErr w:type="spellEnd"/>
      <w:r w:rsidRPr="00900CEC">
        <w:rPr>
          <w:szCs w:val="22"/>
          <w:lang w:val="lt-LT"/>
        </w:rPr>
        <w:t xml:space="preserve"> atvejų. Pacientų, kurie ilgai vartoja </w:t>
      </w:r>
      <w:proofErr w:type="spellStart"/>
      <w:r w:rsidRPr="00900CEC">
        <w:rPr>
          <w:szCs w:val="22"/>
          <w:lang w:val="lt-LT"/>
        </w:rPr>
        <w:t>ibuprofeną</w:t>
      </w:r>
      <w:proofErr w:type="spellEnd"/>
      <w:r w:rsidRPr="00900CEC">
        <w:rPr>
          <w:szCs w:val="22"/>
          <w:lang w:val="lt-LT"/>
        </w:rPr>
        <w:t>, kraują reikia reguliariai tirti.</w:t>
      </w:r>
    </w:p>
    <w:p w14:paraId="6D85424E" w14:textId="77777777" w:rsidR="00F51FBD" w:rsidRPr="00900CEC" w:rsidRDefault="00F51FBD" w:rsidP="00F51FBD">
      <w:pPr>
        <w:spacing w:line="240" w:lineRule="auto"/>
        <w:rPr>
          <w:iCs/>
          <w:szCs w:val="22"/>
          <w:u w:val="single"/>
          <w:lang w:val="lt-LT"/>
        </w:rPr>
      </w:pPr>
    </w:p>
    <w:p w14:paraId="2C4D9F3A" w14:textId="77777777" w:rsidR="00F51FBD" w:rsidRPr="00900CEC" w:rsidRDefault="00F51FBD" w:rsidP="00F51FBD">
      <w:pPr>
        <w:spacing w:line="240" w:lineRule="auto"/>
        <w:rPr>
          <w:i/>
          <w:szCs w:val="22"/>
          <w:lang w:val="lt-LT"/>
        </w:rPr>
      </w:pPr>
      <w:proofErr w:type="spellStart"/>
      <w:r w:rsidRPr="00900CEC">
        <w:rPr>
          <w:i/>
          <w:szCs w:val="22"/>
          <w:lang w:val="lt-LT"/>
        </w:rPr>
        <w:t>Anafilaktoindinės</w:t>
      </w:r>
      <w:proofErr w:type="spellEnd"/>
      <w:r w:rsidRPr="00900CEC">
        <w:rPr>
          <w:i/>
          <w:szCs w:val="22"/>
          <w:lang w:val="lt-LT"/>
        </w:rPr>
        <w:t xml:space="preserve"> reakcijos</w:t>
      </w:r>
    </w:p>
    <w:p w14:paraId="38E23555" w14:textId="77777777" w:rsidR="00F51FBD" w:rsidRPr="00900CEC" w:rsidRDefault="00F51FBD" w:rsidP="00F51FBD">
      <w:pPr>
        <w:spacing w:line="240" w:lineRule="auto"/>
        <w:rPr>
          <w:iCs/>
          <w:szCs w:val="22"/>
          <w:lang w:val="lt-LT"/>
        </w:rPr>
      </w:pPr>
      <w:r w:rsidRPr="00900CEC">
        <w:rPr>
          <w:iCs/>
          <w:szCs w:val="22"/>
          <w:lang w:val="lt-LT"/>
        </w:rPr>
        <w:t>Kaip įprasta praktika, intraveninės infuzijos metu rekomenduojama atidžiai stebėti pacientą, ypač infuzijos pradžioje, kad būtų galima nustatyti anafilaksines reakcijas, kurias sukelia veiklioji medžiaga arba pagalbinės medžiagos.</w:t>
      </w:r>
    </w:p>
    <w:p w14:paraId="5924DFBC" w14:textId="77777777" w:rsidR="00F51FBD" w:rsidRPr="00900CEC" w:rsidRDefault="00F51FBD" w:rsidP="00F51FBD">
      <w:pPr>
        <w:spacing w:line="240" w:lineRule="auto"/>
        <w:rPr>
          <w:iCs/>
          <w:szCs w:val="22"/>
          <w:lang w:val="lt-LT"/>
        </w:rPr>
      </w:pPr>
    </w:p>
    <w:p w14:paraId="76A811AD" w14:textId="5736C0EC" w:rsidR="00F51FBD" w:rsidRPr="00900CEC" w:rsidRDefault="00F51FBD" w:rsidP="00F51FBD">
      <w:pPr>
        <w:spacing w:line="240" w:lineRule="auto"/>
        <w:rPr>
          <w:iCs/>
          <w:szCs w:val="22"/>
          <w:lang w:val="lt-LT"/>
        </w:rPr>
      </w:pPr>
      <w:r w:rsidRPr="00900CEC">
        <w:rPr>
          <w:iCs/>
          <w:szCs w:val="22"/>
          <w:lang w:val="lt-LT"/>
        </w:rPr>
        <w:t>Labai retai stebimos sunkios ūminės padidėjusio jautrumo reakcijos (pvz.</w:t>
      </w:r>
      <w:r>
        <w:rPr>
          <w:iCs/>
          <w:szCs w:val="22"/>
          <w:lang w:val="lt-LT"/>
        </w:rPr>
        <w:t>,</w:t>
      </w:r>
      <w:r w:rsidRPr="00900CEC">
        <w:rPr>
          <w:iCs/>
          <w:szCs w:val="22"/>
          <w:lang w:val="lt-LT"/>
        </w:rPr>
        <w:t xml:space="preserve"> anafilaksinis šokas). Po </w:t>
      </w:r>
      <w:proofErr w:type="spellStart"/>
      <w:r w:rsidR="006A24B2">
        <w:rPr>
          <w:iCs/>
          <w:szCs w:val="22"/>
          <w:lang w:val="lt-LT"/>
        </w:rPr>
        <w:t>Paracetamol</w:t>
      </w:r>
      <w:proofErr w:type="spellEnd"/>
      <w:r w:rsidR="006A24B2">
        <w:rPr>
          <w:iCs/>
          <w:szCs w:val="22"/>
          <w:lang w:val="lt-LT"/>
        </w:rPr>
        <w:t>/</w:t>
      </w:r>
      <w:proofErr w:type="spellStart"/>
      <w:r w:rsidR="006A24B2">
        <w:rPr>
          <w:iCs/>
          <w:szCs w:val="22"/>
          <w:lang w:val="lt-LT"/>
        </w:rPr>
        <w:t>Ibuprofen</w:t>
      </w:r>
      <w:proofErr w:type="spellEnd"/>
      <w:r w:rsidR="006A24B2">
        <w:rPr>
          <w:iCs/>
          <w:szCs w:val="22"/>
          <w:lang w:val="lt-LT"/>
        </w:rPr>
        <w:t xml:space="preserve"> AFT </w:t>
      </w:r>
      <w:proofErr w:type="spellStart"/>
      <w:r w:rsidR="006A24B2">
        <w:rPr>
          <w:iCs/>
          <w:szCs w:val="22"/>
          <w:lang w:val="lt-LT"/>
        </w:rPr>
        <w:t>Pharmaceuticals</w:t>
      </w:r>
      <w:proofErr w:type="spellEnd"/>
      <w:r>
        <w:rPr>
          <w:iCs/>
          <w:szCs w:val="22"/>
          <w:lang w:val="lt-LT"/>
        </w:rPr>
        <w:t xml:space="preserve"> </w:t>
      </w:r>
      <w:r w:rsidRPr="00900CEC">
        <w:rPr>
          <w:iCs/>
          <w:szCs w:val="22"/>
          <w:lang w:val="lt-LT"/>
        </w:rPr>
        <w:t>vartojimo pasireiškus pirmiesiems padidėjusio jautrumo reakcijos požymiams, gydymą reikia nutraukti ir paskirti simptominį gydymą. Pagal simptomus specialistai turi pradėti taikyti medicinines priemones.</w:t>
      </w:r>
    </w:p>
    <w:p w14:paraId="28BB06A5" w14:textId="77777777" w:rsidR="00F51FBD" w:rsidRPr="00900CEC" w:rsidRDefault="00F51FBD" w:rsidP="00F51FBD">
      <w:pPr>
        <w:spacing w:line="240" w:lineRule="auto"/>
        <w:rPr>
          <w:iCs/>
          <w:szCs w:val="22"/>
          <w:u w:val="single"/>
          <w:lang w:val="lt-LT"/>
        </w:rPr>
      </w:pPr>
    </w:p>
    <w:p w14:paraId="29FAB7E4" w14:textId="77777777" w:rsidR="00F51FBD" w:rsidRPr="00900CEC" w:rsidRDefault="00F51FBD" w:rsidP="00F51FBD">
      <w:pPr>
        <w:pStyle w:val="Antrat3"/>
        <w:spacing w:before="0" w:after="0" w:line="240" w:lineRule="auto"/>
        <w:rPr>
          <w:rFonts w:ascii="Times New Roman" w:hAnsi="Times New Roman"/>
          <w:b w:val="0"/>
          <w:i/>
          <w:iCs/>
          <w:sz w:val="22"/>
          <w:szCs w:val="22"/>
          <w:lang w:val="lt-LT"/>
        </w:rPr>
      </w:pPr>
      <w:r w:rsidRPr="00900CEC">
        <w:rPr>
          <w:rFonts w:ascii="Times New Roman" w:hAnsi="Times New Roman"/>
          <w:b w:val="0"/>
          <w:i/>
          <w:iCs/>
          <w:sz w:val="22"/>
          <w:szCs w:val="22"/>
          <w:lang w:val="lt-LT"/>
        </w:rPr>
        <w:t>Krešėjimo sutrikimai</w:t>
      </w:r>
    </w:p>
    <w:p w14:paraId="126D7867" w14:textId="77777777" w:rsidR="00F51FBD" w:rsidRPr="00900CEC" w:rsidRDefault="00F51FBD" w:rsidP="00F51FBD">
      <w:pPr>
        <w:spacing w:line="240" w:lineRule="auto"/>
        <w:rPr>
          <w:szCs w:val="22"/>
          <w:lang w:val="lt-LT"/>
        </w:rPr>
      </w:pPr>
      <w:r w:rsidRPr="00900CEC">
        <w:rPr>
          <w:szCs w:val="22"/>
          <w:lang w:val="lt-LT"/>
        </w:rPr>
        <w:t xml:space="preserve">Ibuprofenas, kaip ir kiti NVNU, gali slopinti trombocitų </w:t>
      </w:r>
      <w:proofErr w:type="spellStart"/>
      <w:r w:rsidRPr="00900CEC">
        <w:rPr>
          <w:szCs w:val="22"/>
          <w:lang w:val="lt-LT"/>
        </w:rPr>
        <w:t>agregaciją</w:t>
      </w:r>
      <w:proofErr w:type="spellEnd"/>
      <w:r w:rsidRPr="00900CEC">
        <w:rPr>
          <w:szCs w:val="22"/>
          <w:lang w:val="lt-LT"/>
        </w:rPr>
        <w:t>. Nustatyta, kad sveikiems žmonėms jis pailgina kraujavimo trukmę, tačiau ji išlieka normos ribose. Sutrikus hemostazei, poveikis kraujavimo trukmei gali būti stipresnis, todėl vaistinių preparatų, kurių sudėtyje yra ibuprofeno, atsargiai skiriama sutrikus krešėjimo sistemos funkcijai arba kartu vartojant antikoaguliantų. Pacientus, sergančius krešėjimo sutrikimais ar kuriems atliekama operacija, reikia stebėti. Pacientams, kuriems ką tik atlikta rimta operacija, būtinas ypatingas budrumas.</w:t>
      </w:r>
    </w:p>
    <w:p w14:paraId="0CB0C157" w14:textId="77777777" w:rsidR="00F51FBD" w:rsidRPr="00900CEC" w:rsidRDefault="00F51FBD" w:rsidP="00F51FBD">
      <w:pPr>
        <w:spacing w:line="240" w:lineRule="auto"/>
        <w:rPr>
          <w:szCs w:val="22"/>
          <w:lang w:val="lt-LT"/>
        </w:rPr>
      </w:pPr>
    </w:p>
    <w:p w14:paraId="73F5E9BD" w14:textId="77777777" w:rsidR="00F51FBD" w:rsidRPr="00900CEC" w:rsidRDefault="00F51FBD" w:rsidP="00F51FBD">
      <w:pPr>
        <w:pStyle w:val="Antrat3"/>
        <w:spacing w:before="0" w:after="0" w:line="240" w:lineRule="auto"/>
        <w:rPr>
          <w:rFonts w:ascii="Times New Roman" w:hAnsi="Times New Roman"/>
          <w:b w:val="0"/>
          <w:bCs w:val="0"/>
          <w:i/>
          <w:sz w:val="22"/>
          <w:szCs w:val="22"/>
          <w:u w:val="single"/>
          <w:lang w:val="lt-LT"/>
        </w:rPr>
      </w:pPr>
      <w:r w:rsidRPr="00900CEC">
        <w:rPr>
          <w:rFonts w:ascii="Times New Roman" w:hAnsi="Times New Roman"/>
          <w:b w:val="0"/>
          <w:i/>
          <w:sz w:val="22"/>
          <w:szCs w:val="22"/>
          <w:lang w:val="lt-LT"/>
        </w:rPr>
        <w:t>Virškinimo trakto sutrikimai</w:t>
      </w:r>
    </w:p>
    <w:p w14:paraId="3C14EE46" w14:textId="77777777" w:rsidR="00F51FBD" w:rsidRPr="00900CEC" w:rsidRDefault="00F51FBD" w:rsidP="00F51FBD">
      <w:pPr>
        <w:spacing w:line="240" w:lineRule="auto"/>
        <w:rPr>
          <w:szCs w:val="22"/>
          <w:lang w:val="lt-LT"/>
        </w:rPr>
      </w:pPr>
      <w:r w:rsidRPr="00900CEC">
        <w:rPr>
          <w:szCs w:val="22"/>
          <w:lang w:val="lt-LT"/>
        </w:rPr>
        <w:t xml:space="preserve">Gauta pranešimų apie vartojant visus NVNU pasireiškusius kraujavimą virškinimo trakte, opą ir perforaciją, kuri gali būti mirtina. Jų gali pasireikšti bet kada gydymo metu, prieš tai buvus arba </w:t>
      </w:r>
      <w:r w:rsidRPr="00900CEC">
        <w:rPr>
          <w:szCs w:val="22"/>
          <w:lang w:val="lt-LT"/>
        </w:rPr>
        <w:lastRenderedPageBreak/>
        <w:t>nebuvus įspėjamųjų simptomų, esant arba nesant sunkių virškinimo trakto nepageidaujamų reakcijų anamnezėje.</w:t>
      </w:r>
    </w:p>
    <w:p w14:paraId="0A05BB97" w14:textId="77777777" w:rsidR="00F51FBD" w:rsidRPr="00900CEC" w:rsidRDefault="00F51FBD" w:rsidP="00F51FBD">
      <w:pPr>
        <w:spacing w:line="240" w:lineRule="auto"/>
        <w:rPr>
          <w:szCs w:val="22"/>
          <w:lang w:val="lt-LT"/>
        </w:rPr>
      </w:pPr>
    </w:p>
    <w:p w14:paraId="18FA4043" w14:textId="6A940762" w:rsidR="00F51FBD" w:rsidRPr="00900CEC" w:rsidRDefault="00F51FBD" w:rsidP="00F51FBD">
      <w:pPr>
        <w:spacing w:line="240" w:lineRule="auto"/>
        <w:rPr>
          <w:szCs w:val="22"/>
          <w:lang w:val="lt-LT"/>
        </w:rPr>
      </w:pPr>
      <w:r w:rsidRPr="00900CEC">
        <w:rPr>
          <w:szCs w:val="22"/>
          <w:lang w:val="lt-LT"/>
        </w:rPr>
        <w:t>Kraujavimo virškinimo trakte, opos ir perforacijos rizika būna didesnė vartojant didesnes NVNU dozes, anksčiau buvus opai (ypač su kraujavimu arba perforacija, žr. 4.3</w:t>
      </w:r>
      <w:r w:rsidR="00CB1F4B">
        <w:rPr>
          <w:szCs w:val="22"/>
          <w:lang w:val="lt-LT"/>
        </w:rPr>
        <w:t> </w:t>
      </w:r>
      <w:r w:rsidRPr="00900CEC">
        <w:rPr>
          <w:szCs w:val="22"/>
          <w:lang w:val="lt-LT"/>
        </w:rPr>
        <w:t>skyrių) ir senyviems pacientams. Šių pacientų gydymą reikia pradėti mažiausia turima doze.</w:t>
      </w:r>
    </w:p>
    <w:p w14:paraId="53800ADA" w14:textId="77777777" w:rsidR="00F51FBD" w:rsidRPr="00900CEC" w:rsidRDefault="00F51FBD" w:rsidP="00F51FBD">
      <w:pPr>
        <w:spacing w:line="240" w:lineRule="auto"/>
        <w:rPr>
          <w:szCs w:val="22"/>
          <w:lang w:val="lt-LT"/>
        </w:rPr>
      </w:pPr>
    </w:p>
    <w:p w14:paraId="722D3618" w14:textId="4BEC18C9" w:rsidR="00F51FBD" w:rsidRPr="00900CEC" w:rsidRDefault="00F51FBD" w:rsidP="00F51FBD">
      <w:pPr>
        <w:spacing w:line="240" w:lineRule="auto"/>
        <w:rPr>
          <w:szCs w:val="22"/>
          <w:lang w:val="lt-LT"/>
        </w:rPr>
      </w:pPr>
      <w:r w:rsidRPr="00900CEC">
        <w:rPr>
          <w:szCs w:val="22"/>
          <w:lang w:val="lt-LT"/>
        </w:rPr>
        <w:t xml:space="preserve">Šiems pacientams ir taip pat kartu vartojantiems mažą acetilsalicilo rūgšties dozę arba kitų vaistinių preparatų, galinčių padidinti virškinimo trakto sutrikimų riziką, būtina apsvarstyti poreikį kartu skirti apsauginio vaistinio preparato (pvz., </w:t>
      </w:r>
      <w:proofErr w:type="spellStart"/>
      <w:r w:rsidRPr="00900CEC">
        <w:rPr>
          <w:szCs w:val="22"/>
          <w:lang w:val="lt-LT"/>
        </w:rPr>
        <w:t>mizoprostolio</w:t>
      </w:r>
      <w:proofErr w:type="spellEnd"/>
      <w:r w:rsidRPr="00900CEC">
        <w:rPr>
          <w:szCs w:val="22"/>
          <w:lang w:val="lt-LT"/>
        </w:rPr>
        <w:t xml:space="preserve"> arba protonų siurblio inhibitoriaus) (žr. </w:t>
      </w:r>
      <w:r>
        <w:rPr>
          <w:szCs w:val="22"/>
          <w:lang w:val="lt-LT"/>
        </w:rPr>
        <w:t>toliau</w:t>
      </w:r>
      <w:r w:rsidRPr="00900CEC">
        <w:rPr>
          <w:szCs w:val="22"/>
          <w:lang w:val="lt-LT"/>
        </w:rPr>
        <w:t xml:space="preserve"> ir 4.5</w:t>
      </w:r>
      <w:r w:rsidR="00CB1F4B">
        <w:rPr>
          <w:szCs w:val="22"/>
          <w:lang w:val="lt-LT"/>
        </w:rPr>
        <w:t> </w:t>
      </w:r>
      <w:r w:rsidRPr="00900CEC">
        <w:rPr>
          <w:szCs w:val="22"/>
          <w:lang w:val="lt-LT"/>
        </w:rPr>
        <w:t>skyrių). Pacientai, anksčiau patyrę toksinį poveikį virškinimo traktui, turi pranešti apie bet kokius neįprastus pilvo sutrikimų simptomus, ypač galinčius rodyti kraujavimą virškinimo trakte. Tai ypač svarbu senyviems pacientams ir pradedant gydymą.</w:t>
      </w:r>
    </w:p>
    <w:p w14:paraId="4B811BF2" w14:textId="77777777" w:rsidR="00F51FBD" w:rsidRPr="00900CEC" w:rsidRDefault="00F51FBD" w:rsidP="00F51FBD">
      <w:pPr>
        <w:spacing w:line="240" w:lineRule="auto"/>
        <w:rPr>
          <w:szCs w:val="22"/>
          <w:lang w:val="lt-LT"/>
        </w:rPr>
      </w:pPr>
    </w:p>
    <w:p w14:paraId="3319FC0A" w14:textId="77777777" w:rsidR="00F51FBD" w:rsidRPr="00900CEC" w:rsidRDefault="00F51FBD" w:rsidP="00F51FBD">
      <w:pPr>
        <w:spacing w:line="240" w:lineRule="auto"/>
        <w:rPr>
          <w:szCs w:val="22"/>
          <w:lang w:val="lt-LT"/>
        </w:rPr>
      </w:pPr>
      <w:r w:rsidRPr="00900CEC">
        <w:rPr>
          <w:szCs w:val="22"/>
          <w:lang w:val="lt-LT"/>
        </w:rPr>
        <w:t xml:space="preserve">Atsargumo priemonės taip pat patartinos kartu vartojant vaistinių preparatų, galinčių padidinti opos arba kraujavimo riziką, pvz., geriamųjų kortikosteroidų, antikoaguliantų (pvz., varfarino), selektyvių serotonino reabsorbcijos inhibitorių arba </w:t>
      </w:r>
      <w:proofErr w:type="spellStart"/>
      <w:r w:rsidRPr="00900CEC">
        <w:rPr>
          <w:szCs w:val="22"/>
          <w:lang w:val="lt-LT"/>
        </w:rPr>
        <w:t>antiagregantų</w:t>
      </w:r>
      <w:proofErr w:type="spellEnd"/>
      <w:r w:rsidRPr="00900CEC">
        <w:rPr>
          <w:szCs w:val="22"/>
          <w:lang w:val="lt-LT"/>
        </w:rPr>
        <w:t xml:space="preserve"> (pvz., acetilsalicilo rūgšties) (žr. 4.5 skyrių).</w:t>
      </w:r>
    </w:p>
    <w:p w14:paraId="06E6DF68" w14:textId="77777777" w:rsidR="00F51FBD" w:rsidRPr="00900CEC" w:rsidRDefault="00F51FBD" w:rsidP="00F51FBD">
      <w:pPr>
        <w:spacing w:line="240" w:lineRule="auto"/>
        <w:rPr>
          <w:szCs w:val="22"/>
          <w:lang w:val="lt-LT"/>
        </w:rPr>
      </w:pPr>
    </w:p>
    <w:p w14:paraId="62154F1A" w14:textId="3B7FBD39" w:rsidR="00F51FBD" w:rsidRPr="00900CEC" w:rsidRDefault="00F51FBD" w:rsidP="00F51FBD">
      <w:pPr>
        <w:spacing w:line="240" w:lineRule="auto"/>
        <w:rPr>
          <w:szCs w:val="22"/>
          <w:lang w:val="lt-LT"/>
        </w:rPr>
      </w:pPr>
      <w:r w:rsidRPr="00900CEC">
        <w:rPr>
          <w:szCs w:val="22"/>
          <w:lang w:val="lt-LT"/>
        </w:rPr>
        <w:t xml:space="preserve">Dėl sudėtyje esančio </w:t>
      </w:r>
      <w:proofErr w:type="spellStart"/>
      <w:r w:rsidRPr="00900CEC">
        <w:rPr>
          <w:szCs w:val="22"/>
          <w:lang w:val="lt-LT"/>
        </w:rPr>
        <w:t>ibuprofeno</w:t>
      </w:r>
      <w:proofErr w:type="spellEnd"/>
      <w:r w:rsidRPr="00900CEC">
        <w:rPr>
          <w:szCs w:val="22"/>
          <w:lang w:val="lt-LT"/>
        </w:rPr>
        <w:t xml:space="preserve">, </w:t>
      </w:r>
      <w:proofErr w:type="spellStart"/>
      <w:r w:rsidR="006A24B2">
        <w:rPr>
          <w:lang w:val="lt-LT"/>
        </w:rPr>
        <w:t>Paracetamol</w:t>
      </w:r>
      <w:proofErr w:type="spellEnd"/>
      <w:r w:rsidR="006A24B2">
        <w:rPr>
          <w:lang w:val="lt-LT"/>
        </w:rPr>
        <w:t>/</w:t>
      </w:r>
      <w:proofErr w:type="spellStart"/>
      <w:r w:rsidR="006A24B2">
        <w:rPr>
          <w:lang w:val="lt-LT"/>
        </w:rPr>
        <w:t>Ibuprofen</w:t>
      </w:r>
      <w:proofErr w:type="spellEnd"/>
      <w:r w:rsidR="006A24B2">
        <w:rPr>
          <w:lang w:val="lt-LT"/>
        </w:rPr>
        <w:t xml:space="preserve"> AFT </w:t>
      </w:r>
      <w:proofErr w:type="spellStart"/>
      <w:r w:rsidR="006A24B2">
        <w:rPr>
          <w:lang w:val="lt-LT"/>
        </w:rPr>
        <w:t>Pharmaceuticals</w:t>
      </w:r>
      <w:proofErr w:type="spellEnd"/>
      <w:r>
        <w:rPr>
          <w:lang w:val="lt-LT"/>
        </w:rPr>
        <w:t xml:space="preserve"> </w:t>
      </w:r>
      <w:r w:rsidRPr="00900CEC">
        <w:rPr>
          <w:szCs w:val="22"/>
          <w:lang w:val="lt-LT"/>
        </w:rPr>
        <w:t xml:space="preserve">reikia skirti atsargiai, jeigu anamnezėje </w:t>
      </w:r>
      <w:r>
        <w:rPr>
          <w:szCs w:val="22"/>
          <w:lang w:val="lt-LT"/>
        </w:rPr>
        <w:t>nustatyta</w:t>
      </w:r>
      <w:r w:rsidRPr="00900CEC">
        <w:rPr>
          <w:szCs w:val="22"/>
          <w:lang w:val="lt-LT"/>
        </w:rPr>
        <w:t xml:space="preserve"> virškinimo trakto liga (opinis kolitas, Krono liga) arba jei pacientas serga porfirija.</w:t>
      </w:r>
    </w:p>
    <w:p w14:paraId="66888CBB" w14:textId="77777777" w:rsidR="00F51FBD" w:rsidRPr="00900CEC" w:rsidRDefault="00F51FBD" w:rsidP="00F51FBD">
      <w:pPr>
        <w:spacing w:line="240" w:lineRule="auto"/>
        <w:rPr>
          <w:szCs w:val="22"/>
          <w:lang w:val="lt-LT"/>
        </w:rPr>
      </w:pPr>
    </w:p>
    <w:p w14:paraId="1F8BDE8B" w14:textId="2E8B0442" w:rsidR="00F51FBD" w:rsidRPr="00900CEC" w:rsidRDefault="00F51FBD" w:rsidP="00F51FBD">
      <w:pPr>
        <w:spacing w:line="240" w:lineRule="auto"/>
        <w:rPr>
          <w:szCs w:val="22"/>
          <w:lang w:val="lt-LT"/>
        </w:rPr>
      </w:pPr>
      <w:r w:rsidRPr="00900CEC">
        <w:rPr>
          <w:szCs w:val="22"/>
          <w:lang w:val="lt-LT"/>
        </w:rPr>
        <w:t>Senyviems pacientams dažniau pasireiškia NVNU nepageidaujamų reakcijų, ypač kraujavimas virškinimo trakte ir perforacija, kurie gali būti mirtini (žr. 4.2</w:t>
      </w:r>
      <w:r w:rsidR="00CB1F4B">
        <w:rPr>
          <w:szCs w:val="22"/>
          <w:lang w:val="lt-LT"/>
        </w:rPr>
        <w:t> </w:t>
      </w:r>
      <w:r w:rsidRPr="00900CEC">
        <w:rPr>
          <w:szCs w:val="22"/>
          <w:lang w:val="lt-LT"/>
        </w:rPr>
        <w:t>skyrių).</w:t>
      </w:r>
    </w:p>
    <w:p w14:paraId="53E53098" w14:textId="77777777" w:rsidR="00F51FBD" w:rsidRPr="00900CEC" w:rsidRDefault="00F51FBD" w:rsidP="00F51FBD">
      <w:pPr>
        <w:spacing w:line="240" w:lineRule="auto"/>
        <w:rPr>
          <w:szCs w:val="22"/>
          <w:lang w:val="lt-LT"/>
        </w:rPr>
      </w:pPr>
    </w:p>
    <w:p w14:paraId="1A86169B" w14:textId="77777777" w:rsidR="00F51FBD" w:rsidRPr="00900CEC" w:rsidRDefault="00F51FBD" w:rsidP="00F51FBD">
      <w:pPr>
        <w:spacing w:line="240" w:lineRule="auto"/>
        <w:rPr>
          <w:szCs w:val="22"/>
          <w:lang w:val="lt-LT"/>
        </w:rPr>
      </w:pPr>
      <w:r w:rsidRPr="00900CEC">
        <w:rPr>
          <w:szCs w:val="22"/>
          <w:lang w:val="lt-LT"/>
        </w:rPr>
        <w:t>Jei prasidėtų kraujavimas arba atsirastų opa virškinimo trakte, šio vaistinio preparato vartojimą reikia nutraukti.</w:t>
      </w:r>
    </w:p>
    <w:p w14:paraId="251DF48E" w14:textId="77777777" w:rsidR="00F51FBD" w:rsidRPr="00900CEC" w:rsidRDefault="00F51FBD" w:rsidP="00F51FBD">
      <w:pPr>
        <w:spacing w:line="240" w:lineRule="auto"/>
        <w:rPr>
          <w:szCs w:val="22"/>
          <w:lang w:val="lt-LT"/>
        </w:rPr>
      </w:pPr>
    </w:p>
    <w:p w14:paraId="093BA090" w14:textId="77777777" w:rsidR="00F51FBD" w:rsidRPr="00900CEC" w:rsidRDefault="00F51FBD" w:rsidP="00F51FBD">
      <w:pPr>
        <w:pStyle w:val="Antrat3"/>
        <w:spacing w:before="0" w:after="0" w:line="240" w:lineRule="auto"/>
        <w:rPr>
          <w:rFonts w:ascii="Times New Roman" w:hAnsi="Times New Roman"/>
          <w:b w:val="0"/>
          <w:i/>
          <w:iCs/>
          <w:sz w:val="22"/>
          <w:szCs w:val="22"/>
          <w:lang w:val="lt-LT"/>
        </w:rPr>
      </w:pPr>
      <w:r w:rsidRPr="00900CEC">
        <w:rPr>
          <w:rFonts w:ascii="Times New Roman" w:hAnsi="Times New Roman"/>
          <w:b w:val="0"/>
          <w:i/>
          <w:iCs/>
          <w:sz w:val="22"/>
          <w:szCs w:val="22"/>
          <w:lang w:val="lt-LT"/>
        </w:rPr>
        <w:t>Hipertenzija</w:t>
      </w:r>
    </w:p>
    <w:p w14:paraId="4F8B77E6" w14:textId="77777777" w:rsidR="00F51FBD" w:rsidRPr="00900CEC" w:rsidRDefault="00F51FBD" w:rsidP="00F51FBD">
      <w:pPr>
        <w:spacing w:line="240" w:lineRule="auto"/>
        <w:rPr>
          <w:szCs w:val="22"/>
          <w:lang w:val="lt-LT"/>
        </w:rPr>
      </w:pPr>
      <w:r w:rsidRPr="00900CEC">
        <w:rPr>
          <w:szCs w:val="22"/>
          <w:lang w:val="lt-LT"/>
        </w:rPr>
        <w:t xml:space="preserve">NVNU gali sukelti naujos hipertenzijos pasireiškimą arba esamos pasunkėjimą. Be to, NVNU gali sutrikdyti organizmo atsaką į </w:t>
      </w:r>
      <w:proofErr w:type="spellStart"/>
      <w:r w:rsidRPr="00900CEC">
        <w:rPr>
          <w:szCs w:val="22"/>
          <w:lang w:val="lt-LT"/>
        </w:rPr>
        <w:t>antihipertenzinių</w:t>
      </w:r>
      <w:proofErr w:type="spellEnd"/>
      <w:r w:rsidRPr="00900CEC">
        <w:rPr>
          <w:szCs w:val="22"/>
          <w:lang w:val="lt-LT"/>
        </w:rPr>
        <w:t xml:space="preserve"> vaistinių preparatų veikimą. Pacientams, sergantiems hipertenzija, NVNU reikia skirti atsargiai. Būtina matuoti jų kraujospūdį pradedant gydymą NVNU ir reguliariai vėliau.</w:t>
      </w:r>
    </w:p>
    <w:p w14:paraId="34838640" w14:textId="77777777" w:rsidR="00F51FBD" w:rsidRPr="00900CEC" w:rsidRDefault="00F51FBD" w:rsidP="00F51FBD">
      <w:pPr>
        <w:spacing w:line="240" w:lineRule="auto"/>
        <w:rPr>
          <w:szCs w:val="22"/>
          <w:lang w:val="lt-LT"/>
        </w:rPr>
      </w:pPr>
    </w:p>
    <w:p w14:paraId="34C21AF8" w14:textId="77777777" w:rsidR="00F51FBD" w:rsidRPr="00900CEC" w:rsidRDefault="00F51FBD" w:rsidP="00F51FBD">
      <w:pPr>
        <w:pStyle w:val="Antrat3"/>
        <w:spacing w:before="0" w:after="0" w:line="240" w:lineRule="auto"/>
        <w:rPr>
          <w:rFonts w:ascii="Times New Roman" w:hAnsi="Times New Roman"/>
          <w:b w:val="0"/>
          <w:i/>
          <w:iCs/>
          <w:sz w:val="22"/>
          <w:szCs w:val="22"/>
          <w:lang w:val="lt-LT"/>
        </w:rPr>
      </w:pPr>
      <w:r w:rsidRPr="00900CEC">
        <w:rPr>
          <w:rFonts w:ascii="Times New Roman" w:hAnsi="Times New Roman"/>
          <w:b w:val="0"/>
          <w:i/>
          <w:iCs/>
          <w:sz w:val="22"/>
          <w:szCs w:val="22"/>
          <w:lang w:val="lt-LT"/>
        </w:rPr>
        <w:t>Širdies nepakankamumas</w:t>
      </w:r>
    </w:p>
    <w:p w14:paraId="15916E25" w14:textId="77777777" w:rsidR="00F51FBD" w:rsidRPr="00900CEC" w:rsidRDefault="00F51FBD" w:rsidP="00F51FBD">
      <w:pPr>
        <w:spacing w:line="240" w:lineRule="auto"/>
        <w:rPr>
          <w:szCs w:val="22"/>
          <w:lang w:val="lt-LT"/>
        </w:rPr>
      </w:pPr>
      <w:r w:rsidRPr="00900CEC">
        <w:rPr>
          <w:szCs w:val="22"/>
          <w:lang w:val="lt-LT"/>
        </w:rPr>
        <w:t>Kai kuriems pacientams vartojant NVNU susilaikė skysčių ir pasireiškė edema. Dėl to šį vaistinį preparatą reikia vartoti atsargiai, jeigu organizme susilaiko skysčiai arba yra širdies nepakankamumas.</w:t>
      </w:r>
    </w:p>
    <w:p w14:paraId="073B30F3" w14:textId="77777777" w:rsidR="00F51FBD" w:rsidRPr="00900CEC" w:rsidRDefault="00F51FBD" w:rsidP="00F51FBD">
      <w:pPr>
        <w:spacing w:line="240" w:lineRule="auto"/>
        <w:rPr>
          <w:szCs w:val="22"/>
          <w:lang w:val="lt-LT"/>
        </w:rPr>
      </w:pPr>
    </w:p>
    <w:p w14:paraId="04D193E7" w14:textId="77777777" w:rsidR="00F51FBD" w:rsidRPr="00900CEC" w:rsidRDefault="00F51FBD" w:rsidP="00F51FBD">
      <w:pPr>
        <w:pStyle w:val="Antrat3"/>
        <w:spacing w:before="0" w:after="0" w:line="240" w:lineRule="auto"/>
        <w:rPr>
          <w:rFonts w:ascii="Times New Roman" w:hAnsi="Times New Roman"/>
          <w:b w:val="0"/>
          <w:i/>
          <w:sz w:val="22"/>
          <w:szCs w:val="22"/>
          <w:lang w:val="lt-LT"/>
        </w:rPr>
      </w:pPr>
      <w:r w:rsidRPr="00900CEC">
        <w:rPr>
          <w:rFonts w:ascii="Times New Roman" w:hAnsi="Times New Roman"/>
          <w:b w:val="0"/>
          <w:i/>
          <w:sz w:val="22"/>
          <w:szCs w:val="22"/>
          <w:lang w:val="lt-LT"/>
        </w:rPr>
        <w:t>Sunkios odos reakcijos</w:t>
      </w:r>
    </w:p>
    <w:p w14:paraId="7723AC2D" w14:textId="77777777" w:rsidR="00F51FBD" w:rsidRPr="00900CEC" w:rsidRDefault="00F51FBD" w:rsidP="00F51FBD">
      <w:pPr>
        <w:spacing w:line="240" w:lineRule="auto"/>
        <w:rPr>
          <w:sz w:val="18"/>
          <w:szCs w:val="18"/>
          <w:lang w:val="lt-LT"/>
        </w:rPr>
      </w:pPr>
      <w:r w:rsidRPr="00900CEC">
        <w:rPr>
          <w:szCs w:val="22"/>
          <w:lang w:val="lt-LT"/>
        </w:rPr>
        <w:t xml:space="preserve">NVNU labai retais atvejais gali sukelti sunkių odos reakcijų, tokių kaip </w:t>
      </w:r>
      <w:proofErr w:type="spellStart"/>
      <w:r w:rsidRPr="00900CEC">
        <w:rPr>
          <w:szCs w:val="22"/>
          <w:lang w:val="lt-LT"/>
        </w:rPr>
        <w:t>eksfoliacinis</w:t>
      </w:r>
      <w:proofErr w:type="spellEnd"/>
      <w:r w:rsidRPr="00900CEC">
        <w:rPr>
          <w:szCs w:val="22"/>
          <w:lang w:val="lt-LT"/>
        </w:rPr>
        <w:t xml:space="preserve"> dermatitas, toksinė epidermio </w:t>
      </w:r>
      <w:proofErr w:type="spellStart"/>
      <w:r w:rsidRPr="00900CEC">
        <w:rPr>
          <w:szCs w:val="22"/>
          <w:lang w:val="lt-LT"/>
        </w:rPr>
        <w:t>nekrolizė</w:t>
      </w:r>
      <w:proofErr w:type="spellEnd"/>
      <w:r w:rsidRPr="00900CEC">
        <w:rPr>
          <w:szCs w:val="22"/>
          <w:lang w:val="lt-LT"/>
        </w:rPr>
        <w:t xml:space="preserve"> (TEN) ir </w:t>
      </w:r>
      <w:proofErr w:type="spellStart"/>
      <w:r w:rsidRPr="00900CEC">
        <w:rPr>
          <w:szCs w:val="22"/>
          <w:lang w:val="lt-LT"/>
        </w:rPr>
        <w:t>Stivenso</w:t>
      </w:r>
      <w:proofErr w:type="spellEnd"/>
      <w:r w:rsidRPr="00900CEC">
        <w:rPr>
          <w:szCs w:val="22"/>
          <w:lang w:val="lt-LT"/>
        </w:rPr>
        <w:t>-Džonsono</w:t>
      </w:r>
      <w:r>
        <w:rPr>
          <w:szCs w:val="22"/>
          <w:lang w:val="lt-LT"/>
        </w:rPr>
        <w:t xml:space="preserve"> (</w:t>
      </w:r>
      <w:r w:rsidRPr="00F8043C">
        <w:rPr>
          <w:i/>
          <w:szCs w:val="22"/>
          <w:lang w:val="lt-LT"/>
        </w:rPr>
        <w:t>Stevens-Johnson</w:t>
      </w:r>
      <w:r>
        <w:rPr>
          <w:szCs w:val="22"/>
          <w:lang w:val="lt-LT"/>
        </w:rPr>
        <w:t>)</w:t>
      </w:r>
      <w:r w:rsidRPr="00900CEC">
        <w:rPr>
          <w:szCs w:val="22"/>
          <w:lang w:val="lt-LT"/>
        </w:rPr>
        <w:t xml:space="preserve"> sindromas, kurie gali pasireikšti be įspėjamųjų ženklų ir baigtis mirtimi. </w:t>
      </w:r>
      <w:bookmarkStart w:id="1" w:name="_Hlk22203374"/>
      <w:r w:rsidRPr="00900CEC">
        <w:rPr>
          <w:szCs w:val="22"/>
          <w:lang w:val="lt-LT"/>
        </w:rPr>
        <w:t xml:space="preserve">Gauta pranešimų apie ūminės </w:t>
      </w:r>
      <w:proofErr w:type="spellStart"/>
      <w:r w:rsidRPr="00900CEC">
        <w:rPr>
          <w:szCs w:val="22"/>
          <w:lang w:val="lt-LT"/>
        </w:rPr>
        <w:t>generalizuotos</w:t>
      </w:r>
      <w:proofErr w:type="spellEnd"/>
      <w:r w:rsidRPr="00900CEC">
        <w:rPr>
          <w:szCs w:val="22"/>
          <w:lang w:val="lt-LT"/>
        </w:rPr>
        <w:t xml:space="preserve"> </w:t>
      </w:r>
      <w:proofErr w:type="spellStart"/>
      <w:r w:rsidRPr="00900CEC">
        <w:rPr>
          <w:szCs w:val="22"/>
          <w:lang w:val="lt-LT"/>
        </w:rPr>
        <w:t>egzanteminės</w:t>
      </w:r>
      <w:proofErr w:type="spellEnd"/>
      <w:r w:rsidRPr="00900CEC">
        <w:rPr>
          <w:szCs w:val="22"/>
          <w:lang w:val="lt-LT"/>
        </w:rPr>
        <w:t xml:space="preserve"> </w:t>
      </w:r>
      <w:proofErr w:type="spellStart"/>
      <w:r w:rsidRPr="00900CEC">
        <w:rPr>
          <w:szCs w:val="22"/>
          <w:lang w:val="lt-LT"/>
        </w:rPr>
        <w:t>pustuliozės</w:t>
      </w:r>
      <w:proofErr w:type="spellEnd"/>
      <w:r w:rsidRPr="00900CEC">
        <w:rPr>
          <w:szCs w:val="22"/>
          <w:lang w:val="lt-LT"/>
        </w:rPr>
        <w:t xml:space="preserve"> (ŪGEP) atvejus, pasireiškusius vartojant ibuprofeno sudėtyje turinčius vaistinius preparatus.</w:t>
      </w:r>
      <w:bookmarkEnd w:id="1"/>
      <w:r w:rsidRPr="00900CEC">
        <w:rPr>
          <w:sz w:val="18"/>
          <w:szCs w:val="18"/>
          <w:lang w:val="lt-LT"/>
        </w:rPr>
        <w:t xml:space="preserve"> </w:t>
      </w:r>
      <w:r w:rsidRPr="00900CEC">
        <w:rPr>
          <w:szCs w:val="22"/>
          <w:lang w:val="lt-LT"/>
        </w:rPr>
        <w:t xml:space="preserve">Didžiausias tokių reakcijų pavojus kyla pradedant gydyti – dauguma jų prasideda pirmąjį gydymo mėnesį. </w:t>
      </w:r>
    </w:p>
    <w:p w14:paraId="2E914172" w14:textId="77777777" w:rsidR="00F51FBD" w:rsidRPr="00900CEC" w:rsidRDefault="00F51FBD" w:rsidP="00F51FBD">
      <w:pPr>
        <w:spacing w:line="240" w:lineRule="auto"/>
        <w:rPr>
          <w:szCs w:val="22"/>
          <w:lang w:val="lt-LT"/>
        </w:rPr>
      </w:pPr>
    </w:p>
    <w:p w14:paraId="15887913" w14:textId="77777777" w:rsidR="00F51FBD" w:rsidRPr="00900CEC" w:rsidRDefault="00F51FBD" w:rsidP="00F51FBD">
      <w:pPr>
        <w:spacing w:line="240" w:lineRule="auto"/>
        <w:rPr>
          <w:szCs w:val="22"/>
          <w:lang w:val="lt-LT"/>
        </w:rPr>
      </w:pPr>
      <w:r w:rsidRPr="00900CEC">
        <w:rPr>
          <w:szCs w:val="22"/>
          <w:lang w:val="lt-LT"/>
        </w:rPr>
        <w:t>Pacientus reikia informuoti apie sunkių odos reakcijų požymius ir simptomus bei perspėti, kad pastebėję odos išbėrimą ar kitą padidėjusio jautrumo požymį tuoj pat pasikonsultuotų su gydytoju.</w:t>
      </w:r>
    </w:p>
    <w:p w14:paraId="2F998C65" w14:textId="77777777" w:rsidR="00F51FBD" w:rsidRPr="00900CEC" w:rsidRDefault="00F51FBD" w:rsidP="00F51FBD">
      <w:pPr>
        <w:spacing w:line="240" w:lineRule="auto"/>
        <w:rPr>
          <w:szCs w:val="22"/>
          <w:lang w:val="lt-LT"/>
        </w:rPr>
      </w:pPr>
    </w:p>
    <w:p w14:paraId="30ABC4E7" w14:textId="262F1592" w:rsidR="00F51FBD" w:rsidRPr="00900CEC" w:rsidRDefault="00F51FBD" w:rsidP="00F51FBD">
      <w:pPr>
        <w:spacing w:line="240" w:lineRule="auto"/>
        <w:rPr>
          <w:szCs w:val="22"/>
          <w:lang w:val="lt-LT"/>
        </w:rPr>
      </w:pPr>
      <w:r w:rsidRPr="00900CEC">
        <w:rPr>
          <w:szCs w:val="22"/>
          <w:lang w:val="lt-LT"/>
        </w:rPr>
        <w:t>Išimtiniais atvejais vėjaraupiai gali sukelti rimtų odos ir minkštųjų audinių infekci</w:t>
      </w:r>
      <w:r>
        <w:rPr>
          <w:szCs w:val="22"/>
          <w:lang w:val="lt-LT"/>
        </w:rPr>
        <w:t>nes</w:t>
      </w:r>
      <w:r w:rsidRPr="00900CEC">
        <w:rPr>
          <w:szCs w:val="22"/>
          <w:lang w:val="lt-LT"/>
        </w:rPr>
        <w:t xml:space="preserve"> komplikacijas. Iki šiol negalima atmesti NVNU vaidmens </w:t>
      </w:r>
      <w:r>
        <w:rPr>
          <w:szCs w:val="22"/>
          <w:lang w:val="lt-LT"/>
        </w:rPr>
        <w:t>bloginant</w:t>
      </w:r>
      <w:r w:rsidRPr="00900CEC">
        <w:rPr>
          <w:szCs w:val="22"/>
          <w:lang w:val="lt-LT"/>
        </w:rPr>
        <w:t xml:space="preserve"> šių infekcijų </w:t>
      </w:r>
      <w:r>
        <w:rPr>
          <w:szCs w:val="22"/>
          <w:lang w:val="lt-LT"/>
        </w:rPr>
        <w:t>eigą</w:t>
      </w:r>
      <w:r w:rsidRPr="00900CEC">
        <w:rPr>
          <w:szCs w:val="22"/>
          <w:lang w:val="lt-LT"/>
        </w:rPr>
        <w:t xml:space="preserve">. Taigi sergant vėjaraupiais patartina vengti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Pr>
          <w:szCs w:val="22"/>
          <w:lang w:val="lt-LT"/>
        </w:rPr>
        <w:t xml:space="preserve"> </w:t>
      </w:r>
      <w:r w:rsidRPr="00900CEC">
        <w:rPr>
          <w:szCs w:val="22"/>
          <w:lang w:val="lt-LT"/>
        </w:rPr>
        <w:t>vartojimo.</w:t>
      </w:r>
    </w:p>
    <w:p w14:paraId="48AD8CF6" w14:textId="77777777" w:rsidR="00F51FBD" w:rsidRPr="00900CEC" w:rsidRDefault="00F51FBD" w:rsidP="00F51FBD">
      <w:pPr>
        <w:spacing w:line="240" w:lineRule="auto"/>
        <w:rPr>
          <w:szCs w:val="22"/>
          <w:lang w:val="lt-LT"/>
        </w:rPr>
      </w:pPr>
    </w:p>
    <w:p w14:paraId="4505984D" w14:textId="77777777" w:rsidR="00F51FBD" w:rsidRPr="00900CEC" w:rsidRDefault="00F51FBD" w:rsidP="00F51FBD">
      <w:pPr>
        <w:pStyle w:val="Antrat3"/>
        <w:spacing w:before="0" w:after="0" w:line="240" w:lineRule="auto"/>
        <w:rPr>
          <w:rFonts w:ascii="Times New Roman" w:hAnsi="Times New Roman"/>
          <w:b w:val="0"/>
          <w:bCs w:val="0"/>
          <w:i/>
          <w:sz w:val="22"/>
          <w:szCs w:val="22"/>
          <w:lang w:val="lt-LT"/>
        </w:rPr>
      </w:pPr>
      <w:r w:rsidRPr="00900CEC">
        <w:rPr>
          <w:rFonts w:ascii="Times New Roman" w:hAnsi="Times New Roman"/>
          <w:b w:val="0"/>
          <w:i/>
          <w:sz w:val="22"/>
          <w:szCs w:val="22"/>
          <w:lang w:val="lt-LT"/>
        </w:rPr>
        <w:t>Anksčiau buvusi astma</w:t>
      </w:r>
    </w:p>
    <w:p w14:paraId="02B0A123" w14:textId="77777777" w:rsidR="00F51FBD" w:rsidRPr="00900CEC" w:rsidRDefault="00F51FBD" w:rsidP="00F51FBD">
      <w:pPr>
        <w:spacing w:line="240" w:lineRule="auto"/>
        <w:rPr>
          <w:szCs w:val="22"/>
          <w:lang w:val="lt-LT"/>
        </w:rPr>
      </w:pPr>
      <w:r w:rsidRPr="00900CEC">
        <w:rPr>
          <w:szCs w:val="22"/>
          <w:lang w:val="lt-LT"/>
        </w:rPr>
        <w:t xml:space="preserve">Vaistinių preparatų, kurių sudėtyje yra ibuprofeno, negalima vartoti pacientams, sergantiems </w:t>
      </w:r>
      <w:proofErr w:type="spellStart"/>
      <w:r w:rsidRPr="00900CEC">
        <w:rPr>
          <w:szCs w:val="22"/>
          <w:lang w:val="lt-LT"/>
        </w:rPr>
        <w:t>acetilsalicilo</w:t>
      </w:r>
      <w:proofErr w:type="spellEnd"/>
      <w:r w:rsidRPr="00900CEC">
        <w:rPr>
          <w:szCs w:val="22"/>
          <w:lang w:val="lt-LT"/>
        </w:rPr>
        <w:t xml:space="preserve"> rūgščiai jautria </w:t>
      </w:r>
      <w:proofErr w:type="spellStart"/>
      <w:r w:rsidRPr="00900CEC">
        <w:rPr>
          <w:szCs w:val="22"/>
          <w:lang w:val="lt-LT"/>
        </w:rPr>
        <w:t>astma</w:t>
      </w:r>
      <w:r>
        <w:rPr>
          <w:szCs w:val="22"/>
          <w:lang w:val="lt-LT"/>
        </w:rPr>
        <w:t>ir</w:t>
      </w:r>
      <w:proofErr w:type="spellEnd"/>
      <w:r>
        <w:rPr>
          <w:szCs w:val="22"/>
          <w:lang w:val="lt-LT"/>
        </w:rPr>
        <w:t xml:space="preserve"> juos </w:t>
      </w:r>
      <w:r w:rsidRPr="00900CEC">
        <w:rPr>
          <w:szCs w:val="22"/>
          <w:lang w:val="lt-LT"/>
        </w:rPr>
        <w:t>skirti atsargiai</w:t>
      </w:r>
      <w:r>
        <w:rPr>
          <w:szCs w:val="22"/>
          <w:lang w:val="lt-LT"/>
        </w:rPr>
        <w:t xml:space="preserve"> anksčiau sirgusiems </w:t>
      </w:r>
      <w:proofErr w:type="spellStart"/>
      <w:r>
        <w:rPr>
          <w:szCs w:val="22"/>
          <w:lang w:val="lt-LT"/>
        </w:rPr>
        <w:t>atsma</w:t>
      </w:r>
      <w:proofErr w:type="spellEnd"/>
      <w:r w:rsidRPr="00900CEC">
        <w:rPr>
          <w:szCs w:val="22"/>
          <w:lang w:val="lt-LT"/>
        </w:rPr>
        <w:t>.</w:t>
      </w:r>
    </w:p>
    <w:p w14:paraId="4D22630D" w14:textId="77777777" w:rsidR="00F51FBD" w:rsidRPr="00900CEC" w:rsidRDefault="00F51FBD" w:rsidP="00F51FBD">
      <w:pPr>
        <w:spacing w:line="240" w:lineRule="auto"/>
        <w:rPr>
          <w:szCs w:val="22"/>
          <w:lang w:val="lt-LT"/>
        </w:rPr>
      </w:pPr>
    </w:p>
    <w:p w14:paraId="3B3ED16D" w14:textId="77777777" w:rsidR="00F51FBD" w:rsidRPr="00900CEC" w:rsidRDefault="00F51FBD" w:rsidP="00F51FBD">
      <w:pPr>
        <w:pStyle w:val="Antrat3"/>
        <w:spacing w:before="0" w:after="0" w:line="240" w:lineRule="auto"/>
        <w:rPr>
          <w:rFonts w:ascii="Times New Roman" w:hAnsi="Times New Roman"/>
          <w:b w:val="0"/>
          <w:i/>
          <w:sz w:val="22"/>
          <w:szCs w:val="22"/>
          <w:lang w:val="lt-LT"/>
        </w:rPr>
      </w:pPr>
      <w:r w:rsidRPr="00900CEC">
        <w:rPr>
          <w:rFonts w:ascii="Times New Roman" w:hAnsi="Times New Roman"/>
          <w:b w:val="0"/>
          <w:i/>
          <w:sz w:val="22"/>
          <w:szCs w:val="22"/>
          <w:lang w:val="lt-LT"/>
        </w:rPr>
        <w:lastRenderedPageBreak/>
        <w:t>Poveikis akims</w:t>
      </w:r>
    </w:p>
    <w:p w14:paraId="73F51C0F" w14:textId="77777777" w:rsidR="00F51FBD" w:rsidRPr="00900CEC" w:rsidRDefault="00F51FBD" w:rsidP="00F51FBD">
      <w:pPr>
        <w:spacing w:line="240" w:lineRule="auto"/>
        <w:rPr>
          <w:szCs w:val="22"/>
          <w:lang w:val="lt-LT"/>
        </w:rPr>
      </w:pPr>
      <w:r w:rsidRPr="00900CEC">
        <w:rPr>
          <w:szCs w:val="22"/>
          <w:lang w:val="lt-LT"/>
        </w:rPr>
        <w:t xml:space="preserve">Vartojant NVNU, užfiksuota nepageidaujamo poveikio akims atvejų. Dėl to, jei vartojant vaistinių preparatų, kurių sudėtyje yra ibuprofeno, pasireikštų regėjimo sutrikimų, pacientą reikia ištirti </w:t>
      </w:r>
      <w:proofErr w:type="spellStart"/>
      <w:r w:rsidRPr="00900CEC">
        <w:rPr>
          <w:szCs w:val="22"/>
          <w:lang w:val="lt-LT"/>
        </w:rPr>
        <w:t>oftalmologiškai</w:t>
      </w:r>
      <w:proofErr w:type="spellEnd"/>
      <w:r w:rsidRPr="00900CEC">
        <w:rPr>
          <w:szCs w:val="22"/>
          <w:lang w:val="lt-LT"/>
        </w:rPr>
        <w:t>.</w:t>
      </w:r>
    </w:p>
    <w:p w14:paraId="1D426702" w14:textId="77777777" w:rsidR="00F51FBD" w:rsidRPr="00900CEC" w:rsidRDefault="00F51FBD" w:rsidP="00F51FBD">
      <w:pPr>
        <w:spacing w:line="240" w:lineRule="auto"/>
        <w:rPr>
          <w:szCs w:val="22"/>
          <w:lang w:val="lt-LT"/>
        </w:rPr>
      </w:pPr>
    </w:p>
    <w:p w14:paraId="17767F70" w14:textId="77777777" w:rsidR="00F51FBD" w:rsidRPr="00900CEC" w:rsidRDefault="00F51FBD" w:rsidP="00F51FBD">
      <w:pPr>
        <w:pStyle w:val="Antrat3"/>
        <w:spacing w:before="0" w:after="0" w:line="240" w:lineRule="auto"/>
        <w:rPr>
          <w:rFonts w:ascii="Times New Roman" w:hAnsi="Times New Roman"/>
          <w:b w:val="0"/>
          <w:i/>
          <w:sz w:val="22"/>
          <w:szCs w:val="22"/>
          <w:lang w:val="lt-LT"/>
        </w:rPr>
      </w:pPr>
      <w:proofErr w:type="spellStart"/>
      <w:r w:rsidRPr="00900CEC">
        <w:rPr>
          <w:rFonts w:ascii="Times New Roman" w:hAnsi="Times New Roman"/>
          <w:b w:val="0"/>
          <w:i/>
          <w:sz w:val="22"/>
          <w:szCs w:val="22"/>
          <w:lang w:val="lt-LT"/>
        </w:rPr>
        <w:t>Aseptinis</w:t>
      </w:r>
      <w:proofErr w:type="spellEnd"/>
      <w:r w:rsidRPr="00900CEC">
        <w:rPr>
          <w:rFonts w:ascii="Times New Roman" w:hAnsi="Times New Roman"/>
          <w:b w:val="0"/>
          <w:i/>
          <w:sz w:val="22"/>
          <w:szCs w:val="22"/>
          <w:lang w:val="lt-LT"/>
        </w:rPr>
        <w:t xml:space="preserve"> meningitas</w:t>
      </w:r>
    </w:p>
    <w:p w14:paraId="380398A5" w14:textId="77777777" w:rsidR="00F51FBD" w:rsidRPr="00900CEC" w:rsidRDefault="00F51FBD" w:rsidP="00F51FBD">
      <w:pPr>
        <w:spacing w:line="240" w:lineRule="auto"/>
        <w:rPr>
          <w:szCs w:val="22"/>
          <w:lang w:val="lt-LT"/>
        </w:rPr>
      </w:pPr>
      <w:r w:rsidRPr="00900CEC">
        <w:rPr>
          <w:bCs/>
          <w:szCs w:val="22"/>
          <w:lang w:val="lt-LT"/>
        </w:rPr>
        <w:t xml:space="preserve">Vartojant vaistinių preparatų, kurių sudėtyje yra </w:t>
      </w:r>
      <w:proofErr w:type="spellStart"/>
      <w:r w:rsidRPr="00900CEC">
        <w:rPr>
          <w:bCs/>
          <w:szCs w:val="22"/>
          <w:lang w:val="lt-LT"/>
        </w:rPr>
        <w:t>ibuprofeno</w:t>
      </w:r>
      <w:proofErr w:type="spellEnd"/>
      <w:r w:rsidRPr="00900CEC">
        <w:rPr>
          <w:bCs/>
          <w:szCs w:val="22"/>
          <w:lang w:val="lt-LT"/>
        </w:rPr>
        <w:t xml:space="preserve">, užfiksuota retų </w:t>
      </w:r>
      <w:proofErr w:type="spellStart"/>
      <w:r w:rsidRPr="00900CEC">
        <w:rPr>
          <w:szCs w:val="22"/>
          <w:lang w:val="lt-LT"/>
        </w:rPr>
        <w:t>aseptinio</w:t>
      </w:r>
      <w:proofErr w:type="spellEnd"/>
      <w:r w:rsidRPr="00900CEC">
        <w:rPr>
          <w:szCs w:val="22"/>
          <w:lang w:val="lt-LT"/>
        </w:rPr>
        <w:t xml:space="preserve"> meningito atvejų. Dauguma atvejų (bet ne visais) jis pasireiškė pacientams, sergantiems sistemine raudonąja vilklige arba kitomis jungiamojo audinio ligomis.</w:t>
      </w:r>
    </w:p>
    <w:p w14:paraId="7D03CB2D" w14:textId="77777777" w:rsidR="00F51FBD" w:rsidRPr="00900CEC" w:rsidRDefault="00F51FBD" w:rsidP="00F51FBD">
      <w:pPr>
        <w:spacing w:line="240" w:lineRule="auto"/>
        <w:rPr>
          <w:szCs w:val="22"/>
          <w:lang w:val="lt-LT"/>
        </w:rPr>
      </w:pPr>
    </w:p>
    <w:p w14:paraId="15968A5E" w14:textId="77777777" w:rsidR="00F51FBD" w:rsidRPr="00900CEC" w:rsidRDefault="00F51FBD" w:rsidP="00F51FBD">
      <w:pPr>
        <w:pStyle w:val="Antrat3"/>
        <w:spacing w:before="0" w:after="0" w:line="240" w:lineRule="auto"/>
        <w:rPr>
          <w:rFonts w:ascii="Times New Roman" w:hAnsi="Times New Roman"/>
          <w:b w:val="0"/>
          <w:i/>
          <w:sz w:val="22"/>
          <w:szCs w:val="22"/>
          <w:lang w:val="lt-LT"/>
        </w:rPr>
      </w:pPr>
      <w:r w:rsidRPr="00900CEC">
        <w:rPr>
          <w:rFonts w:ascii="Times New Roman" w:hAnsi="Times New Roman"/>
          <w:b w:val="0"/>
          <w:i/>
          <w:sz w:val="22"/>
          <w:szCs w:val="22"/>
          <w:lang w:val="lt-LT"/>
        </w:rPr>
        <w:t>Galima įtaka laboratorinių tyrimų duomenims</w:t>
      </w:r>
    </w:p>
    <w:p w14:paraId="4B46E5EE" w14:textId="77777777" w:rsidR="00F51FBD" w:rsidRPr="00900CEC" w:rsidRDefault="00F51FBD" w:rsidP="00F51FBD">
      <w:pPr>
        <w:spacing w:line="240" w:lineRule="auto"/>
        <w:rPr>
          <w:szCs w:val="22"/>
          <w:lang w:val="lt-LT"/>
        </w:rPr>
      </w:pPr>
      <w:r w:rsidRPr="00900CEC">
        <w:rPr>
          <w:szCs w:val="22"/>
          <w:lang w:val="lt-LT"/>
        </w:rPr>
        <w:t xml:space="preserve">Kai naudojamos šiuolaikinės analizės sistemos, </w:t>
      </w:r>
      <w:proofErr w:type="spellStart"/>
      <w:r w:rsidRPr="00900CEC">
        <w:rPr>
          <w:szCs w:val="22"/>
          <w:lang w:val="lt-LT"/>
        </w:rPr>
        <w:t>paracetamolis</w:t>
      </w:r>
      <w:proofErr w:type="spellEnd"/>
      <w:r w:rsidRPr="00900CEC">
        <w:rPr>
          <w:szCs w:val="22"/>
          <w:lang w:val="lt-LT"/>
        </w:rPr>
        <w:t xml:space="preserve"> neturi įtakos laboratorinių tyrimų duomenims. Vis dėlto tam tikrais laboratoriniais metodais gaunamus duomenis šis vaistinis preparatas gali iškreipti (tai aprašyta </w:t>
      </w:r>
      <w:r>
        <w:rPr>
          <w:szCs w:val="22"/>
          <w:lang w:val="lt-LT"/>
        </w:rPr>
        <w:t>toliau</w:t>
      </w:r>
      <w:r w:rsidRPr="00900CEC">
        <w:rPr>
          <w:szCs w:val="22"/>
          <w:lang w:val="lt-LT"/>
        </w:rPr>
        <w:t>).</w:t>
      </w:r>
    </w:p>
    <w:p w14:paraId="79EFB49F" w14:textId="77777777" w:rsidR="00F51FBD" w:rsidRPr="00900CEC" w:rsidRDefault="00F51FBD" w:rsidP="00F51FBD">
      <w:pPr>
        <w:spacing w:line="240" w:lineRule="auto"/>
        <w:rPr>
          <w:iCs/>
          <w:szCs w:val="22"/>
          <w:u w:val="single"/>
          <w:lang w:val="lt-LT"/>
        </w:rPr>
      </w:pPr>
    </w:p>
    <w:p w14:paraId="7BF13DCE" w14:textId="77777777" w:rsidR="00F51FBD" w:rsidRPr="00900CEC" w:rsidRDefault="00F51FBD" w:rsidP="00F51FBD">
      <w:pPr>
        <w:pStyle w:val="Antrat3"/>
        <w:spacing w:before="0" w:after="0" w:line="240" w:lineRule="auto"/>
        <w:rPr>
          <w:rFonts w:ascii="Times New Roman" w:hAnsi="Times New Roman"/>
          <w:b w:val="0"/>
          <w:sz w:val="22"/>
          <w:szCs w:val="22"/>
          <w:u w:val="single"/>
          <w:lang w:val="lt-LT"/>
        </w:rPr>
      </w:pPr>
      <w:r w:rsidRPr="00900CEC">
        <w:rPr>
          <w:rFonts w:ascii="Times New Roman" w:hAnsi="Times New Roman"/>
          <w:b w:val="0"/>
          <w:sz w:val="22"/>
          <w:szCs w:val="22"/>
          <w:u w:val="single"/>
          <w:lang w:val="lt-LT"/>
        </w:rPr>
        <w:t xml:space="preserve">Šlapimo tyrimai </w:t>
      </w:r>
    </w:p>
    <w:p w14:paraId="70DD0663" w14:textId="77777777" w:rsidR="00F51FBD" w:rsidRPr="00900CEC" w:rsidRDefault="00F51FBD" w:rsidP="00F51FBD">
      <w:pPr>
        <w:spacing w:line="240" w:lineRule="auto"/>
        <w:rPr>
          <w:szCs w:val="22"/>
          <w:lang w:val="lt-LT"/>
        </w:rPr>
      </w:pPr>
      <w:r w:rsidRPr="00900CEC">
        <w:rPr>
          <w:szCs w:val="22"/>
          <w:lang w:val="lt-LT"/>
        </w:rPr>
        <w:t>Paracetamolio terapinės dozės gali iškreipti tyrimų naudojant 5</w:t>
      </w:r>
      <w:r w:rsidRPr="00900CEC">
        <w:rPr>
          <w:szCs w:val="22"/>
          <w:lang w:val="lt-LT"/>
        </w:rPr>
        <w:noBreakHyphen/>
        <w:t>hidroksiindolacto rūgštį (5HIAA) duomenis (padaryti juos klaidingai teigiamais). Šių klaidų galima išvengti nevartojant paracetamolio kelias valandas iki šlapimo mėginio rinkimo ir jo metu.</w:t>
      </w:r>
    </w:p>
    <w:p w14:paraId="6A4AFC39" w14:textId="77777777" w:rsidR="00F51FBD" w:rsidRPr="00900CEC" w:rsidRDefault="00F51FBD" w:rsidP="00F51FBD">
      <w:pPr>
        <w:spacing w:line="240" w:lineRule="auto"/>
        <w:rPr>
          <w:szCs w:val="22"/>
          <w:lang w:val="lt-LT"/>
        </w:rPr>
      </w:pPr>
    </w:p>
    <w:p w14:paraId="59BB0513" w14:textId="77777777" w:rsidR="00F51FBD" w:rsidRPr="006B4FF8" w:rsidRDefault="00F51FBD" w:rsidP="00F51FBD">
      <w:pPr>
        <w:spacing w:line="240" w:lineRule="auto"/>
        <w:rPr>
          <w:lang w:val="lt-LT"/>
        </w:rPr>
      </w:pPr>
      <w:r w:rsidRPr="006B4FF8">
        <w:rPr>
          <w:b/>
          <w:szCs w:val="22"/>
          <w:lang w:val="lt-LT"/>
        </w:rPr>
        <w:t>Gretutinių infekcijų simptomų maskavimas</w:t>
      </w:r>
    </w:p>
    <w:p w14:paraId="76BE9918" w14:textId="41A9E738" w:rsidR="00F51FBD" w:rsidRPr="00900CEC" w:rsidRDefault="006A24B2" w:rsidP="00F51FBD">
      <w:pPr>
        <w:spacing w:line="240" w:lineRule="auto"/>
        <w:rPr>
          <w:szCs w:val="22"/>
          <w:lang w:val="lt-LT"/>
        </w:rPr>
      </w:pPr>
      <w:proofErr w:type="spellStart"/>
      <w:r>
        <w:rPr>
          <w:lang w:val="lt-LT"/>
        </w:rPr>
        <w:t>Paracetamol</w:t>
      </w:r>
      <w:proofErr w:type="spellEnd"/>
      <w:r>
        <w:rPr>
          <w:lang w:val="lt-LT"/>
        </w:rPr>
        <w:t>/</w:t>
      </w:r>
      <w:proofErr w:type="spellStart"/>
      <w:r>
        <w:rPr>
          <w:lang w:val="lt-LT"/>
        </w:rPr>
        <w:t>Ibuprofen</w:t>
      </w:r>
      <w:proofErr w:type="spellEnd"/>
      <w:r>
        <w:rPr>
          <w:lang w:val="lt-LT"/>
        </w:rPr>
        <w:t xml:space="preserve"> AFT </w:t>
      </w:r>
      <w:proofErr w:type="spellStart"/>
      <w:r>
        <w:rPr>
          <w:lang w:val="lt-LT"/>
        </w:rPr>
        <w:t>Pharmaceuticals</w:t>
      </w:r>
      <w:proofErr w:type="spellEnd"/>
      <w:r w:rsidR="00F51FBD" w:rsidRPr="00900CEC">
        <w:rPr>
          <w:lang w:val="lt-LT"/>
        </w:rPr>
        <w:t xml:space="preserve"> </w:t>
      </w:r>
      <w:r w:rsidR="00F51FBD" w:rsidRPr="00900CEC">
        <w:rPr>
          <w:szCs w:val="22"/>
          <w:lang w:val="lt-LT"/>
        </w:rPr>
        <w:t xml:space="preserve">gali maskuoti infekcijos simptomus, dėl to gali </w:t>
      </w:r>
      <w:r w:rsidR="00F51FBD">
        <w:rPr>
          <w:szCs w:val="22"/>
          <w:lang w:val="lt-LT"/>
        </w:rPr>
        <w:t xml:space="preserve">būti </w:t>
      </w:r>
      <w:r w:rsidR="00F51FBD" w:rsidRPr="00900CEC">
        <w:rPr>
          <w:szCs w:val="22"/>
          <w:lang w:val="lt-LT"/>
        </w:rPr>
        <w:t>vėluo</w:t>
      </w:r>
      <w:r w:rsidR="00F51FBD">
        <w:rPr>
          <w:szCs w:val="22"/>
          <w:lang w:val="lt-LT"/>
        </w:rPr>
        <w:t>jama</w:t>
      </w:r>
      <w:r w:rsidR="00F51FBD" w:rsidRPr="00900CEC">
        <w:rPr>
          <w:szCs w:val="22"/>
          <w:lang w:val="lt-LT"/>
        </w:rPr>
        <w:t xml:space="preserve"> pradėti tinkamą gydymą</w:t>
      </w:r>
      <w:r w:rsidR="00F51FBD">
        <w:rPr>
          <w:szCs w:val="22"/>
          <w:lang w:val="lt-LT"/>
        </w:rPr>
        <w:t xml:space="preserve">, </w:t>
      </w:r>
      <w:r w:rsidR="00F51FBD" w:rsidRPr="00F43E33">
        <w:rPr>
          <w:szCs w:val="22"/>
          <w:lang w:val="lt-LT"/>
        </w:rPr>
        <w:t>o tai gali pabloginti infekcijos gydymo rezultatus</w:t>
      </w:r>
      <w:r w:rsidR="00F51FBD" w:rsidRPr="00900CEC">
        <w:rPr>
          <w:szCs w:val="22"/>
          <w:lang w:val="lt-LT"/>
        </w:rPr>
        <w:t xml:space="preserve">. </w:t>
      </w:r>
      <w:r w:rsidR="00F51FBD" w:rsidRPr="00F43E33">
        <w:rPr>
          <w:szCs w:val="22"/>
          <w:lang w:val="lt-LT"/>
        </w:rPr>
        <w:t xml:space="preserve">Tokių atvejų nustatyta gydant bakterinę visuomenėje įgytą pneumoniją ir bakterines vėjaraupių komplikacijas. Kai </w:t>
      </w:r>
      <w:proofErr w:type="spellStart"/>
      <w:r>
        <w:rPr>
          <w:szCs w:val="22"/>
          <w:lang w:val="lt-LT"/>
        </w:rPr>
        <w:t>Paracetamol</w:t>
      </w:r>
      <w:proofErr w:type="spellEnd"/>
      <w:r>
        <w:rPr>
          <w:szCs w:val="22"/>
          <w:lang w:val="lt-LT"/>
        </w:rPr>
        <w:t>/</w:t>
      </w:r>
      <w:proofErr w:type="spellStart"/>
      <w:r>
        <w:rPr>
          <w:szCs w:val="22"/>
          <w:lang w:val="lt-LT"/>
        </w:rPr>
        <w:t>Ibuprofen</w:t>
      </w:r>
      <w:proofErr w:type="spellEnd"/>
      <w:r>
        <w:rPr>
          <w:szCs w:val="22"/>
          <w:lang w:val="lt-LT"/>
        </w:rPr>
        <w:t xml:space="preserve"> AFT </w:t>
      </w:r>
      <w:proofErr w:type="spellStart"/>
      <w:r>
        <w:rPr>
          <w:szCs w:val="22"/>
          <w:lang w:val="lt-LT"/>
        </w:rPr>
        <w:t>Pharmaceuticals</w:t>
      </w:r>
      <w:proofErr w:type="spellEnd"/>
      <w:r w:rsidR="00F51FBD" w:rsidRPr="00F43E33">
        <w:rPr>
          <w:szCs w:val="22"/>
          <w:lang w:val="lt-LT"/>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09041CD7" w14:textId="77777777" w:rsidR="00F51FBD" w:rsidRPr="00900CEC" w:rsidRDefault="00F51FBD" w:rsidP="00F51FBD">
      <w:pPr>
        <w:spacing w:line="240" w:lineRule="auto"/>
        <w:rPr>
          <w:szCs w:val="22"/>
          <w:lang w:val="lt-LT"/>
        </w:rPr>
      </w:pPr>
    </w:p>
    <w:p w14:paraId="7DD325F7" w14:textId="77777777" w:rsidR="00F51FBD" w:rsidRPr="00900CEC" w:rsidRDefault="00F51FBD" w:rsidP="00F51FBD">
      <w:pPr>
        <w:spacing w:line="240" w:lineRule="auto"/>
        <w:rPr>
          <w:i/>
          <w:iCs/>
          <w:szCs w:val="22"/>
          <w:lang w:val="lt-LT"/>
        </w:rPr>
      </w:pPr>
      <w:r w:rsidRPr="00900CEC">
        <w:rPr>
          <w:i/>
          <w:iCs/>
          <w:szCs w:val="22"/>
          <w:lang w:val="lt-LT"/>
        </w:rPr>
        <w:t>Ilgalaikis analgetikų vartojimas</w:t>
      </w:r>
    </w:p>
    <w:p w14:paraId="286467F9" w14:textId="77777777" w:rsidR="00F51FBD" w:rsidRPr="00900CEC" w:rsidRDefault="00F51FBD" w:rsidP="00F51FBD">
      <w:pPr>
        <w:spacing w:line="240" w:lineRule="auto"/>
        <w:rPr>
          <w:szCs w:val="22"/>
          <w:u w:val="single"/>
          <w:lang w:val="lt-LT"/>
        </w:rPr>
      </w:pPr>
      <w:r w:rsidRPr="00900CEC">
        <w:rPr>
          <w:szCs w:val="22"/>
          <w:lang w:val="lt-LT"/>
        </w:rPr>
        <w:t>Ilgai vartojant analgetikų, gali pasireikšti galvos skausmas, kurio negalima malšinti didinant šio vaistinio preparato dozę.</w:t>
      </w:r>
    </w:p>
    <w:p w14:paraId="2EF57D05" w14:textId="77777777" w:rsidR="00F51FBD" w:rsidRDefault="00F51FBD" w:rsidP="00F51FBD">
      <w:pPr>
        <w:spacing w:line="240" w:lineRule="auto"/>
        <w:rPr>
          <w:szCs w:val="22"/>
          <w:lang w:val="lt-LT"/>
        </w:rPr>
      </w:pPr>
    </w:p>
    <w:p w14:paraId="1ACA002F" w14:textId="1427E2A4" w:rsidR="00F51FBD" w:rsidRDefault="00F51FBD" w:rsidP="00F51FBD">
      <w:pPr>
        <w:spacing w:line="240" w:lineRule="auto"/>
        <w:rPr>
          <w:rFonts w:eastAsia="Calibri"/>
          <w:snapToGrid/>
          <w:szCs w:val="22"/>
          <w:lang w:val="lt-LT"/>
        </w:rPr>
      </w:pPr>
      <w:r>
        <w:rPr>
          <w:rFonts w:eastAsia="Calibri"/>
          <w:i/>
          <w:snapToGrid/>
          <w:szCs w:val="22"/>
          <w:lang w:val="lt-LT"/>
        </w:rPr>
        <w:t>P</w:t>
      </w:r>
      <w:r w:rsidRPr="00E463BC">
        <w:rPr>
          <w:rFonts w:eastAsia="Calibri"/>
          <w:i/>
          <w:snapToGrid/>
          <w:szCs w:val="22"/>
          <w:lang w:val="lt-LT"/>
        </w:rPr>
        <w:t>adidėj</w:t>
      </w:r>
      <w:r>
        <w:rPr>
          <w:rFonts w:eastAsia="Calibri"/>
          <w:i/>
          <w:snapToGrid/>
          <w:szCs w:val="22"/>
          <w:lang w:val="lt-LT"/>
        </w:rPr>
        <w:t>ęs</w:t>
      </w:r>
      <w:r w:rsidRPr="00E463BC">
        <w:rPr>
          <w:rFonts w:eastAsia="Calibri"/>
          <w:i/>
          <w:snapToGrid/>
          <w:szCs w:val="22"/>
          <w:lang w:val="lt-LT"/>
        </w:rPr>
        <w:t xml:space="preserve"> anijonin</w:t>
      </w:r>
      <w:r>
        <w:rPr>
          <w:rFonts w:eastAsia="Calibri"/>
          <w:i/>
          <w:snapToGrid/>
          <w:szCs w:val="22"/>
          <w:lang w:val="lt-LT"/>
        </w:rPr>
        <w:t>is</w:t>
      </w:r>
      <w:r w:rsidRPr="00E463BC">
        <w:rPr>
          <w:rFonts w:eastAsia="Calibri"/>
          <w:i/>
          <w:snapToGrid/>
          <w:szCs w:val="22"/>
          <w:lang w:val="lt-LT"/>
        </w:rPr>
        <w:t xml:space="preserve"> tarp</w:t>
      </w:r>
      <w:r>
        <w:rPr>
          <w:rFonts w:eastAsia="Calibri"/>
          <w:i/>
          <w:snapToGrid/>
          <w:szCs w:val="22"/>
          <w:lang w:val="lt-LT"/>
        </w:rPr>
        <w:t>as</w:t>
      </w:r>
      <w:r w:rsidRPr="00E463BC">
        <w:rPr>
          <w:rFonts w:eastAsia="Calibri"/>
          <w:i/>
          <w:snapToGrid/>
          <w:szCs w:val="22"/>
          <w:lang w:val="lt-LT"/>
        </w:rPr>
        <w:t xml:space="preserve"> esant </w:t>
      </w:r>
      <w:proofErr w:type="spellStart"/>
      <w:r w:rsidRPr="00E463BC">
        <w:rPr>
          <w:rFonts w:eastAsia="Calibri"/>
          <w:i/>
          <w:snapToGrid/>
          <w:szCs w:val="22"/>
          <w:lang w:val="lt-LT"/>
        </w:rPr>
        <w:t>metabolinei</w:t>
      </w:r>
      <w:proofErr w:type="spellEnd"/>
      <w:r w:rsidRPr="00E463BC">
        <w:rPr>
          <w:rFonts w:eastAsia="Calibri"/>
          <w:i/>
          <w:snapToGrid/>
          <w:szCs w:val="22"/>
          <w:lang w:val="lt-LT"/>
        </w:rPr>
        <w:t xml:space="preserve"> </w:t>
      </w:r>
      <w:proofErr w:type="spellStart"/>
      <w:r w:rsidRPr="00E463BC">
        <w:rPr>
          <w:rFonts w:eastAsia="Calibri"/>
          <w:i/>
          <w:snapToGrid/>
          <w:szCs w:val="22"/>
          <w:lang w:val="lt-LT"/>
        </w:rPr>
        <w:t>acidozei</w:t>
      </w:r>
      <w:proofErr w:type="spellEnd"/>
      <w:r w:rsidRPr="00E463BC">
        <w:rPr>
          <w:rFonts w:eastAsia="Calibri"/>
          <w:i/>
          <w:snapToGrid/>
          <w:szCs w:val="22"/>
          <w:lang w:val="lt-LT"/>
        </w:rPr>
        <w:t xml:space="preserve"> (PATMA) dėl </w:t>
      </w:r>
      <w:proofErr w:type="spellStart"/>
      <w:r w:rsidRPr="00E463BC">
        <w:rPr>
          <w:rFonts w:eastAsia="Calibri"/>
          <w:i/>
          <w:snapToGrid/>
          <w:szCs w:val="22"/>
          <w:lang w:val="lt-LT"/>
        </w:rPr>
        <w:t>piroglutamato</w:t>
      </w:r>
      <w:proofErr w:type="spellEnd"/>
      <w:r w:rsidRPr="00E463BC">
        <w:rPr>
          <w:rFonts w:eastAsia="Calibri"/>
          <w:i/>
          <w:snapToGrid/>
          <w:szCs w:val="22"/>
          <w:lang w:val="lt-LT"/>
        </w:rPr>
        <w:t xml:space="preserve"> </w:t>
      </w:r>
      <w:proofErr w:type="spellStart"/>
      <w:r w:rsidRPr="00E463BC">
        <w:rPr>
          <w:rFonts w:eastAsia="Calibri"/>
          <w:i/>
          <w:snapToGrid/>
          <w:szCs w:val="22"/>
          <w:lang w:val="lt-LT"/>
        </w:rPr>
        <w:t>acidozės</w:t>
      </w:r>
      <w:proofErr w:type="spellEnd"/>
      <w:r w:rsidRPr="00E463BC">
        <w:rPr>
          <w:rFonts w:eastAsia="Calibri"/>
          <w:i/>
          <w:snapToGrid/>
          <w:szCs w:val="22"/>
          <w:lang w:val="lt-LT"/>
        </w:rPr>
        <w:t xml:space="preserve"> </w:t>
      </w:r>
      <w:r w:rsidRPr="005F415A">
        <w:rPr>
          <w:rFonts w:eastAsia="Calibri"/>
          <w:snapToGrid/>
          <w:szCs w:val="22"/>
          <w:lang w:val="lt-LT"/>
        </w:rPr>
        <w:t xml:space="preserve">Gauta pranešimų apie padidėjusį anijoninį tarpą esant </w:t>
      </w:r>
      <w:proofErr w:type="spellStart"/>
      <w:r w:rsidRPr="005F415A">
        <w:rPr>
          <w:rFonts w:eastAsia="Calibri"/>
          <w:snapToGrid/>
          <w:szCs w:val="22"/>
          <w:lang w:val="lt-LT"/>
        </w:rPr>
        <w:t>metabolinei</w:t>
      </w:r>
      <w:proofErr w:type="spellEnd"/>
      <w:r w:rsidRPr="005F415A">
        <w:rPr>
          <w:rFonts w:eastAsia="Calibri"/>
          <w:snapToGrid/>
          <w:szCs w:val="22"/>
          <w:lang w:val="lt-LT"/>
        </w:rPr>
        <w:t xml:space="preserve"> </w:t>
      </w:r>
      <w:proofErr w:type="spellStart"/>
      <w:r w:rsidRPr="005F415A">
        <w:rPr>
          <w:rFonts w:eastAsia="Calibri"/>
          <w:snapToGrid/>
          <w:szCs w:val="22"/>
          <w:lang w:val="lt-LT"/>
        </w:rPr>
        <w:t>acidozei</w:t>
      </w:r>
      <w:proofErr w:type="spellEnd"/>
      <w:r w:rsidRPr="005F415A">
        <w:rPr>
          <w:rFonts w:eastAsia="Calibri"/>
          <w:snapToGrid/>
          <w:szCs w:val="22"/>
          <w:lang w:val="lt-LT"/>
        </w:rPr>
        <w:t xml:space="preserve"> (PATMA) dėl </w:t>
      </w:r>
      <w:proofErr w:type="spellStart"/>
      <w:r w:rsidRPr="005F415A">
        <w:rPr>
          <w:rFonts w:eastAsia="Calibri"/>
          <w:snapToGrid/>
          <w:szCs w:val="22"/>
          <w:lang w:val="lt-LT"/>
        </w:rPr>
        <w:t>piroglutamato</w:t>
      </w:r>
      <w:proofErr w:type="spellEnd"/>
      <w:r w:rsidRPr="005F415A">
        <w:rPr>
          <w:rFonts w:eastAsia="Calibri"/>
          <w:snapToGrid/>
          <w:szCs w:val="22"/>
          <w:lang w:val="lt-LT"/>
        </w:rPr>
        <w:t xml:space="preserve"> </w:t>
      </w:r>
      <w:proofErr w:type="spellStart"/>
      <w:r w:rsidRPr="005F415A">
        <w:rPr>
          <w:rFonts w:eastAsia="Calibri"/>
          <w:snapToGrid/>
          <w:szCs w:val="22"/>
          <w:lang w:val="lt-LT"/>
        </w:rPr>
        <w:t>acidozės</w:t>
      </w:r>
      <w:proofErr w:type="spellEnd"/>
      <w:r w:rsidRPr="005F415A">
        <w:rPr>
          <w:rFonts w:eastAsia="Calibri"/>
          <w:snapToGrid/>
          <w:szCs w:val="22"/>
          <w:lang w:val="lt-LT"/>
        </w:rPr>
        <w:t xml:space="preserve"> pacientams, sergantiems sunkia liga, pvz., sunkiu inkstų funkcijos sutrikimu ir sepsiu arba pacientams, kuriems nustatytas netinkamos mitybos arba kitų veiksnių (pvz., lėtinio alkoholizmo) sukeltas </w:t>
      </w:r>
      <w:proofErr w:type="spellStart"/>
      <w:r w:rsidRPr="005F415A">
        <w:rPr>
          <w:rFonts w:eastAsia="Calibri"/>
          <w:snapToGrid/>
          <w:szCs w:val="22"/>
          <w:lang w:val="lt-LT"/>
        </w:rPr>
        <w:t>glutationo</w:t>
      </w:r>
      <w:proofErr w:type="spellEnd"/>
      <w:r w:rsidRPr="005F415A">
        <w:rPr>
          <w:rFonts w:eastAsia="Calibri"/>
          <w:snapToGrid/>
          <w:szCs w:val="22"/>
          <w:lang w:val="lt-LT"/>
        </w:rPr>
        <w:t xml:space="preserve"> trūkumas, kurie buvo ilgą laiką gydomi </w:t>
      </w:r>
      <w:proofErr w:type="spellStart"/>
      <w:r w:rsidRPr="005F415A">
        <w:rPr>
          <w:rFonts w:eastAsia="Calibri"/>
          <w:snapToGrid/>
          <w:szCs w:val="22"/>
          <w:lang w:val="lt-LT"/>
        </w:rPr>
        <w:t>paracetamoliu</w:t>
      </w:r>
      <w:proofErr w:type="spellEnd"/>
      <w:r w:rsidRPr="005F415A">
        <w:rPr>
          <w:rFonts w:eastAsia="Calibri"/>
          <w:snapToGrid/>
          <w:szCs w:val="22"/>
          <w:lang w:val="lt-LT"/>
        </w:rPr>
        <w:t xml:space="preserve"> arba </w:t>
      </w:r>
      <w:proofErr w:type="spellStart"/>
      <w:r w:rsidRPr="005F415A">
        <w:rPr>
          <w:rFonts w:eastAsia="Calibri"/>
          <w:snapToGrid/>
          <w:szCs w:val="22"/>
          <w:lang w:val="lt-LT"/>
        </w:rPr>
        <w:t>paracetamolio</w:t>
      </w:r>
      <w:proofErr w:type="spellEnd"/>
      <w:r w:rsidRPr="005F415A">
        <w:rPr>
          <w:rFonts w:eastAsia="Calibri"/>
          <w:snapToGrid/>
          <w:szCs w:val="22"/>
          <w:lang w:val="lt-LT"/>
        </w:rPr>
        <w:t xml:space="preserve"> ir </w:t>
      </w:r>
      <w:proofErr w:type="spellStart"/>
      <w:r w:rsidRPr="005F415A">
        <w:rPr>
          <w:rFonts w:eastAsia="Calibri"/>
          <w:snapToGrid/>
          <w:szCs w:val="22"/>
          <w:lang w:val="lt-LT"/>
        </w:rPr>
        <w:t>flukloksacilino</w:t>
      </w:r>
      <w:proofErr w:type="spellEnd"/>
      <w:r w:rsidRPr="005F415A">
        <w:rPr>
          <w:rFonts w:eastAsia="Calibri"/>
          <w:snapToGrid/>
          <w:szCs w:val="22"/>
          <w:lang w:val="lt-LT"/>
        </w:rPr>
        <w:t xml:space="preserve"> deriniu.</w:t>
      </w:r>
      <w:r>
        <w:rPr>
          <w:rFonts w:eastAsia="Calibri"/>
          <w:snapToGrid/>
          <w:szCs w:val="22"/>
          <w:lang w:val="lt-LT"/>
        </w:rPr>
        <w:t xml:space="preserve"> </w:t>
      </w:r>
      <w:r w:rsidRPr="001F5CED">
        <w:rPr>
          <w:rFonts w:eastAsia="Calibri"/>
          <w:snapToGrid/>
          <w:szCs w:val="22"/>
          <w:lang w:val="lt-LT"/>
        </w:rPr>
        <w:t xml:space="preserve">Įtariant </w:t>
      </w:r>
      <w:proofErr w:type="spellStart"/>
      <w:r w:rsidRPr="001F5CED">
        <w:rPr>
          <w:rFonts w:eastAsia="Calibri"/>
          <w:snapToGrid/>
          <w:szCs w:val="22"/>
          <w:lang w:val="lt-LT"/>
        </w:rPr>
        <w:t>piroglutamato</w:t>
      </w:r>
      <w:proofErr w:type="spellEnd"/>
      <w:r w:rsidRPr="001F5CED">
        <w:rPr>
          <w:rFonts w:eastAsia="Calibri"/>
          <w:snapToGrid/>
          <w:szCs w:val="22"/>
          <w:lang w:val="lt-LT"/>
        </w:rPr>
        <w:t xml:space="preserve"> </w:t>
      </w:r>
      <w:proofErr w:type="spellStart"/>
      <w:r w:rsidRPr="001F5CED">
        <w:rPr>
          <w:rFonts w:eastAsia="Calibri"/>
          <w:snapToGrid/>
          <w:szCs w:val="22"/>
          <w:lang w:val="lt-LT"/>
        </w:rPr>
        <w:t>acidozės</w:t>
      </w:r>
      <w:proofErr w:type="spellEnd"/>
      <w:r w:rsidRPr="001F5CED">
        <w:rPr>
          <w:rFonts w:eastAsia="Calibri"/>
          <w:snapToGrid/>
          <w:szCs w:val="22"/>
          <w:lang w:val="lt-LT"/>
        </w:rPr>
        <w:t xml:space="preserve"> sukeltą PATMA, rekomenduojama nedelsiant nutraukti paracetamolio vartojimą ir atidžiai stebėti</w:t>
      </w:r>
      <w:r w:rsidR="004E1B22">
        <w:rPr>
          <w:rFonts w:eastAsia="Calibri"/>
          <w:snapToGrid/>
          <w:szCs w:val="22"/>
          <w:lang w:val="lt-LT"/>
        </w:rPr>
        <w:t>.</w:t>
      </w:r>
      <w:r>
        <w:rPr>
          <w:rFonts w:eastAsia="Calibri"/>
          <w:snapToGrid/>
          <w:szCs w:val="22"/>
          <w:lang w:val="lt-LT"/>
        </w:rPr>
        <w:t xml:space="preserve"> </w:t>
      </w:r>
      <w:r w:rsidRPr="00A16DD6">
        <w:rPr>
          <w:rFonts w:eastAsia="Calibri"/>
          <w:snapToGrid/>
          <w:szCs w:val="22"/>
          <w:lang w:val="lt-LT"/>
        </w:rPr>
        <w:t xml:space="preserve">Nustatytas 5-oksoprolino kiekis šlapime gali padėti nustatyti, ar </w:t>
      </w:r>
      <w:proofErr w:type="spellStart"/>
      <w:r w:rsidRPr="00A16DD6">
        <w:rPr>
          <w:rFonts w:eastAsia="Calibri"/>
          <w:snapToGrid/>
          <w:szCs w:val="22"/>
          <w:lang w:val="lt-LT"/>
        </w:rPr>
        <w:t>piroglutamato</w:t>
      </w:r>
      <w:proofErr w:type="spellEnd"/>
      <w:r w:rsidRPr="00A16DD6">
        <w:rPr>
          <w:rFonts w:eastAsia="Calibri"/>
          <w:snapToGrid/>
          <w:szCs w:val="22"/>
          <w:lang w:val="lt-LT"/>
        </w:rPr>
        <w:t xml:space="preserve"> </w:t>
      </w:r>
      <w:proofErr w:type="spellStart"/>
      <w:r w:rsidRPr="00A16DD6">
        <w:rPr>
          <w:rFonts w:eastAsia="Calibri"/>
          <w:snapToGrid/>
          <w:szCs w:val="22"/>
          <w:lang w:val="lt-LT"/>
        </w:rPr>
        <w:t>acidozė</w:t>
      </w:r>
      <w:proofErr w:type="spellEnd"/>
      <w:r w:rsidRPr="00A16DD6">
        <w:rPr>
          <w:rFonts w:eastAsia="Calibri"/>
          <w:snapToGrid/>
          <w:szCs w:val="22"/>
          <w:lang w:val="lt-LT"/>
        </w:rPr>
        <w:t xml:space="preserve"> yra pagrindinė PATMA priežastis pacientams, kuriems nustatyti keli rizikos veiksniai.</w:t>
      </w:r>
    </w:p>
    <w:p w14:paraId="48B6BA6B" w14:textId="77777777" w:rsidR="004E1B22" w:rsidRPr="00900CEC" w:rsidRDefault="004E1B22" w:rsidP="00F51FBD">
      <w:pPr>
        <w:spacing w:line="240" w:lineRule="auto"/>
        <w:rPr>
          <w:szCs w:val="22"/>
          <w:lang w:val="lt-LT"/>
        </w:rPr>
      </w:pPr>
    </w:p>
    <w:p w14:paraId="5275DCF8" w14:textId="77777777" w:rsidR="00F51FBD" w:rsidRPr="00900CEC" w:rsidRDefault="00F51FBD" w:rsidP="00F51FBD">
      <w:pPr>
        <w:pStyle w:val="Antrat3"/>
        <w:spacing w:before="0" w:after="0" w:line="240" w:lineRule="auto"/>
        <w:rPr>
          <w:rFonts w:ascii="Times New Roman" w:hAnsi="Times New Roman"/>
          <w:b w:val="0"/>
          <w:bCs w:val="0"/>
          <w:i/>
          <w:sz w:val="22"/>
          <w:szCs w:val="22"/>
          <w:lang w:val="lt-LT"/>
        </w:rPr>
      </w:pPr>
      <w:r w:rsidRPr="00900CEC">
        <w:rPr>
          <w:rFonts w:ascii="Times New Roman" w:hAnsi="Times New Roman"/>
          <w:b w:val="0"/>
          <w:i/>
          <w:sz w:val="22"/>
          <w:szCs w:val="22"/>
          <w:lang w:val="lt-LT"/>
        </w:rPr>
        <w:t>Ypatingos atsargumo priemonės</w:t>
      </w:r>
    </w:p>
    <w:p w14:paraId="0EAB0464" w14:textId="77777777" w:rsidR="00F51FBD" w:rsidRPr="00900CEC" w:rsidRDefault="00F51FBD" w:rsidP="00F51FBD">
      <w:pPr>
        <w:spacing w:line="240" w:lineRule="auto"/>
        <w:rPr>
          <w:szCs w:val="22"/>
          <w:lang w:val="lt-LT"/>
        </w:rPr>
      </w:pPr>
    </w:p>
    <w:p w14:paraId="51D43230" w14:textId="77777777" w:rsidR="00F51FBD" w:rsidRPr="00900CEC" w:rsidRDefault="00F51FBD" w:rsidP="00F51FBD">
      <w:pPr>
        <w:spacing w:line="240" w:lineRule="auto"/>
        <w:rPr>
          <w:szCs w:val="22"/>
          <w:lang w:val="lt-LT"/>
        </w:rPr>
      </w:pPr>
      <w:r w:rsidRPr="00900CEC">
        <w:rPr>
          <w:szCs w:val="22"/>
          <w:lang w:val="lt-LT"/>
        </w:rPr>
        <w:t xml:space="preserve">Yra tam tikrų duomenų, kad vaistiniai preparatai, kurie slopina </w:t>
      </w:r>
      <w:proofErr w:type="spellStart"/>
      <w:r w:rsidRPr="00900CEC">
        <w:rPr>
          <w:szCs w:val="22"/>
          <w:lang w:val="lt-LT"/>
        </w:rPr>
        <w:t>ciklooksigenazę</w:t>
      </w:r>
      <w:proofErr w:type="spellEnd"/>
      <w:r w:rsidRPr="00900CEC">
        <w:rPr>
          <w:szCs w:val="22"/>
          <w:lang w:val="lt-LT"/>
        </w:rPr>
        <w:t xml:space="preserve"> ar prostaglandinų sintezę, gali sutrikdyti moterų vaisingumą dėl poveikio ovuliacijai. Juos baigus vartoti šis poveikis praeina.</w:t>
      </w:r>
    </w:p>
    <w:p w14:paraId="54964EAD" w14:textId="77777777" w:rsidR="00F51FBD" w:rsidRPr="00900CEC" w:rsidRDefault="00F51FBD" w:rsidP="00F51FBD">
      <w:pPr>
        <w:spacing w:line="240" w:lineRule="auto"/>
        <w:rPr>
          <w:szCs w:val="22"/>
          <w:lang w:val="lt-LT"/>
        </w:rPr>
      </w:pPr>
    </w:p>
    <w:p w14:paraId="25552AA0" w14:textId="77777777" w:rsidR="00F51FBD" w:rsidRPr="00900CEC" w:rsidRDefault="00F51FBD" w:rsidP="00F51FBD">
      <w:pPr>
        <w:spacing w:line="240" w:lineRule="auto"/>
        <w:rPr>
          <w:szCs w:val="22"/>
          <w:lang w:val="lt-LT"/>
        </w:rPr>
      </w:pPr>
      <w:proofErr w:type="spellStart"/>
      <w:r w:rsidRPr="00900CEC">
        <w:rPr>
          <w:szCs w:val="22"/>
          <w:lang w:val="lt-LT"/>
        </w:rPr>
        <w:t>Ibuprofeną</w:t>
      </w:r>
      <w:proofErr w:type="spellEnd"/>
      <w:r w:rsidRPr="00900CEC">
        <w:rPr>
          <w:szCs w:val="22"/>
          <w:lang w:val="lt-LT"/>
        </w:rPr>
        <w:t xml:space="preserve"> reikia vartoti tik griežtai įvertinus naudos ir rizikos santykį pacientams, kuriems yra įgimtas </w:t>
      </w:r>
      <w:proofErr w:type="spellStart"/>
      <w:r w:rsidRPr="00900CEC">
        <w:rPr>
          <w:szCs w:val="22"/>
          <w:lang w:val="lt-LT"/>
        </w:rPr>
        <w:t>porfirino</w:t>
      </w:r>
      <w:proofErr w:type="spellEnd"/>
      <w:r w:rsidRPr="00900CEC">
        <w:rPr>
          <w:szCs w:val="22"/>
          <w:lang w:val="lt-LT"/>
        </w:rPr>
        <w:t xml:space="preserve"> metabolizmo sutrikimas (pvz., ūminė protarpinė porfirija).</w:t>
      </w:r>
    </w:p>
    <w:p w14:paraId="4F51058E" w14:textId="77777777" w:rsidR="00F51FBD" w:rsidRPr="00900CEC" w:rsidRDefault="00F51FBD" w:rsidP="00F51FBD">
      <w:pPr>
        <w:spacing w:line="240" w:lineRule="auto"/>
        <w:rPr>
          <w:szCs w:val="22"/>
          <w:lang w:val="lt-LT"/>
        </w:rPr>
      </w:pPr>
    </w:p>
    <w:p w14:paraId="724EF2B9" w14:textId="77777777" w:rsidR="00F51FBD" w:rsidRPr="00900CEC" w:rsidRDefault="00F51FBD" w:rsidP="00F51FBD">
      <w:pPr>
        <w:spacing w:line="240" w:lineRule="auto"/>
        <w:rPr>
          <w:szCs w:val="22"/>
          <w:lang w:val="lt-LT"/>
        </w:rPr>
      </w:pPr>
      <w:r w:rsidRPr="00900CEC">
        <w:rPr>
          <w:szCs w:val="22"/>
          <w:lang w:val="lt-LT"/>
        </w:rPr>
        <w:t>Kartu vartojant alkoholį ir NVNU, gali padidėti nepageidaujamas veikliųjų medžiagų sukeliamas poveikis, ypač susijęs su virškinimo traktu ar centrine nervų sistema.</w:t>
      </w:r>
    </w:p>
    <w:p w14:paraId="59C290C0" w14:textId="77777777" w:rsidR="00F51FBD" w:rsidRPr="00900CEC" w:rsidRDefault="00F51FBD" w:rsidP="00F51FBD">
      <w:pPr>
        <w:spacing w:line="240" w:lineRule="auto"/>
        <w:rPr>
          <w:szCs w:val="22"/>
          <w:lang w:val="lt-LT"/>
        </w:rPr>
      </w:pPr>
    </w:p>
    <w:p w14:paraId="1838052C" w14:textId="77777777" w:rsidR="00F51FBD" w:rsidRPr="00900CEC" w:rsidRDefault="00F51FBD" w:rsidP="00F51FBD">
      <w:pPr>
        <w:spacing w:line="240" w:lineRule="auto"/>
        <w:rPr>
          <w:szCs w:val="22"/>
          <w:lang w:val="lt-LT"/>
        </w:rPr>
      </w:pPr>
      <w:r w:rsidRPr="00900CEC">
        <w:rPr>
          <w:szCs w:val="22"/>
          <w:lang w:val="lt-LT"/>
        </w:rPr>
        <w:t>Atsargiai reikia vartoti pacient</w:t>
      </w:r>
      <w:r>
        <w:rPr>
          <w:szCs w:val="22"/>
          <w:lang w:val="lt-LT"/>
        </w:rPr>
        <w:t>ams</w:t>
      </w:r>
      <w:r w:rsidRPr="00900CEC">
        <w:rPr>
          <w:szCs w:val="22"/>
          <w:lang w:val="lt-LT"/>
        </w:rPr>
        <w:t>, sergantiems tam tikromis ligomis, kurios gali pasunkėti:</w:t>
      </w:r>
    </w:p>
    <w:p w14:paraId="382B2048" w14:textId="77777777" w:rsidR="00F51FBD" w:rsidRPr="00900CEC" w:rsidRDefault="00F51FBD" w:rsidP="00F51FBD">
      <w:pPr>
        <w:pStyle w:val="Sraopastraipa"/>
        <w:numPr>
          <w:ilvl w:val="0"/>
          <w:numId w:val="23"/>
        </w:numPr>
        <w:spacing w:line="240" w:lineRule="auto"/>
        <w:ind w:left="567"/>
        <w:rPr>
          <w:szCs w:val="22"/>
          <w:lang w:val="lt-LT"/>
        </w:rPr>
      </w:pPr>
      <w:r w:rsidRPr="00900CEC">
        <w:rPr>
          <w:szCs w:val="22"/>
          <w:lang w:val="lt-LT"/>
        </w:rPr>
        <w:lastRenderedPageBreak/>
        <w:t>Pacientams, kuriems būna alergija kitoms medžiagoms, nes vartojant šį vaistinį preparatą padidėja padidėjusio jautrumo reakcijų pasireiškimo rizika.</w:t>
      </w:r>
    </w:p>
    <w:p w14:paraId="698245F1" w14:textId="77777777" w:rsidR="00F51FBD" w:rsidRPr="00900CEC" w:rsidRDefault="00F51FBD" w:rsidP="00F51FBD">
      <w:pPr>
        <w:pStyle w:val="Sraopastraipa"/>
        <w:numPr>
          <w:ilvl w:val="0"/>
          <w:numId w:val="23"/>
        </w:numPr>
        <w:spacing w:line="240" w:lineRule="auto"/>
        <w:ind w:left="567"/>
        <w:rPr>
          <w:szCs w:val="22"/>
          <w:lang w:val="lt-LT"/>
        </w:rPr>
      </w:pPr>
      <w:r w:rsidRPr="00900CEC">
        <w:rPr>
          <w:szCs w:val="22"/>
          <w:lang w:val="lt-LT"/>
        </w:rPr>
        <w:t xml:space="preserve">Pacientams, kenčiantiems nuo šienligės, nosies polipų ar lėtinių obstrukcinių kvėpavimo sutrikimų, nes padidėja alerginių reakcijų pasireikšimo rizika. Tai gali būti astmos priepuoliai (vadinamoji </w:t>
      </w:r>
      <w:proofErr w:type="spellStart"/>
      <w:r w:rsidRPr="00900CEC">
        <w:rPr>
          <w:szCs w:val="22"/>
          <w:lang w:val="lt-LT"/>
        </w:rPr>
        <w:t>analgetinė</w:t>
      </w:r>
      <w:proofErr w:type="spellEnd"/>
      <w:r w:rsidRPr="00900CEC">
        <w:rPr>
          <w:szCs w:val="22"/>
          <w:lang w:val="lt-LT"/>
        </w:rPr>
        <w:t xml:space="preserve"> astma), </w:t>
      </w:r>
      <w:proofErr w:type="spellStart"/>
      <w:r w:rsidRPr="00900CEC">
        <w:rPr>
          <w:szCs w:val="22"/>
          <w:lang w:val="lt-LT"/>
        </w:rPr>
        <w:t>Kvinkės</w:t>
      </w:r>
      <w:proofErr w:type="spellEnd"/>
      <w:r w:rsidRPr="00900CEC">
        <w:rPr>
          <w:szCs w:val="22"/>
          <w:lang w:val="lt-LT"/>
        </w:rPr>
        <w:t xml:space="preserve"> (</w:t>
      </w:r>
      <w:proofErr w:type="spellStart"/>
      <w:r w:rsidRPr="00900CEC">
        <w:rPr>
          <w:i/>
          <w:iCs/>
          <w:szCs w:val="22"/>
          <w:lang w:val="lt-LT"/>
        </w:rPr>
        <w:t>Quincke</w:t>
      </w:r>
      <w:proofErr w:type="spellEnd"/>
      <w:r w:rsidRPr="00900CEC">
        <w:rPr>
          <w:szCs w:val="22"/>
          <w:lang w:val="lt-LT"/>
        </w:rPr>
        <w:t>) edema ar dilgėlinė.</w:t>
      </w:r>
    </w:p>
    <w:p w14:paraId="45C21BF2" w14:textId="77777777" w:rsidR="00F51FBD" w:rsidRPr="00900CEC" w:rsidRDefault="00F51FBD" w:rsidP="00F51FBD">
      <w:pPr>
        <w:spacing w:line="240" w:lineRule="auto"/>
        <w:rPr>
          <w:szCs w:val="22"/>
          <w:lang w:val="lt-LT"/>
        </w:rPr>
      </w:pPr>
    </w:p>
    <w:p w14:paraId="42B6F43F" w14:textId="77777777" w:rsidR="00F51FBD" w:rsidRPr="00900CEC" w:rsidRDefault="00F51FBD" w:rsidP="00F51FBD">
      <w:pPr>
        <w:spacing w:line="240" w:lineRule="auto"/>
        <w:rPr>
          <w:szCs w:val="22"/>
          <w:lang w:val="lt-LT"/>
        </w:rPr>
      </w:pPr>
      <w:r>
        <w:rPr>
          <w:szCs w:val="22"/>
          <w:lang w:val="lt-LT"/>
        </w:rPr>
        <w:t>Kiekviename</w:t>
      </w:r>
      <w:r w:rsidRPr="00900CEC">
        <w:rPr>
          <w:szCs w:val="22"/>
          <w:lang w:val="lt-LT"/>
        </w:rPr>
        <w:t xml:space="preserve"> vaistinio preparato 100 ml flakone yra 35,06 mg natrio, tai atitinka 1,75 % didžiausios PSO rekomenduojamos paros normos suaugusiesiems, kuri yra 2</w:t>
      </w:r>
      <w:r>
        <w:rPr>
          <w:szCs w:val="22"/>
          <w:lang w:val="lt-LT"/>
        </w:rPr>
        <w:t> </w:t>
      </w:r>
      <w:r w:rsidRPr="00900CEC">
        <w:rPr>
          <w:szCs w:val="22"/>
          <w:lang w:val="lt-LT"/>
        </w:rPr>
        <w:t>g natrio.</w:t>
      </w:r>
    </w:p>
    <w:p w14:paraId="7FC4ECD9" w14:textId="77777777" w:rsidR="00F51FBD" w:rsidRPr="00900CEC" w:rsidRDefault="00F51FBD" w:rsidP="00F51FBD">
      <w:pPr>
        <w:spacing w:line="240" w:lineRule="auto"/>
        <w:rPr>
          <w:szCs w:val="22"/>
          <w:lang w:val="lt-LT"/>
        </w:rPr>
      </w:pPr>
    </w:p>
    <w:p w14:paraId="40BF4A7A" w14:textId="77777777" w:rsidR="00F51FBD" w:rsidRPr="00214C54" w:rsidRDefault="00F51FBD" w:rsidP="00F51FBD">
      <w:pPr>
        <w:pStyle w:val="Antrat4"/>
        <w:spacing w:line="240" w:lineRule="auto"/>
        <w:jc w:val="left"/>
        <w:rPr>
          <w:rFonts w:ascii="Times New Roman" w:hAnsi="Times New Roman"/>
          <w:sz w:val="22"/>
          <w:szCs w:val="22"/>
          <w:lang w:val="lt-LT"/>
        </w:rPr>
      </w:pPr>
      <w:r w:rsidRPr="00900CEC">
        <w:rPr>
          <w:rFonts w:ascii="Times New Roman" w:hAnsi="Times New Roman"/>
          <w:sz w:val="22"/>
          <w:szCs w:val="22"/>
          <w:lang w:val="lt-LT"/>
        </w:rPr>
        <w:t>4.5</w:t>
      </w:r>
      <w:r w:rsidRPr="00900CEC">
        <w:rPr>
          <w:rFonts w:ascii="Times New Roman" w:hAnsi="Times New Roman"/>
          <w:sz w:val="22"/>
          <w:szCs w:val="22"/>
          <w:lang w:val="lt-LT"/>
        </w:rPr>
        <w:tab/>
      </w:r>
      <w:r w:rsidRPr="00214C54">
        <w:rPr>
          <w:rFonts w:ascii="Times New Roman" w:hAnsi="Times New Roman"/>
          <w:sz w:val="22"/>
          <w:szCs w:val="22"/>
          <w:lang w:val="lt-LT"/>
        </w:rPr>
        <w:t>Sąveika su kitais vaistiniais preparatais ir kitokia sąveika</w:t>
      </w:r>
    </w:p>
    <w:p w14:paraId="0598F7BA" w14:textId="77777777" w:rsidR="00F51FBD" w:rsidRPr="00214C54" w:rsidRDefault="00F51FBD" w:rsidP="00F51FBD">
      <w:pPr>
        <w:spacing w:line="240" w:lineRule="auto"/>
        <w:rPr>
          <w:szCs w:val="22"/>
          <w:lang w:val="lt-LT"/>
        </w:rPr>
      </w:pPr>
    </w:p>
    <w:p w14:paraId="58644009" w14:textId="77777777" w:rsidR="00F51FBD" w:rsidRPr="00900CEC" w:rsidRDefault="00F51FBD" w:rsidP="00F51FBD">
      <w:pPr>
        <w:spacing w:line="240" w:lineRule="auto"/>
        <w:rPr>
          <w:szCs w:val="22"/>
          <w:lang w:val="lt-LT"/>
        </w:rPr>
      </w:pPr>
      <w:r w:rsidRPr="00214C54">
        <w:rPr>
          <w:szCs w:val="22"/>
          <w:lang w:val="lt-LT"/>
        </w:rPr>
        <w:t xml:space="preserve">Šio vaistinio preparato negalima vartoti kartu su kitais vaistiniais preparatais, kurių sudėtyje yra </w:t>
      </w:r>
      <w:proofErr w:type="spellStart"/>
      <w:r w:rsidRPr="00214C54">
        <w:rPr>
          <w:szCs w:val="22"/>
          <w:lang w:val="lt-LT"/>
        </w:rPr>
        <w:t>paracetamolio</w:t>
      </w:r>
      <w:proofErr w:type="spellEnd"/>
      <w:r w:rsidRPr="00214C54">
        <w:rPr>
          <w:szCs w:val="22"/>
          <w:lang w:val="lt-LT"/>
        </w:rPr>
        <w:t xml:space="preserve">, </w:t>
      </w:r>
      <w:proofErr w:type="spellStart"/>
      <w:r w:rsidRPr="00214C54">
        <w:rPr>
          <w:szCs w:val="22"/>
          <w:lang w:val="lt-LT"/>
        </w:rPr>
        <w:t>ibuprofeno</w:t>
      </w:r>
      <w:proofErr w:type="spellEnd"/>
      <w:r w:rsidRPr="00214C54">
        <w:rPr>
          <w:szCs w:val="22"/>
          <w:lang w:val="lt-LT"/>
        </w:rPr>
        <w:t xml:space="preserve">, </w:t>
      </w:r>
      <w:proofErr w:type="spellStart"/>
      <w:r w:rsidRPr="00214C54">
        <w:rPr>
          <w:szCs w:val="22"/>
          <w:lang w:val="lt-LT"/>
        </w:rPr>
        <w:t>acetilsalicilo</w:t>
      </w:r>
      <w:proofErr w:type="spellEnd"/>
      <w:r w:rsidRPr="00214C54">
        <w:rPr>
          <w:szCs w:val="22"/>
          <w:lang w:val="lt-LT"/>
        </w:rPr>
        <w:t xml:space="preserve"> rūgšties</w:t>
      </w:r>
      <w:r w:rsidRPr="00900CEC">
        <w:rPr>
          <w:szCs w:val="22"/>
          <w:lang w:val="lt-LT"/>
        </w:rPr>
        <w:t xml:space="preserve">, </w:t>
      </w:r>
      <w:proofErr w:type="spellStart"/>
      <w:r w:rsidRPr="00900CEC">
        <w:rPr>
          <w:szCs w:val="22"/>
          <w:lang w:val="lt-LT"/>
        </w:rPr>
        <w:t>salicilatų</w:t>
      </w:r>
      <w:proofErr w:type="spellEnd"/>
      <w:r w:rsidRPr="00900CEC">
        <w:rPr>
          <w:szCs w:val="22"/>
          <w:lang w:val="lt-LT"/>
        </w:rPr>
        <w:t xml:space="preserve"> arba kitų NVNU, išskyrus atvejį, kai tą nurodo gydytojas.</w:t>
      </w:r>
    </w:p>
    <w:p w14:paraId="18F96C38" w14:textId="77777777" w:rsidR="00F51FBD" w:rsidRPr="00900CEC" w:rsidRDefault="00F51FBD" w:rsidP="00F51FBD">
      <w:pPr>
        <w:spacing w:line="240" w:lineRule="auto"/>
        <w:rPr>
          <w:szCs w:val="22"/>
          <w:lang w:val="lt-LT"/>
        </w:rPr>
      </w:pPr>
    </w:p>
    <w:p w14:paraId="33B956BE" w14:textId="77777777" w:rsidR="00F51FBD" w:rsidRDefault="00F51FBD" w:rsidP="00F51FBD">
      <w:pPr>
        <w:spacing w:line="240" w:lineRule="auto"/>
        <w:rPr>
          <w:szCs w:val="22"/>
          <w:u w:val="single"/>
          <w:lang w:val="lt-LT"/>
        </w:rPr>
      </w:pPr>
      <w:r w:rsidRPr="00900CEC">
        <w:rPr>
          <w:szCs w:val="22"/>
          <w:u w:val="single"/>
          <w:lang w:val="lt-LT"/>
        </w:rPr>
        <w:t>Ibuprofenas:</w:t>
      </w:r>
    </w:p>
    <w:p w14:paraId="68418BEA" w14:textId="6E641397" w:rsidR="00F51FBD" w:rsidRPr="00C060EC" w:rsidRDefault="00F51FBD" w:rsidP="00F51FBD">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napToGrid/>
          <w:szCs w:val="22"/>
          <w:lang w:val="lt-LT" w:eastAsia="zh-CN"/>
        </w:rPr>
      </w:pPr>
      <w:r w:rsidRPr="00C060EC">
        <w:rPr>
          <w:snapToGrid/>
          <w:szCs w:val="22"/>
          <w:lang w:val="lt-LT" w:eastAsia="zh-CN"/>
        </w:rPr>
        <w:t>Kaip ir su kitais ibuprofeno turin</w:t>
      </w:r>
      <w:r w:rsidRPr="00C060EC">
        <w:rPr>
          <w:rFonts w:hint="eastAsia"/>
          <w:snapToGrid/>
          <w:szCs w:val="22"/>
          <w:lang w:val="lt-LT" w:eastAsia="zh-CN"/>
        </w:rPr>
        <w:t>č</w:t>
      </w:r>
      <w:r w:rsidRPr="00C060EC">
        <w:rPr>
          <w:snapToGrid/>
          <w:szCs w:val="22"/>
          <w:lang w:val="lt-LT" w:eastAsia="zh-CN"/>
        </w:rPr>
        <w:t>iais produktais, reik</w:t>
      </w:r>
      <w:r w:rsidRPr="00C060EC">
        <w:rPr>
          <w:rFonts w:hint="eastAsia"/>
          <w:snapToGrid/>
          <w:szCs w:val="22"/>
          <w:lang w:val="lt-LT" w:eastAsia="zh-CN"/>
        </w:rPr>
        <w:t>ė</w:t>
      </w:r>
      <w:r w:rsidRPr="00C060EC">
        <w:rPr>
          <w:snapToGrid/>
          <w:szCs w:val="22"/>
          <w:lang w:val="lt-LT" w:eastAsia="zh-CN"/>
        </w:rPr>
        <w:t>t</w:t>
      </w:r>
      <w:r w:rsidRPr="00C060EC">
        <w:rPr>
          <w:rFonts w:hint="eastAsia"/>
          <w:snapToGrid/>
          <w:szCs w:val="22"/>
          <w:lang w:val="lt-LT" w:eastAsia="zh-CN"/>
        </w:rPr>
        <w:t>ų</w:t>
      </w:r>
      <w:r w:rsidRPr="00C060EC">
        <w:rPr>
          <w:snapToGrid/>
          <w:szCs w:val="22"/>
          <w:lang w:val="lt-LT" w:eastAsia="zh-CN"/>
        </w:rPr>
        <w:t xml:space="preserve"> vengti </w:t>
      </w:r>
      <w:r w:rsidRPr="00C060EC">
        <w:rPr>
          <w:rFonts w:hint="eastAsia"/>
          <w:snapToGrid/>
          <w:szCs w:val="22"/>
          <w:lang w:val="lt-LT" w:eastAsia="zh-CN"/>
        </w:rPr>
        <w:t>š</w:t>
      </w:r>
      <w:r w:rsidRPr="00C060EC">
        <w:rPr>
          <w:snapToGrid/>
          <w:szCs w:val="22"/>
          <w:lang w:val="lt-LT" w:eastAsia="zh-CN"/>
        </w:rPr>
        <w:t>i</w:t>
      </w:r>
      <w:r w:rsidRPr="00C060EC">
        <w:rPr>
          <w:rFonts w:hint="eastAsia"/>
          <w:snapToGrid/>
          <w:szCs w:val="22"/>
          <w:lang w:val="lt-LT" w:eastAsia="zh-CN"/>
        </w:rPr>
        <w:t>ų</w:t>
      </w:r>
      <w:r w:rsidRPr="00C060EC">
        <w:rPr>
          <w:snapToGrid/>
          <w:szCs w:val="22"/>
          <w:lang w:val="lt-LT" w:eastAsia="zh-CN"/>
        </w:rPr>
        <w:t xml:space="preserve"> derini</w:t>
      </w:r>
      <w:r w:rsidRPr="00C060EC">
        <w:rPr>
          <w:rFonts w:hint="eastAsia"/>
          <w:snapToGrid/>
          <w:szCs w:val="22"/>
          <w:lang w:val="lt-LT" w:eastAsia="zh-CN"/>
        </w:rPr>
        <w:t>ų</w:t>
      </w:r>
      <w:r w:rsidRPr="00C060EC">
        <w:rPr>
          <w:snapToGrid/>
          <w:szCs w:val="22"/>
          <w:lang w:val="lt-LT" w:eastAsia="zh-CN"/>
        </w:rPr>
        <w:t xml:space="preserve"> su</w:t>
      </w:r>
      <w:r>
        <w:rPr>
          <w:snapToGrid/>
          <w:szCs w:val="22"/>
          <w:lang w:val="lt-LT" w:eastAsia="zh-CN"/>
        </w:rPr>
        <w:t xml:space="preserve"> </w:t>
      </w:r>
      <w:proofErr w:type="spellStart"/>
      <w:r w:rsidR="006F5942" w:rsidRPr="006F5942">
        <w:rPr>
          <w:snapToGrid/>
          <w:szCs w:val="22"/>
          <w:lang w:val="lt-LT" w:eastAsia="zh-CN"/>
        </w:rPr>
        <w:t>Paracetamol</w:t>
      </w:r>
      <w:proofErr w:type="spellEnd"/>
      <w:r w:rsidR="006F5942" w:rsidRPr="006F5942">
        <w:rPr>
          <w:snapToGrid/>
          <w:szCs w:val="22"/>
          <w:lang w:val="lt-LT" w:eastAsia="zh-CN"/>
        </w:rPr>
        <w:t>/</w:t>
      </w:r>
      <w:proofErr w:type="spellStart"/>
      <w:r w:rsidR="006F5942" w:rsidRPr="006F5942">
        <w:rPr>
          <w:snapToGrid/>
          <w:szCs w:val="22"/>
          <w:lang w:val="lt-LT" w:eastAsia="zh-CN"/>
        </w:rPr>
        <w:t>Ibuprofen</w:t>
      </w:r>
      <w:proofErr w:type="spellEnd"/>
      <w:r w:rsidR="006F5942" w:rsidRPr="006F5942">
        <w:rPr>
          <w:snapToGrid/>
          <w:szCs w:val="22"/>
          <w:lang w:val="lt-LT" w:eastAsia="zh-CN"/>
        </w:rPr>
        <w:t xml:space="preserve"> AFT </w:t>
      </w:r>
      <w:proofErr w:type="spellStart"/>
      <w:r w:rsidR="006F5942" w:rsidRPr="006F5942">
        <w:rPr>
          <w:snapToGrid/>
          <w:szCs w:val="22"/>
          <w:lang w:val="lt-LT" w:eastAsia="zh-CN"/>
        </w:rPr>
        <w:t>Pharmaceuticals</w:t>
      </w:r>
      <w:proofErr w:type="spellEnd"/>
      <w:r>
        <w:rPr>
          <w:szCs w:val="22"/>
          <w:lang w:val="lt-LT"/>
        </w:rPr>
        <w:t>:</w:t>
      </w:r>
    </w:p>
    <w:p w14:paraId="35A1887E" w14:textId="77777777" w:rsidR="00F51FBD" w:rsidRPr="00900CEC" w:rsidRDefault="00F51FBD" w:rsidP="00F51FBD">
      <w:pPr>
        <w:pStyle w:val="Sraopastraipa"/>
        <w:numPr>
          <w:ilvl w:val="0"/>
          <w:numId w:val="24"/>
        </w:numPr>
        <w:tabs>
          <w:tab w:val="clear" w:pos="567"/>
          <w:tab w:val="left" w:pos="284"/>
        </w:tabs>
        <w:spacing w:line="240" w:lineRule="auto"/>
        <w:ind w:left="284" w:hanging="284"/>
        <w:rPr>
          <w:szCs w:val="22"/>
          <w:lang w:val="lt-LT"/>
        </w:rPr>
      </w:pPr>
      <w:proofErr w:type="spellStart"/>
      <w:r w:rsidRPr="00900CEC">
        <w:rPr>
          <w:i/>
          <w:iCs/>
          <w:szCs w:val="22"/>
          <w:lang w:val="lt-LT"/>
        </w:rPr>
        <w:t>Dikumarolio</w:t>
      </w:r>
      <w:proofErr w:type="spellEnd"/>
      <w:r w:rsidRPr="00900CEC">
        <w:rPr>
          <w:i/>
          <w:iCs/>
          <w:szCs w:val="22"/>
          <w:lang w:val="lt-LT"/>
        </w:rPr>
        <w:t xml:space="preserve"> grupė</w:t>
      </w:r>
      <w:r w:rsidRPr="00900CEC">
        <w:rPr>
          <w:szCs w:val="22"/>
          <w:lang w:val="lt-LT"/>
        </w:rPr>
        <w:t xml:space="preserve">: NVNU gali sustiprinti antikoaguliantų, tokių kaip varfarinas, poveikį. Eksperimentiniai tyrimai rodo, kad ibuprofenas sustiprina varfarino poveikį kraujavimo laikui. NVNU ir </w:t>
      </w:r>
      <w:proofErr w:type="spellStart"/>
      <w:r w:rsidRPr="00900CEC">
        <w:rPr>
          <w:szCs w:val="22"/>
          <w:lang w:val="lt-LT"/>
        </w:rPr>
        <w:t>dikumarolio</w:t>
      </w:r>
      <w:proofErr w:type="spellEnd"/>
      <w:r w:rsidRPr="00900CEC">
        <w:rPr>
          <w:szCs w:val="22"/>
          <w:lang w:val="lt-LT"/>
        </w:rPr>
        <w:t xml:space="preserve"> grupę </w:t>
      </w:r>
      <w:proofErr w:type="spellStart"/>
      <w:r w:rsidRPr="00900CEC">
        <w:rPr>
          <w:szCs w:val="22"/>
          <w:lang w:val="lt-LT"/>
        </w:rPr>
        <w:t>metabolizuoja</w:t>
      </w:r>
      <w:proofErr w:type="spellEnd"/>
      <w:r w:rsidRPr="00900CEC">
        <w:rPr>
          <w:szCs w:val="22"/>
          <w:lang w:val="lt-LT"/>
        </w:rPr>
        <w:t xml:space="preserve"> tas pats fermentas CYP2C9.</w:t>
      </w:r>
    </w:p>
    <w:p w14:paraId="10FE269D" w14:textId="77777777" w:rsidR="00F51FBD" w:rsidRPr="00900CEC" w:rsidRDefault="00F51FBD" w:rsidP="00F51FBD">
      <w:pPr>
        <w:pStyle w:val="Sraopastraipa"/>
        <w:numPr>
          <w:ilvl w:val="0"/>
          <w:numId w:val="24"/>
        </w:numPr>
        <w:tabs>
          <w:tab w:val="clear" w:pos="567"/>
          <w:tab w:val="left" w:pos="284"/>
        </w:tabs>
        <w:spacing w:line="240" w:lineRule="auto"/>
        <w:ind w:left="284" w:hanging="284"/>
        <w:rPr>
          <w:szCs w:val="22"/>
          <w:lang w:val="lt-LT"/>
        </w:rPr>
      </w:pPr>
      <w:proofErr w:type="spellStart"/>
      <w:r w:rsidRPr="00900CEC">
        <w:rPr>
          <w:i/>
          <w:iCs/>
          <w:szCs w:val="22"/>
          <w:lang w:val="lt-LT"/>
        </w:rPr>
        <w:t>Antitrombocitiniai</w:t>
      </w:r>
      <w:proofErr w:type="spellEnd"/>
      <w:r w:rsidRPr="00900CEC">
        <w:rPr>
          <w:i/>
          <w:iCs/>
          <w:szCs w:val="22"/>
          <w:lang w:val="lt-LT"/>
        </w:rPr>
        <w:t xml:space="preserve"> vaistiniai preparatai</w:t>
      </w:r>
      <w:r w:rsidRPr="00900CEC">
        <w:rPr>
          <w:szCs w:val="22"/>
          <w:lang w:val="lt-LT"/>
        </w:rPr>
        <w:t xml:space="preserve">: NVNU negalima skirti kartu su </w:t>
      </w:r>
      <w:proofErr w:type="spellStart"/>
      <w:r w:rsidRPr="00900CEC">
        <w:rPr>
          <w:szCs w:val="22"/>
          <w:lang w:val="lt-LT"/>
        </w:rPr>
        <w:t>antitrombocitiniais</w:t>
      </w:r>
      <w:proofErr w:type="spellEnd"/>
      <w:r w:rsidRPr="00900CEC">
        <w:rPr>
          <w:szCs w:val="22"/>
          <w:lang w:val="lt-LT"/>
        </w:rPr>
        <w:t xml:space="preserve"> vaistiniais preparatais, tokiais kaip </w:t>
      </w:r>
      <w:proofErr w:type="spellStart"/>
      <w:r w:rsidRPr="00900CEC">
        <w:rPr>
          <w:szCs w:val="22"/>
          <w:lang w:val="lt-LT"/>
        </w:rPr>
        <w:t>tiklopidinas</w:t>
      </w:r>
      <w:proofErr w:type="spellEnd"/>
      <w:r w:rsidRPr="00900CEC">
        <w:rPr>
          <w:szCs w:val="22"/>
          <w:lang w:val="lt-LT"/>
        </w:rPr>
        <w:t xml:space="preserve">, dėl </w:t>
      </w:r>
      <w:proofErr w:type="spellStart"/>
      <w:r w:rsidRPr="00900CEC">
        <w:rPr>
          <w:szCs w:val="22"/>
          <w:lang w:val="lt-LT"/>
        </w:rPr>
        <w:t>adityvinio</w:t>
      </w:r>
      <w:proofErr w:type="spellEnd"/>
      <w:r w:rsidRPr="00900CEC">
        <w:rPr>
          <w:szCs w:val="22"/>
          <w:lang w:val="lt-LT"/>
        </w:rPr>
        <w:t xml:space="preserve"> poveikio trombocitų funkcijos slopinimui (žr. </w:t>
      </w:r>
      <w:r>
        <w:rPr>
          <w:szCs w:val="22"/>
          <w:lang w:val="lt-LT"/>
        </w:rPr>
        <w:t>toliau</w:t>
      </w:r>
      <w:r w:rsidRPr="00900CEC">
        <w:rPr>
          <w:szCs w:val="22"/>
          <w:lang w:val="lt-LT"/>
        </w:rPr>
        <w:t>).</w:t>
      </w:r>
    </w:p>
    <w:p w14:paraId="011C0A8A" w14:textId="105080DE" w:rsidR="00F51FBD" w:rsidRPr="00900CEC" w:rsidRDefault="00F51FBD" w:rsidP="00F51FBD">
      <w:pPr>
        <w:pStyle w:val="Sraopastraipa"/>
        <w:numPr>
          <w:ilvl w:val="0"/>
          <w:numId w:val="24"/>
        </w:numPr>
        <w:tabs>
          <w:tab w:val="clear" w:pos="567"/>
          <w:tab w:val="left" w:pos="284"/>
        </w:tabs>
        <w:spacing w:line="240" w:lineRule="auto"/>
        <w:ind w:left="284" w:hanging="284"/>
        <w:rPr>
          <w:szCs w:val="22"/>
          <w:lang w:val="lt-LT"/>
        </w:rPr>
      </w:pPr>
      <w:proofErr w:type="spellStart"/>
      <w:r w:rsidRPr="00900CEC">
        <w:rPr>
          <w:i/>
          <w:iCs/>
          <w:szCs w:val="22"/>
          <w:lang w:val="lt-LT"/>
        </w:rPr>
        <w:t>Metotreksatas</w:t>
      </w:r>
      <w:proofErr w:type="spellEnd"/>
      <w:r w:rsidRPr="00900CEC">
        <w:rPr>
          <w:szCs w:val="22"/>
          <w:lang w:val="lt-LT"/>
        </w:rPr>
        <w:t xml:space="preserve">: NVNU slopina </w:t>
      </w:r>
      <w:proofErr w:type="spellStart"/>
      <w:r w:rsidRPr="00900CEC">
        <w:rPr>
          <w:szCs w:val="22"/>
          <w:lang w:val="lt-LT"/>
        </w:rPr>
        <w:t>metotreksato</w:t>
      </w:r>
      <w:proofErr w:type="spellEnd"/>
      <w:r w:rsidRPr="00900CEC">
        <w:rPr>
          <w:szCs w:val="22"/>
          <w:lang w:val="lt-LT"/>
        </w:rPr>
        <w:t xml:space="preserve"> sekreciją inkstų kanalėliuose, todėl gali atsirasti metabolinė sąveika ir sumažėti </w:t>
      </w:r>
      <w:proofErr w:type="spellStart"/>
      <w:r w:rsidRPr="00900CEC">
        <w:rPr>
          <w:szCs w:val="22"/>
          <w:lang w:val="lt-LT"/>
        </w:rPr>
        <w:t>metotreksato</w:t>
      </w:r>
      <w:proofErr w:type="spellEnd"/>
      <w:r w:rsidRPr="00900CEC">
        <w:rPr>
          <w:szCs w:val="22"/>
          <w:lang w:val="lt-LT"/>
        </w:rPr>
        <w:t xml:space="preserve"> klirensas. Gydant mažomis </w:t>
      </w:r>
      <w:proofErr w:type="spellStart"/>
      <w:r w:rsidRPr="00900CEC">
        <w:rPr>
          <w:szCs w:val="22"/>
          <w:lang w:val="lt-LT"/>
        </w:rPr>
        <w:t>metotreksato</w:t>
      </w:r>
      <w:proofErr w:type="spellEnd"/>
      <w:r w:rsidRPr="00900CEC">
        <w:rPr>
          <w:szCs w:val="22"/>
          <w:lang w:val="lt-LT"/>
        </w:rPr>
        <w:t xml:space="preserve"> dozėmis, ypač pacientus, kurių inkstų funkcija sutrikusi, taip pat reikia atsižvelgti į galimo NVNU ir </w:t>
      </w:r>
      <w:proofErr w:type="spellStart"/>
      <w:r w:rsidRPr="00900CEC">
        <w:rPr>
          <w:szCs w:val="22"/>
          <w:lang w:val="lt-LT"/>
        </w:rPr>
        <w:t>metotreksato</w:t>
      </w:r>
      <w:proofErr w:type="spellEnd"/>
      <w:r w:rsidRPr="00900CEC">
        <w:rPr>
          <w:szCs w:val="22"/>
          <w:lang w:val="lt-LT"/>
        </w:rPr>
        <w:t xml:space="preserve"> sąveikos riziką. Kai skiriamas kombinuotas gydymas, reikia stebėti inkstų funkciją. Jei NVNU ir </w:t>
      </w:r>
      <w:proofErr w:type="spellStart"/>
      <w:r w:rsidRPr="00900CEC">
        <w:rPr>
          <w:szCs w:val="22"/>
          <w:lang w:val="lt-LT"/>
        </w:rPr>
        <w:t>metotreksato</w:t>
      </w:r>
      <w:proofErr w:type="spellEnd"/>
      <w:r w:rsidRPr="00900CEC">
        <w:rPr>
          <w:szCs w:val="22"/>
          <w:lang w:val="lt-LT"/>
        </w:rPr>
        <w:t xml:space="preserve"> skiriama per 24</w:t>
      </w:r>
      <w:r w:rsidR="004E1B22">
        <w:rPr>
          <w:szCs w:val="22"/>
          <w:lang w:val="lt-LT"/>
        </w:rPr>
        <w:t> </w:t>
      </w:r>
      <w:r w:rsidRPr="00900CEC">
        <w:rPr>
          <w:szCs w:val="22"/>
          <w:lang w:val="lt-LT"/>
        </w:rPr>
        <w:t xml:space="preserve">valandas, reikia būti atsargiems, nes </w:t>
      </w:r>
      <w:proofErr w:type="spellStart"/>
      <w:r w:rsidRPr="00900CEC">
        <w:rPr>
          <w:szCs w:val="22"/>
          <w:lang w:val="lt-LT"/>
        </w:rPr>
        <w:t>metotreksato</w:t>
      </w:r>
      <w:proofErr w:type="spellEnd"/>
      <w:r w:rsidRPr="00900CEC">
        <w:rPr>
          <w:szCs w:val="22"/>
          <w:lang w:val="lt-LT"/>
        </w:rPr>
        <w:t xml:space="preserve"> koncentracija plazmoje gali padidėti ir dėl to sustiprėja toksinis poveikis. Atitinkamai, vartojant dideles </w:t>
      </w:r>
      <w:proofErr w:type="spellStart"/>
      <w:r w:rsidRPr="00900CEC">
        <w:rPr>
          <w:szCs w:val="22"/>
          <w:lang w:val="lt-LT"/>
        </w:rPr>
        <w:t>metotreksato</w:t>
      </w:r>
      <w:proofErr w:type="spellEnd"/>
      <w:r w:rsidRPr="00900CEC">
        <w:rPr>
          <w:szCs w:val="22"/>
          <w:lang w:val="lt-LT"/>
        </w:rPr>
        <w:t xml:space="preserve"> dozes, visada reikia vengti skirti NVNU.</w:t>
      </w:r>
    </w:p>
    <w:p w14:paraId="2BCCF7C5" w14:textId="7B6C859C" w:rsidR="00F51FBD" w:rsidRPr="00900CEC" w:rsidRDefault="00F51FBD" w:rsidP="00F51FBD">
      <w:pPr>
        <w:pStyle w:val="Sraopastraipa"/>
        <w:numPr>
          <w:ilvl w:val="0"/>
          <w:numId w:val="24"/>
        </w:numPr>
        <w:tabs>
          <w:tab w:val="left" w:pos="284"/>
        </w:tabs>
        <w:ind w:left="284" w:hanging="284"/>
        <w:rPr>
          <w:bCs/>
          <w:szCs w:val="22"/>
          <w:lang w:val="lt-LT"/>
        </w:rPr>
      </w:pPr>
      <w:r w:rsidRPr="00900CEC">
        <w:rPr>
          <w:i/>
          <w:iCs/>
          <w:szCs w:val="22"/>
          <w:lang w:val="lt-LT"/>
        </w:rPr>
        <w:t>Acetilsalicilo rūgštis</w:t>
      </w:r>
      <w:r w:rsidRPr="00900CEC">
        <w:rPr>
          <w:szCs w:val="22"/>
          <w:lang w:val="lt-LT"/>
        </w:rPr>
        <w:t>: i</w:t>
      </w:r>
      <w:r w:rsidRPr="00900CEC">
        <w:rPr>
          <w:bCs/>
          <w:szCs w:val="22"/>
          <w:lang w:val="lt-LT"/>
        </w:rPr>
        <w:t>buprofeno ir acetilsalicilo rūgšties paprastai nerekomenduojama vartoti kartu dėl galimo nepageidaujamo poveikio rizikos padidėjimo.</w:t>
      </w:r>
      <w:r>
        <w:rPr>
          <w:bCs/>
          <w:szCs w:val="22"/>
          <w:lang w:val="lt-LT"/>
        </w:rPr>
        <w:t xml:space="preserve"> </w:t>
      </w:r>
      <w:r w:rsidRPr="00900CEC">
        <w:rPr>
          <w:bCs/>
          <w:szCs w:val="22"/>
          <w:lang w:val="lt-LT"/>
        </w:rPr>
        <w:t xml:space="preserve">Eksperimentų duomenimis, kartu vartojamas ibuprofenas gali konkurenciniu būdu slopinti mažų acetilsalicilo rūgšties dozių poveikį trombocitų </w:t>
      </w:r>
      <w:proofErr w:type="spellStart"/>
      <w:r w:rsidRPr="00900CEC">
        <w:rPr>
          <w:bCs/>
          <w:szCs w:val="22"/>
          <w:lang w:val="lt-LT"/>
        </w:rPr>
        <w:t>agregacijai</w:t>
      </w:r>
      <w:proofErr w:type="spellEnd"/>
      <w:r w:rsidRPr="00900CEC">
        <w:rPr>
          <w:bCs/>
          <w:szCs w:val="22"/>
          <w:lang w:val="lt-LT"/>
        </w:rPr>
        <w:t xml:space="preserve">. Nors yra abejonių dėl šių duomenų </w:t>
      </w:r>
      <w:proofErr w:type="spellStart"/>
      <w:r w:rsidRPr="00900CEC">
        <w:rPr>
          <w:bCs/>
          <w:szCs w:val="22"/>
          <w:lang w:val="lt-LT"/>
        </w:rPr>
        <w:t>ekstrapoliavimo</w:t>
      </w:r>
      <w:proofErr w:type="spellEnd"/>
      <w:r w:rsidRPr="00900CEC">
        <w:rPr>
          <w:bCs/>
          <w:szCs w:val="22"/>
          <w:lang w:val="lt-LT"/>
        </w:rPr>
        <w:t xml:space="preserve"> į klinikines sąlygas, tačiau negalima atmesti galimybės, kad reguliariai ir ilgai vartojamas ibuprofenas gali susilpninti mažų acetilsalicilo rūgšties dozių apsauginį poveikį širdžiai. Jeigu ibuprofenas vartojamas tik kartais, tai kliniškai reikšmingas poveikis nelaikomas tikėtinu (žr. 5.1</w:t>
      </w:r>
      <w:r w:rsidR="004E1B22">
        <w:rPr>
          <w:bCs/>
          <w:szCs w:val="22"/>
          <w:lang w:val="lt-LT"/>
        </w:rPr>
        <w:t> </w:t>
      </w:r>
      <w:r w:rsidRPr="00900CEC">
        <w:rPr>
          <w:bCs/>
          <w:szCs w:val="22"/>
          <w:lang w:val="lt-LT"/>
        </w:rPr>
        <w:t>skyrių).</w:t>
      </w:r>
    </w:p>
    <w:p w14:paraId="714A1DC7" w14:textId="77777777" w:rsidR="00F51FBD" w:rsidRPr="00900CEC" w:rsidRDefault="00F51FBD" w:rsidP="00F51FBD">
      <w:pPr>
        <w:pStyle w:val="Sraopastraipa"/>
        <w:numPr>
          <w:ilvl w:val="0"/>
          <w:numId w:val="24"/>
        </w:numPr>
        <w:tabs>
          <w:tab w:val="clear" w:pos="567"/>
          <w:tab w:val="left" w:pos="284"/>
        </w:tabs>
        <w:spacing w:line="240" w:lineRule="auto"/>
        <w:ind w:left="284" w:hanging="284"/>
        <w:rPr>
          <w:szCs w:val="22"/>
          <w:lang w:val="lt-LT"/>
        </w:rPr>
      </w:pPr>
      <w:r w:rsidRPr="00900CEC">
        <w:rPr>
          <w:i/>
          <w:iCs/>
          <w:szCs w:val="22"/>
          <w:lang w:val="lt-LT"/>
        </w:rPr>
        <w:t>Litis</w:t>
      </w:r>
      <w:r w:rsidRPr="00900CEC">
        <w:rPr>
          <w:szCs w:val="22"/>
          <w:lang w:val="lt-LT"/>
        </w:rPr>
        <w:t>: ibuprofenas sumažina ličio inkstų klirensą, todėl gali padidėti ličio koncentracija serume. Derinio derėtų vengti, nebent būtų galima dažnai tikrinti ličio koncentraciją serume ir sumažinti galimą ličio dozę.</w:t>
      </w:r>
    </w:p>
    <w:p w14:paraId="43653F23" w14:textId="77777777" w:rsidR="00F51FBD" w:rsidRPr="00900CEC" w:rsidRDefault="00F51FBD" w:rsidP="00F51FBD">
      <w:pPr>
        <w:pStyle w:val="Sraopastraipa"/>
        <w:numPr>
          <w:ilvl w:val="0"/>
          <w:numId w:val="24"/>
        </w:numPr>
        <w:tabs>
          <w:tab w:val="clear" w:pos="567"/>
          <w:tab w:val="left" w:pos="284"/>
        </w:tabs>
        <w:spacing w:line="240" w:lineRule="auto"/>
        <w:ind w:left="284" w:hanging="284"/>
        <w:rPr>
          <w:szCs w:val="22"/>
          <w:lang w:val="lt-LT"/>
        </w:rPr>
      </w:pPr>
      <w:r w:rsidRPr="00900CEC">
        <w:rPr>
          <w:i/>
          <w:iCs/>
          <w:szCs w:val="22"/>
          <w:lang w:val="lt-LT"/>
        </w:rPr>
        <w:t>Širdies glikozidai</w:t>
      </w:r>
      <w:r w:rsidRPr="00900CEC">
        <w:rPr>
          <w:szCs w:val="22"/>
          <w:lang w:val="lt-LT"/>
        </w:rPr>
        <w:t>: NVNU gali pasunkinti širdies nepakankamumą, sumažinti glomerulų filtraciją ir padidinti šird</w:t>
      </w:r>
      <w:r>
        <w:rPr>
          <w:szCs w:val="22"/>
          <w:lang w:val="lt-LT"/>
        </w:rPr>
        <w:t>į veikiančių</w:t>
      </w:r>
      <w:r w:rsidRPr="00900CEC">
        <w:rPr>
          <w:szCs w:val="22"/>
          <w:lang w:val="lt-LT"/>
        </w:rPr>
        <w:t xml:space="preserve"> glikozidų (pvz., digoksino) koncentraciją plazmoje.</w:t>
      </w:r>
    </w:p>
    <w:p w14:paraId="1E33E9E0" w14:textId="0D4E9E06" w:rsidR="00F51FBD" w:rsidRPr="00900CEC" w:rsidRDefault="00F51FBD" w:rsidP="00F51FBD">
      <w:pPr>
        <w:pStyle w:val="Sraopastraipa"/>
        <w:numPr>
          <w:ilvl w:val="0"/>
          <w:numId w:val="24"/>
        </w:numPr>
        <w:tabs>
          <w:tab w:val="clear" w:pos="567"/>
          <w:tab w:val="left" w:pos="284"/>
        </w:tabs>
        <w:spacing w:line="240" w:lineRule="auto"/>
        <w:ind w:left="284" w:hanging="284"/>
        <w:rPr>
          <w:szCs w:val="22"/>
          <w:lang w:val="lt-LT"/>
        </w:rPr>
      </w:pPr>
      <w:proofErr w:type="spellStart"/>
      <w:r w:rsidRPr="00900CEC">
        <w:rPr>
          <w:i/>
          <w:iCs/>
          <w:szCs w:val="22"/>
          <w:lang w:val="lt-LT"/>
        </w:rPr>
        <w:t>Mifepristonas</w:t>
      </w:r>
      <w:proofErr w:type="spellEnd"/>
      <w:r w:rsidRPr="00900CEC">
        <w:rPr>
          <w:szCs w:val="22"/>
          <w:lang w:val="lt-LT"/>
        </w:rPr>
        <w:t>: teoriškai vaistinio preparato veiksmingumas gali sumažėti dėl NVNU, įskaitant acetilsalicilo rūgštį, prostaglandinų sintezę slopinanči</w:t>
      </w:r>
      <w:r w:rsidR="00FA300F">
        <w:rPr>
          <w:szCs w:val="22"/>
          <w:lang w:val="lt-LT"/>
        </w:rPr>
        <w:t>o</w:t>
      </w:r>
      <w:r w:rsidRPr="00900CEC">
        <w:rPr>
          <w:szCs w:val="22"/>
          <w:lang w:val="lt-LT"/>
        </w:rPr>
        <w:t xml:space="preserve"> poveikio. Riboti įrodymai rodo, kad kartu vartojami NVNU prostaglandinų vartojimo </w:t>
      </w:r>
      <w:r>
        <w:rPr>
          <w:szCs w:val="22"/>
          <w:lang w:val="lt-LT"/>
        </w:rPr>
        <w:t>parą</w:t>
      </w:r>
      <w:r w:rsidRPr="00900CEC">
        <w:rPr>
          <w:szCs w:val="22"/>
          <w:lang w:val="lt-LT"/>
        </w:rPr>
        <w:t xml:space="preserve"> nedaro neigiamos įtakos </w:t>
      </w:r>
      <w:proofErr w:type="spellStart"/>
      <w:r w:rsidRPr="00900CEC">
        <w:rPr>
          <w:szCs w:val="22"/>
          <w:lang w:val="lt-LT"/>
        </w:rPr>
        <w:t>mifepristono</w:t>
      </w:r>
      <w:proofErr w:type="spellEnd"/>
      <w:r w:rsidRPr="00900CEC">
        <w:rPr>
          <w:szCs w:val="22"/>
          <w:lang w:val="lt-LT"/>
        </w:rPr>
        <w:t xml:space="preserve"> ar prostaglandino poveikiui gimdos kaklelio </w:t>
      </w:r>
      <w:r w:rsidRPr="00900CEC">
        <w:rPr>
          <w:szCs w:val="24"/>
          <w:lang w:val="lt-LT"/>
        </w:rPr>
        <w:t>brandinim</w:t>
      </w:r>
      <w:r w:rsidRPr="00900CEC">
        <w:rPr>
          <w:szCs w:val="22"/>
          <w:lang w:val="lt-LT"/>
        </w:rPr>
        <w:t>ui ar gimdos susitraukimui ir nesumažina medicininio nėštumo nutraukimo klinikinio veiksmingumo.</w:t>
      </w:r>
    </w:p>
    <w:p w14:paraId="489FE6C7" w14:textId="1C10F278" w:rsidR="00F51FBD" w:rsidRPr="00900CEC" w:rsidRDefault="00F51FBD" w:rsidP="00F51FBD">
      <w:pPr>
        <w:pStyle w:val="Sraopastraipa"/>
        <w:numPr>
          <w:ilvl w:val="0"/>
          <w:numId w:val="24"/>
        </w:numPr>
        <w:tabs>
          <w:tab w:val="clear" w:pos="567"/>
          <w:tab w:val="left" w:pos="284"/>
        </w:tabs>
        <w:spacing w:line="240" w:lineRule="auto"/>
        <w:ind w:left="284" w:hanging="284"/>
        <w:rPr>
          <w:szCs w:val="22"/>
          <w:lang w:val="lt-LT"/>
        </w:rPr>
      </w:pPr>
      <w:r w:rsidRPr="00900CEC">
        <w:rPr>
          <w:i/>
          <w:iCs/>
          <w:szCs w:val="22"/>
          <w:lang w:val="lt-LT"/>
        </w:rPr>
        <w:t>AKF inhibitoriai ir angiotenzino-II receptorių antagonistai</w:t>
      </w:r>
      <w:r w:rsidRPr="00900CEC">
        <w:rPr>
          <w:szCs w:val="22"/>
          <w:lang w:val="lt-LT"/>
        </w:rPr>
        <w:t xml:space="preserve">: pacientams, kurių inkstų funkcija sutrikusi (pvz., </w:t>
      </w:r>
      <w:proofErr w:type="spellStart"/>
      <w:r w:rsidRPr="00900CEC">
        <w:rPr>
          <w:szCs w:val="22"/>
          <w:lang w:val="lt-LT"/>
        </w:rPr>
        <w:t>dehidratuoti</w:t>
      </w:r>
      <w:proofErr w:type="spellEnd"/>
      <w:r w:rsidRPr="00900CEC">
        <w:rPr>
          <w:szCs w:val="22"/>
          <w:lang w:val="lt-LT"/>
        </w:rPr>
        <w:t xml:space="preserve"> ir (arba) senyvi pacientai), padidėja ūminio inkstų nepakankamumo, paprastai grįžtamo, rizika, kai AKF inhibitoriai ar angiotenzino-II receptorių antagonistai vartojami tuo pačiu metu kaip ir NVNU, įskaitant selektyvius ciklooksigenazės-2 inhibitorius. Todėl derinį reikia atsargiai skirti pacientams, kurių inkstų funkcija sutrikusi, ypač senyviems pacientams. Pacientai turi gauti pakankamai skysčių ir reikia apsvarstyti galimybę tikrinti inkstų funkciją pradėjus kombinuotą gydymą ir reguliariai gydymo metu (žr. 4.4</w:t>
      </w:r>
      <w:r w:rsidR="00FA300F">
        <w:rPr>
          <w:szCs w:val="22"/>
          <w:lang w:val="lt-LT"/>
        </w:rPr>
        <w:t> </w:t>
      </w:r>
      <w:r w:rsidRPr="00900CEC">
        <w:rPr>
          <w:szCs w:val="22"/>
          <w:lang w:val="lt-LT"/>
        </w:rPr>
        <w:t>skyrių).</w:t>
      </w:r>
    </w:p>
    <w:p w14:paraId="3965472C" w14:textId="77777777" w:rsidR="00F51FBD" w:rsidRPr="00900CEC" w:rsidRDefault="00F51FBD" w:rsidP="00F51FBD">
      <w:pPr>
        <w:pStyle w:val="Sraopastraipa"/>
        <w:numPr>
          <w:ilvl w:val="0"/>
          <w:numId w:val="24"/>
        </w:numPr>
        <w:tabs>
          <w:tab w:val="clear" w:pos="567"/>
          <w:tab w:val="left" w:pos="284"/>
        </w:tabs>
        <w:spacing w:line="240" w:lineRule="auto"/>
        <w:rPr>
          <w:szCs w:val="22"/>
          <w:lang w:val="lt-LT"/>
        </w:rPr>
      </w:pPr>
      <w:r w:rsidRPr="00900CEC">
        <w:rPr>
          <w:i/>
          <w:iCs/>
          <w:szCs w:val="22"/>
          <w:lang w:val="lt-LT"/>
        </w:rPr>
        <w:lastRenderedPageBreak/>
        <w:t>Beta adrenoblokatoriai</w:t>
      </w:r>
      <w:r w:rsidRPr="00900CEC">
        <w:rPr>
          <w:szCs w:val="22"/>
          <w:lang w:val="lt-LT"/>
        </w:rPr>
        <w:t xml:space="preserve">: NVNU neutralizuoja beta adrenoreceptorius blokuojančių vaistinių preparatų </w:t>
      </w:r>
      <w:proofErr w:type="spellStart"/>
      <w:r w:rsidRPr="00900CEC">
        <w:rPr>
          <w:szCs w:val="22"/>
          <w:lang w:val="lt-LT"/>
        </w:rPr>
        <w:t>antihipertenzinį</w:t>
      </w:r>
      <w:proofErr w:type="spellEnd"/>
      <w:r w:rsidRPr="00900CEC">
        <w:rPr>
          <w:szCs w:val="22"/>
          <w:lang w:val="lt-LT"/>
        </w:rPr>
        <w:t xml:space="preserve"> poveikį.</w:t>
      </w:r>
    </w:p>
    <w:p w14:paraId="7D682584" w14:textId="77777777" w:rsidR="00F51FBD" w:rsidRPr="00900CEC" w:rsidRDefault="00F51FBD" w:rsidP="00F51FBD">
      <w:pPr>
        <w:pStyle w:val="Sraopastraipa"/>
        <w:numPr>
          <w:ilvl w:val="0"/>
          <w:numId w:val="24"/>
        </w:numPr>
        <w:tabs>
          <w:tab w:val="clear" w:pos="567"/>
          <w:tab w:val="left" w:pos="284"/>
        </w:tabs>
        <w:spacing w:line="240" w:lineRule="auto"/>
        <w:rPr>
          <w:szCs w:val="22"/>
          <w:lang w:val="lt-LT"/>
        </w:rPr>
      </w:pPr>
      <w:r w:rsidRPr="00900CEC">
        <w:rPr>
          <w:i/>
          <w:iCs/>
          <w:szCs w:val="22"/>
          <w:lang w:val="lt-LT"/>
        </w:rPr>
        <w:t>Sulfonilurėjos dariniai</w:t>
      </w:r>
      <w:r w:rsidRPr="00900CEC">
        <w:rPr>
          <w:szCs w:val="22"/>
          <w:lang w:val="lt-LT"/>
        </w:rPr>
        <w:t xml:space="preserve">: gauta pranešimų apie retus hipoglikemijos atvejus pacientams, vartojantiems </w:t>
      </w:r>
      <w:proofErr w:type="spellStart"/>
      <w:r w:rsidRPr="00900CEC">
        <w:rPr>
          <w:szCs w:val="22"/>
          <w:lang w:val="lt-LT"/>
        </w:rPr>
        <w:t>sulfonilurėjos</w:t>
      </w:r>
      <w:proofErr w:type="spellEnd"/>
      <w:r w:rsidRPr="00900CEC">
        <w:rPr>
          <w:szCs w:val="22"/>
          <w:lang w:val="lt-LT"/>
        </w:rPr>
        <w:t xml:space="preserve"> darinius ir </w:t>
      </w:r>
      <w:proofErr w:type="spellStart"/>
      <w:r w:rsidRPr="00900CEC">
        <w:rPr>
          <w:szCs w:val="22"/>
          <w:lang w:val="lt-LT"/>
        </w:rPr>
        <w:t>ibuprofeną</w:t>
      </w:r>
      <w:proofErr w:type="spellEnd"/>
      <w:r w:rsidRPr="00900CEC">
        <w:rPr>
          <w:szCs w:val="22"/>
          <w:lang w:val="lt-LT"/>
        </w:rPr>
        <w:t>.</w:t>
      </w:r>
    </w:p>
    <w:p w14:paraId="1F74448C" w14:textId="77777777" w:rsidR="00F51FBD" w:rsidRPr="00900CEC" w:rsidRDefault="00F51FBD" w:rsidP="00F51FBD">
      <w:pPr>
        <w:pStyle w:val="Sraopastraipa"/>
        <w:numPr>
          <w:ilvl w:val="0"/>
          <w:numId w:val="24"/>
        </w:numPr>
        <w:tabs>
          <w:tab w:val="clear" w:pos="567"/>
          <w:tab w:val="left" w:pos="284"/>
        </w:tabs>
        <w:spacing w:line="240" w:lineRule="auto"/>
        <w:rPr>
          <w:szCs w:val="22"/>
          <w:lang w:val="lt-LT"/>
        </w:rPr>
      </w:pPr>
      <w:proofErr w:type="spellStart"/>
      <w:r w:rsidRPr="00900CEC">
        <w:rPr>
          <w:i/>
          <w:iCs/>
          <w:szCs w:val="22"/>
          <w:lang w:val="lt-LT"/>
        </w:rPr>
        <w:t>Zidovudinas</w:t>
      </w:r>
      <w:proofErr w:type="spellEnd"/>
      <w:r w:rsidRPr="00900CEC">
        <w:rPr>
          <w:szCs w:val="22"/>
          <w:lang w:val="lt-LT"/>
        </w:rPr>
        <w:t xml:space="preserve">: yra įrodymų, kad ŽIV (+) </w:t>
      </w:r>
      <w:proofErr w:type="spellStart"/>
      <w:r w:rsidRPr="00900CEC">
        <w:rPr>
          <w:szCs w:val="22"/>
          <w:lang w:val="lt-LT"/>
        </w:rPr>
        <w:t>hemofilija</w:t>
      </w:r>
      <w:proofErr w:type="spellEnd"/>
      <w:r w:rsidRPr="00900CEC">
        <w:rPr>
          <w:szCs w:val="22"/>
          <w:lang w:val="lt-LT"/>
        </w:rPr>
        <w:t xml:space="preserve"> sergantiems pacientams, vienu metu gydomiems </w:t>
      </w:r>
      <w:proofErr w:type="spellStart"/>
      <w:r w:rsidRPr="00900CEC">
        <w:rPr>
          <w:szCs w:val="22"/>
          <w:lang w:val="lt-LT"/>
        </w:rPr>
        <w:t>zidovudinu</w:t>
      </w:r>
      <w:proofErr w:type="spellEnd"/>
      <w:r w:rsidRPr="00900CEC">
        <w:rPr>
          <w:szCs w:val="22"/>
          <w:lang w:val="lt-LT"/>
        </w:rPr>
        <w:t xml:space="preserve"> ir </w:t>
      </w:r>
      <w:proofErr w:type="spellStart"/>
      <w:r w:rsidRPr="00900CEC">
        <w:rPr>
          <w:szCs w:val="22"/>
          <w:lang w:val="lt-LT"/>
        </w:rPr>
        <w:t>ibuprofenu</w:t>
      </w:r>
      <w:proofErr w:type="spellEnd"/>
      <w:r w:rsidRPr="00900CEC">
        <w:rPr>
          <w:szCs w:val="22"/>
          <w:lang w:val="lt-LT"/>
        </w:rPr>
        <w:t xml:space="preserve">, padidėja </w:t>
      </w:r>
      <w:proofErr w:type="spellStart"/>
      <w:r w:rsidRPr="00900CEC">
        <w:rPr>
          <w:szCs w:val="22"/>
          <w:lang w:val="lt-LT"/>
        </w:rPr>
        <w:t>hemartrozės</w:t>
      </w:r>
      <w:proofErr w:type="spellEnd"/>
      <w:r w:rsidRPr="00900CEC">
        <w:rPr>
          <w:szCs w:val="22"/>
          <w:lang w:val="lt-LT"/>
        </w:rPr>
        <w:t xml:space="preserve"> ir hematomos rizika.</w:t>
      </w:r>
    </w:p>
    <w:p w14:paraId="4A76719F" w14:textId="77777777" w:rsidR="00F51FBD" w:rsidRPr="00900CEC" w:rsidRDefault="00F51FBD" w:rsidP="00F51FBD">
      <w:pPr>
        <w:pStyle w:val="Sraopastraipa"/>
        <w:numPr>
          <w:ilvl w:val="0"/>
          <w:numId w:val="24"/>
        </w:numPr>
        <w:tabs>
          <w:tab w:val="clear" w:pos="567"/>
          <w:tab w:val="left" w:pos="284"/>
        </w:tabs>
        <w:spacing w:line="240" w:lineRule="auto"/>
        <w:rPr>
          <w:szCs w:val="22"/>
          <w:lang w:val="lt-LT"/>
        </w:rPr>
      </w:pPr>
      <w:proofErr w:type="spellStart"/>
      <w:r w:rsidRPr="00900CEC">
        <w:rPr>
          <w:i/>
          <w:iCs/>
          <w:szCs w:val="22"/>
          <w:lang w:val="lt-LT"/>
        </w:rPr>
        <w:t>Chinolonų</w:t>
      </w:r>
      <w:proofErr w:type="spellEnd"/>
      <w:r w:rsidRPr="00900CEC">
        <w:rPr>
          <w:i/>
          <w:iCs/>
          <w:szCs w:val="22"/>
          <w:lang w:val="lt-LT"/>
        </w:rPr>
        <w:t xml:space="preserve"> grupės antibiotikai</w:t>
      </w:r>
      <w:r w:rsidRPr="00900CEC">
        <w:rPr>
          <w:szCs w:val="22"/>
          <w:lang w:val="lt-LT"/>
        </w:rPr>
        <w:t xml:space="preserve">: duomenys apie gyvūnus rodo, kad NVNU gali padidinti traukulių riziką, susijusią su </w:t>
      </w:r>
      <w:proofErr w:type="spellStart"/>
      <w:r w:rsidRPr="00900CEC">
        <w:rPr>
          <w:szCs w:val="22"/>
          <w:lang w:val="lt-LT"/>
        </w:rPr>
        <w:t>chinolonų</w:t>
      </w:r>
      <w:proofErr w:type="spellEnd"/>
      <w:r w:rsidRPr="00900CEC">
        <w:rPr>
          <w:szCs w:val="22"/>
          <w:lang w:val="lt-LT"/>
        </w:rPr>
        <w:t xml:space="preserve"> grupės antibiotikais. Pacientams, kartu vartojantiems NVNU ir </w:t>
      </w:r>
      <w:proofErr w:type="spellStart"/>
      <w:r w:rsidRPr="00900CEC">
        <w:rPr>
          <w:szCs w:val="22"/>
          <w:lang w:val="lt-LT"/>
        </w:rPr>
        <w:t>chinolonus</w:t>
      </w:r>
      <w:proofErr w:type="spellEnd"/>
      <w:r w:rsidRPr="00900CEC">
        <w:rPr>
          <w:szCs w:val="22"/>
          <w:lang w:val="lt-LT"/>
        </w:rPr>
        <w:t>, gali padidėti traukulių rizika.</w:t>
      </w:r>
    </w:p>
    <w:p w14:paraId="3CF1B488" w14:textId="77777777" w:rsidR="00F51FBD" w:rsidRPr="00900CEC" w:rsidRDefault="00F51FBD" w:rsidP="00F51FBD">
      <w:pPr>
        <w:pStyle w:val="Sraopastraipa"/>
        <w:numPr>
          <w:ilvl w:val="0"/>
          <w:numId w:val="24"/>
        </w:numPr>
        <w:tabs>
          <w:tab w:val="clear" w:pos="567"/>
          <w:tab w:val="left" w:pos="284"/>
        </w:tabs>
        <w:spacing w:line="240" w:lineRule="auto"/>
        <w:rPr>
          <w:szCs w:val="22"/>
          <w:lang w:val="lt-LT"/>
        </w:rPr>
      </w:pPr>
      <w:proofErr w:type="spellStart"/>
      <w:r w:rsidRPr="00900CEC">
        <w:rPr>
          <w:i/>
          <w:iCs/>
          <w:szCs w:val="22"/>
          <w:lang w:val="lt-LT"/>
        </w:rPr>
        <w:t>Tiazidai</w:t>
      </w:r>
      <w:proofErr w:type="spellEnd"/>
      <w:r w:rsidRPr="00900CEC">
        <w:rPr>
          <w:i/>
          <w:iCs/>
          <w:szCs w:val="22"/>
          <w:lang w:val="lt-LT"/>
        </w:rPr>
        <w:t xml:space="preserve">, su </w:t>
      </w:r>
      <w:proofErr w:type="spellStart"/>
      <w:r w:rsidRPr="00900CEC">
        <w:rPr>
          <w:i/>
          <w:iCs/>
          <w:szCs w:val="22"/>
          <w:lang w:val="lt-LT"/>
        </w:rPr>
        <w:t>tiazidais</w:t>
      </w:r>
      <w:proofErr w:type="spellEnd"/>
      <w:r w:rsidRPr="00900CEC">
        <w:rPr>
          <w:i/>
          <w:iCs/>
          <w:szCs w:val="22"/>
          <w:lang w:val="lt-LT"/>
        </w:rPr>
        <w:t xml:space="preserve"> susiję vaistiniai preparatai ir kilpiniai diuretikai</w:t>
      </w:r>
      <w:r w:rsidRPr="00900CEC">
        <w:rPr>
          <w:szCs w:val="22"/>
          <w:lang w:val="lt-LT"/>
        </w:rPr>
        <w:t xml:space="preserve">: NVNU gali neutralizuoti </w:t>
      </w:r>
      <w:proofErr w:type="spellStart"/>
      <w:r w:rsidRPr="00900CEC">
        <w:rPr>
          <w:szCs w:val="22"/>
          <w:lang w:val="lt-LT"/>
        </w:rPr>
        <w:t>furozemido</w:t>
      </w:r>
      <w:proofErr w:type="spellEnd"/>
      <w:r w:rsidRPr="00900CEC">
        <w:rPr>
          <w:szCs w:val="22"/>
          <w:lang w:val="lt-LT"/>
        </w:rPr>
        <w:t xml:space="preserve"> ir </w:t>
      </w:r>
      <w:proofErr w:type="spellStart"/>
      <w:r w:rsidRPr="00900CEC">
        <w:rPr>
          <w:szCs w:val="22"/>
          <w:lang w:val="lt-LT"/>
        </w:rPr>
        <w:t>bumetanido</w:t>
      </w:r>
      <w:proofErr w:type="spellEnd"/>
      <w:r w:rsidRPr="00900CEC">
        <w:rPr>
          <w:szCs w:val="22"/>
          <w:lang w:val="lt-LT"/>
        </w:rPr>
        <w:t xml:space="preserve"> </w:t>
      </w:r>
      <w:proofErr w:type="spellStart"/>
      <w:r w:rsidRPr="00900CEC">
        <w:rPr>
          <w:szCs w:val="22"/>
          <w:lang w:val="lt-LT"/>
        </w:rPr>
        <w:t>diurezinį</w:t>
      </w:r>
      <w:proofErr w:type="spellEnd"/>
      <w:r w:rsidRPr="00900CEC">
        <w:rPr>
          <w:szCs w:val="22"/>
          <w:lang w:val="lt-LT"/>
        </w:rPr>
        <w:t xml:space="preserve"> poveikį, galimai slopindami prostaglandinų sintezę. Jie taip pat gali neutralizuoti </w:t>
      </w:r>
      <w:proofErr w:type="spellStart"/>
      <w:r w:rsidRPr="00900CEC">
        <w:rPr>
          <w:szCs w:val="22"/>
          <w:lang w:val="lt-LT"/>
        </w:rPr>
        <w:t>antihipertenzinį</w:t>
      </w:r>
      <w:proofErr w:type="spellEnd"/>
      <w:r w:rsidRPr="00900CEC">
        <w:rPr>
          <w:szCs w:val="22"/>
          <w:lang w:val="lt-LT"/>
        </w:rPr>
        <w:t xml:space="preserve"> </w:t>
      </w:r>
      <w:proofErr w:type="spellStart"/>
      <w:r w:rsidRPr="00900CEC">
        <w:rPr>
          <w:szCs w:val="22"/>
          <w:lang w:val="lt-LT"/>
        </w:rPr>
        <w:t>tiazidų</w:t>
      </w:r>
      <w:proofErr w:type="spellEnd"/>
      <w:r w:rsidRPr="00900CEC">
        <w:rPr>
          <w:szCs w:val="22"/>
          <w:lang w:val="lt-LT"/>
        </w:rPr>
        <w:t xml:space="preserve"> poveikį.</w:t>
      </w:r>
    </w:p>
    <w:p w14:paraId="1FA7A218" w14:textId="77777777" w:rsidR="00F51FBD" w:rsidRPr="00900CEC" w:rsidRDefault="00F51FBD" w:rsidP="00F51FBD">
      <w:pPr>
        <w:pStyle w:val="Sraopastraipa"/>
        <w:numPr>
          <w:ilvl w:val="0"/>
          <w:numId w:val="24"/>
        </w:numPr>
        <w:tabs>
          <w:tab w:val="clear" w:pos="567"/>
          <w:tab w:val="left" w:pos="284"/>
        </w:tabs>
        <w:spacing w:line="240" w:lineRule="auto"/>
        <w:rPr>
          <w:szCs w:val="22"/>
          <w:lang w:val="lt-LT"/>
        </w:rPr>
      </w:pPr>
      <w:r w:rsidRPr="00900CEC">
        <w:rPr>
          <w:i/>
          <w:iCs/>
          <w:szCs w:val="22"/>
          <w:lang w:val="lt-LT"/>
        </w:rPr>
        <w:t>Kalį</w:t>
      </w:r>
      <w:r>
        <w:rPr>
          <w:i/>
          <w:iCs/>
          <w:szCs w:val="22"/>
          <w:lang w:val="lt-LT"/>
        </w:rPr>
        <w:t xml:space="preserve"> organizme</w:t>
      </w:r>
      <w:r w:rsidRPr="00900CEC">
        <w:rPr>
          <w:i/>
          <w:iCs/>
          <w:szCs w:val="22"/>
          <w:lang w:val="lt-LT"/>
        </w:rPr>
        <w:t xml:space="preserve"> sulaikantys diuretikai</w:t>
      </w:r>
      <w:r w:rsidRPr="00900CEC">
        <w:rPr>
          <w:szCs w:val="22"/>
          <w:lang w:val="lt-LT"/>
        </w:rPr>
        <w:t xml:space="preserve">: vartojant kartu, gali išsivystyti </w:t>
      </w:r>
      <w:proofErr w:type="spellStart"/>
      <w:r w:rsidRPr="00900CEC">
        <w:rPr>
          <w:szCs w:val="22"/>
          <w:lang w:val="lt-LT"/>
        </w:rPr>
        <w:t>hiperkalemija</w:t>
      </w:r>
      <w:proofErr w:type="spellEnd"/>
      <w:r w:rsidRPr="00900CEC">
        <w:rPr>
          <w:szCs w:val="22"/>
          <w:lang w:val="lt-LT"/>
        </w:rPr>
        <w:t>.</w:t>
      </w:r>
    </w:p>
    <w:p w14:paraId="7D0240A4" w14:textId="77777777" w:rsidR="00F51FBD" w:rsidRPr="00900CEC" w:rsidRDefault="00F51FBD" w:rsidP="00F51FBD">
      <w:pPr>
        <w:pStyle w:val="Sraopastraipa"/>
        <w:numPr>
          <w:ilvl w:val="0"/>
          <w:numId w:val="24"/>
        </w:numPr>
        <w:tabs>
          <w:tab w:val="clear" w:pos="567"/>
          <w:tab w:val="left" w:pos="284"/>
        </w:tabs>
        <w:spacing w:line="240" w:lineRule="auto"/>
        <w:rPr>
          <w:szCs w:val="22"/>
          <w:lang w:val="lt-LT"/>
        </w:rPr>
      </w:pPr>
      <w:proofErr w:type="spellStart"/>
      <w:r w:rsidRPr="00900CEC">
        <w:rPr>
          <w:i/>
          <w:iCs/>
          <w:szCs w:val="22"/>
          <w:lang w:val="lt-LT"/>
        </w:rPr>
        <w:t>Aminoglikozidai</w:t>
      </w:r>
      <w:proofErr w:type="spellEnd"/>
      <w:r w:rsidRPr="00900CEC">
        <w:rPr>
          <w:szCs w:val="22"/>
          <w:lang w:val="lt-LT"/>
        </w:rPr>
        <w:t xml:space="preserve">: NVNU gali sumažinti </w:t>
      </w:r>
      <w:proofErr w:type="spellStart"/>
      <w:r w:rsidRPr="00900CEC">
        <w:rPr>
          <w:szCs w:val="22"/>
          <w:lang w:val="lt-LT"/>
        </w:rPr>
        <w:t>aminoglikozidų</w:t>
      </w:r>
      <w:proofErr w:type="spellEnd"/>
      <w:r w:rsidRPr="00900CEC">
        <w:rPr>
          <w:szCs w:val="22"/>
          <w:lang w:val="lt-LT"/>
        </w:rPr>
        <w:t xml:space="preserve"> išskyrimą.</w:t>
      </w:r>
    </w:p>
    <w:p w14:paraId="5A76D02F" w14:textId="5132B877" w:rsidR="00F51FBD" w:rsidRPr="00900CEC" w:rsidRDefault="00F51FBD" w:rsidP="00F51FBD">
      <w:pPr>
        <w:pStyle w:val="Sraopastraipa"/>
        <w:numPr>
          <w:ilvl w:val="0"/>
          <w:numId w:val="24"/>
        </w:numPr>
        <w:tabs>
          <w:tab w:val="clear" w:pos="567"/>
          <w:tab w:val="left" w:pos="284"/>
        </w:tabs>
        <w:spacing w:line="240" w:lineRule="auto"/>
        <w:rPr>
          <w:szCs w:val="22"/>
          <w:lang w:val="lt-LT"/>
        </w:rPr>
      </w:pPr>
      <w:r w:rsidRPr="00900CEC">
        <w:rPr>
          <w:i/>
          <w:iCs/>
          <w:szCs w:val="22"/>
          <w:lang w:val="lt-LT"/>
        </w:rPr>
        <w:t>Selektyvūs serotonino reabsorbcijos inhibitoriai (SSRI)</w:t>
      </w:r>
      <w:r w:rsidRPr="00900CEC">
        <w:rPr>
          <w:szCs w:val="22"/>
          <w:lang w:val="lt-LT"/>
        </w:rPr>
        <w:t>: SSRI ir NVNU atskirai sukelia padidintą kraujavimo riziką, pvz., iš virškinimo trakto. Ši rizika padidėja derinant gydymą. Šis mechanizmas gali būti susijęs su mažesniu serotonino įsisavinimu trombocituose (žr. 4.4</w:t>
      </w:r>
      <w:r w:rsidR="00FA300F">
        <w:rPr>
          <w:szCs w:val="22"/>
          <w:lang w:val="lt-LT"/>
        </w:rPr>
        <w:t> </w:t>
      </w:r>
      <w:r w:rsidRPr="00900CEC">
        <w:rPr>
          <w:szCs w:val="22"/>
          <w:lang w:val="lt-LT"/>
        </w:rPr>
        <w:t>skyrių).</w:t>
      </w:r>
    </w:p>
    <w:p w14:paraId="1B1D779D" w14:textId="77777777" w:rsidR="00F51FBD" w:rsidRPr="00900CEC" w:rsidRDefault="00F51FBD" w:rsidP="00F51FBD">
      <w:pPr>
        <w:pStyle w:val="Sraopastraipa"/>
        <w:numPr>
          <w:ilvl w:val="0"/>
          <w:numId w:val="24"/>
        </w:numPr>
        <w:tabs>
          <w:tab w:val="clear" w:pos="567"/>
          <w:tab w:val="left" w:pos="284"/>
        </w:tabs>
        <w:spacing w:line="240" w:lineRule="auto"/>
        <w:rPr>
          <w:szCs w:val="22"/>
          <w:lang w:val="lt-LT"/>
        </w:rPr>
      </w:pPr>
      <w:r w:rsidRPr="00900CEC">
        <w:rPr>
          <w:i/>
          <w:iCs/>
          <w:szCs w:val="22"/>
          <w:lang w:val="lt-LT"/>
        </w:rPr>
        <w:t>Ciklosporinas</w:t>
      </w:r>
      <w:r w:rsidRPr="00900CEC">
        <w:rPr>
          <w:szCs w:val="22"/>
          <w:lang w:val="lt-LT"/>
        </w:rPr>
        <w:t>: manoma, kad NVNU va</w:t>
      </w:r>
      <w:r>
        <w:rPr>
          <w:szCs w:val="22"/>
          <w:lang w:val="lt-LT"/>
        </w:rPr>
        <w:t>r</w:t>
      </w:r>
      <w:r w:rsidRPr="00900CEC">
        <w:rPr>
          <w:szCs w:val="22"/>
          <w:lang w:val="lt-LT"/>
        </w:rPr>
        <w:t xml:space="preserve">tojant kartu su </w:t>
      </w:r>
      <w:proofErr w:type="spellStart"/>
      <w:r w:rsidRPr="00900CEC">
        <w:rPr>
          <w:szCs w:val="22"/>
          <w:lang w:val="lt-LT"/>
        </w:rPr>
        <w:t>ciklosporinu</w:t>
      </w:r>
      <w:proofErr w:type="spellEnd"/>
      <w:r w:rsidRPr="00900CEC">
        <w:rPr>
          <w:szCs w:val="22"/>
          <w:lang w:val="lt-LT"/>
        </w:rPr>
        <w:t xml:space="preserve"> gali padidėti toksinio poveikio inkstams rizika dėl sumažėjusios </w:t>
      </w:r>
      <w:proofErr w:type="spellStart"/>
      <w:r w:rsidRPr="00900CEC">
        <w:rPr>
          <w:szCs w:val="22"/>
          <w:lang w:val="lt-LT"/>
        </w:rPr>
        <w:t>prostaciklino</w:t>
      </w:r>
      <w:proofErr w:type="spellEnd"/>
      <w:r w:rsidRPr="00900CEC">
        <w:rPr>
          <w:szCs w:val="22"/>
          <w:lang w:val="lt-LT"/>
        </w:rPr>
        <w:t xml:space="preserve"> sintezės inkstuose. Atitinkamai, derinant gydymą, būtina atidžiai stebėti inkstų funkciją.</w:t>
      </w:r>
    </w:p>
    <w:p w14:paraId="54828206" w14:textId="77777777" w:rsidR="00F51FBD" w:rsidRPr="00900CEC" w:rsidRDefault="00F51FBD" w:rsidP="00F51FBD">
      <w:pPr>
        <w:pStyle w:val="Sraopastraipa"/>
        <w:numPr>
          <w:ilvl w:val="0"/>
          <w:numId w:val="24"/>
        </w:numPr>
        <w:tabs>
          <w:tab w:val="clear" w:pos="567"/>
          <w:tab w:val="left" w:pos="284"/>
        </w:tabs>
        <w:spacing w:line="240" w:lineRule="auto"/>
        <w:rPr>
          <w:szCs w:val="22"/>
          <w:lang w:val="lt-LT"/>
        </w:rPr>
      </w:pPr>
      <w:r w:rsidRPr="00900CEC">
        <w:rPr>
          <w:i/>
          <w:iCs/>
          <w:szCs w:val="22"/>
          <w:lang w:val="lt-LT"/>
        </w:rPr>
        <w:t>Kaptoprilis</w:t>
      </w:r>
      <w:r w:rsidRPr="00900CEC">
        <w:rPr>
          <w:szCs w:val="22"/>
          <w:lang w:val="lt-LT"/>
        </w:rPr>
        <w:t xml:space="preserve">: eksperimentiniai tyrimai rodo, kad </w:t>
      </w:r>
      <w:proofErr w:type="spellStart"/>
      <w:r w:rsidRPr="00900CEC">
        <w:rPr>
          <w:szCs w:val="22"/>
          <w:lang w:val="lt-LT"/>
        </w:rPr>
        <w:t>ibuprofenas</w:t>
      </w:r>
      <w:proofErr w:type="spellEnd"/>
      <w:r w:rsidRPr="00900CEC">
        <w:rPr>
          <w:szCs w:val="22"/>
          <w:lang w:val="lt-LT"/>
        </w:rPr>
        <w:t xml:space="preserve"> neutralizuoja </w:t>
      </w:r>
      <w:proofErr w:type="spellStart"/>
      <w:r w:rsidRPr="00900CEC">
        <w:rPr>
          <w:szCs w:val="22"/>
          <w:lang w:val="lt-LT"/>
        </w:rPr>
        <w:t>kaptoprilio</w:t>
      </w:r>
      <w:proofErr w:type="spellEnd"/>
      <w:r w:rsidRPr="00900CEC">
        <w:rPr>
          <w:szCs w:val="22"/>
          <w:lang w:val="lt-LT"/>
        </w:rPr>
        <w:t xml:space="preserve"> poveikį natrio išsiskyrimui.</w:t>
      </w:r>
    </w:p>
    <w:p w14:paraId="2DC2FEAA" w14:textId="77777777" w:rsidR="00F51FBD" w:rsidRPr="00900CEC" w:rsidRDefault="00F51FBD" w:rsidP="00F51FBD">
      <w:pPr>
        <w:pStyle w:val="Sraopastraipa"/>
        <w:numPr>
          <w:ilvl w:val="0"/>
          <w:numId w:val="24"/>
        </w:numPr>
        <w:tabs>
          <w:tab w:val="clear" w:pos="567"/>
          <w:tab w:val="left" w:pos="284"/>
        </w:tabs>
        <w:spacing w:line="240" w:lineRule="auto"/>
        <w:rPr>
          <w:szCs w:val="22"/>
          <w:lang w:val="lt-LT"/>
        </w:rPr>
      </w:pPr>
      <w:proofErr w:type="spellStart"/>
      <w:r w:rsidRPr="00900CEC">
        <w:rPr>
          <w:i/>
          <w:iCs/>
          <w:szCs w:val="22"/>
          <w:lang w:val="lt-LT"/>
        </w:rPr>
        <w:t>Takrolimuzas</w:t>
      </w:r>
      <w:proofErr w:type="spellEnd"/>
      <w:r w:rsidRPr="00900CEC">
        <w:rPr>
          <w:szCs w:val="22"/>
          <w:lang w:val="lt-LT"/>
        </w:rPr>
        <w:t xml:space="preserve">: manoma, kad dėl NVNU ir </w:t>
      </w:r>
      <w:proofErr w:type="spellStart"/>
      <w:r w:rsidRPr="00900CEC">
        <w:rPr>
          <w:szCs w:val="22"/>
          <w:lang w:val="lt-LT"/>
        </w:rPr>
        <w:t>takrolimuzo</w:t>
      </w:r>
      <w:proofErr w:type="spellEnd"/>
      <w:r w:rsidRPr="00900CEC">
        <w:rPr>
          <w:szCs w:val="22"/>
          <w:lang w:val="lt-LT"/>
        </w:rPr>
        <w:t xml:space="preserve"> vartojimo kartu padidėja toksinio poveikio inkstams rizika dėl sumažėjusios </w:t>
      </w:r>
      <w:proofErr w:type="spellStart"/>
      <w:r w:rsidRPr="00900CEC">
        <w:rPr>
          <w:szCs w:val="22"/>
          <w:lang w:val="lt-LT"/>
        </w:rPr>
        <w:t>prostaciklino</w:t>
      </w:r>
      <w:proofErr w:type="spellEnd"/>
      <w:r w:rsidRPr="00900CEC">
        <w:rPr>
          <w:szCs w:val="22"/>
          <w:lang w:val="lt-LT"/>
        </w:rPr>
        <w:t xml:space="preserve"> sintezės inkstuose. Atitinkamai, derinant gydymą, reikia atidžiai stebėti inkstų funkciją.</w:t>
      </w:r>
    </w:p>
    <w:p w14:paraId="2CB09B79" w14:textId="77777777" w:rsidR="00F51FBD" w:rsidRPr="00900CEC" w:rsidRDefault="00F51FBD" w:rsidP="00F51FBD">
      <w:pPr>
        <w:pStyle w:val="Sraopastraipa"/>
        <w:numPr>
          <w:ilvl w:val="0"/>
          <w:numId w:val="24"/>
        </w:numPr>
        <w:tabs>
          <w:tab w:val="clear" w:pos="567"/>
          <w:tab w:val="left" w:pos="284"/>
        </w:tabs>
        <w:spacing w:line="240" w:lineRule="auto"/>
        <w:rPr>
          <w:szCs w:val="22"/>
          <w:lang w:val="lt-LT"/>
        </w:rPr>
      </w:pPr>
      <w:r w:rsidRPr="00900CEC">
        <w:rPr>
          <w:i/>
          <w:iCs/>
          <w:szCs w:val="22"/>
          <w:lang w:val="lt-LT"/>
        </w:rPr>
        <w:t>Kortikosteroidai</w:t>
      </w:r>
      <w:r w:rsidRPr="00900CEC">
        <w:rPr>
          <w:szCs w:val="22"/>
          <w:lang w:val="lt-LT"/>
        </w:rPr>
        <w:t>: vartojant kartu, padidėja virškinimo trakto opų ar kraujavimo rizika.</w:t>
      </w:r>
    </w:p>
    <w:p w14:paraId="0E493106" w14:textId="77777777" w:rsidR="00F51FBD" w:rsidRPr="00900CEC" w:rsidRDefault="00F51FBD" w:rsidP="00F51FBD">
      <w:pPr>
        <w:pStyle w:val="Sraopastraipa"/>
        <w:numPr>
          <w:ilvl w:val="0"/>
          <w:numId w:val="24"/>
        </w:numPr>
        <w:tabs>
          <w:tab w:val="clear" w:pos="567"/>
          <w:tab w:val="left" w:pos="284"/>
        </w:tabs>
        <w:spacing w:line="240" w:lineRule="auto"/>
        <w:rPr>
          <w:szCs w:val="22"/>
          <w:lang w:val="lt-LT"/>
        </w:rPr>
      </w:pPr>
      <w:r w:rsidRPr="00900CEC">
        <w:rPr>
          <w:i/>
          <w:iCs/>
          <w:szCs w:val="22"/>
          <w:lang w:val="lt-LT"/>
        </w:rPr>
        <w:t>CYP2C9 inhibitoriai</w:t>
      </w:r>
      <w:r w:rsidRPr="00900CEC">
        <w:rPr>
          <w:szCs w:val="22"/>
          <w:lang w:val="lt-LT"/>
        </w:rPr>
        <w:t xml:space="preserve">: kartu skiriant </w:t>
      </w:r>
      <w:proofErr w:type="spellStart"/>
      <w:r w:rsidRPr="00900CEC">
        <w:rPr>
          <w:szCs w:val="22"/>
          <w:lang w:val="lt-LT"/>
        </w:rPr>
        <w:t>ibuprofeną</w:t>
      </w:r>
      <w:proofErr w:type="spellEnd"/>
      <w:r w:rsidRPr="00900CEC">
        <w:rPr>
          <w:szCs w:val="22"/>
          <w:lang w:val="lt-LT"/>
        </w:rPr>
        <w:t xml:space="preserve"> ir CYP2C9 inhibitorius, gali padidėti ibuprofeno (CYP2C9 substrato) ekspozicija. Tyrime su </w:t>
      </w:r>
      <w:proofErr w:type="spellStart"/>
      <w:r w:rsidRPr="00900CEC">
        <w:rPr>
          <w:szCs w:val="22"/>
          <w:lang w:val="lt-LT"/>
        </w:rPr>
        <w:t>vorikonazolu</w:t>
      </w:r>
      <w:proofErr w:type="spellEnd"/>
      <w:r w:rsidRPr="00900CEC">
        <w:rPr>
          <w:szCs w:val="22"/>
          <w:lang w:val="lt-LT"/>
        </w:rPr>
        <w:t xml:space="preserve"> ir </w:t>
      </w:r>
      <w:proofErr w:type="spellStart"/>
      <w:r w:rsidRPr="00900CEC">
        <w:rPr>
          <w:szCs w:val="22"/>
          <w:lang w:val="lt-LT"/>
        </w:rPr>
        <w:t>flukonazolu</w:t>
      </w:r>
      <w:proofErr w:type="spellEnd"/>
      <w:r w:rsidRPr="00900CEC">
        <w:rPr>
          <w:szCs w:val="22"/>
          <w:lang w:val="lt-LT"/>
        </w:rPr>
        <w:t xml:space="preserve"> (CYP2C9 inhibitoriai), nustatyta, kad S (+)-ibuprofeno ekspozicija padidėja maždaug 80–100 %. Jei kartu vartojami stiprūs CYP2C9 inhibitoriai, reikia apsvarstyti galimybę sumažinti ibuprofeno dozę, ypač kai didelės ibuprofeno dozės skiriamos kartu su </w:t>
      </w:r>
      <w:proofErr w:type="spellStart"/>
      <w:r w:rsidRPr="00900CEC">
        <w:rPr>
          <w:szCs w:val="22"/>
          <w:lang w:val="lt-LT"/>
        </w:rPr>
        <w:t>vorikonazolu</w:t>
      </w:r>
      <w:proofErr w:type="spellEnd"/>
      <w:r w:rsidRPr="00900CEC">
        <w:rPr>
          <w:szCs w:val="22"/>
          <w:lang w:val="lt-LT"/>
        </w:rPr>
        <w:t xml:space="preserve"> arba </w:t>
      </w:r>
      <w:proofErr w:type="spellStart"/>
      <w:r w:rsidRPr="00900CEC">
        <w:rPr>
          <w:szCs w:val="22"/>
          <w:lang w:val="lt-LT"/>
        </w:rPr>
        <w:t>flukonazolu</w:t>
      </w:r>
      <w:proofErr w:type="spellEnd"/>
      <w:r w:rsidRPr="00900CEC">
        <w:rPr>
          <w:szCs w:val="22"/>
          <w:lang w:val="lt-LT"/>
        </w:rPr>
        <w:t>.</w:t>
      </w:r>
    </w:p>
    <w:p w14:paraId="28EA7245" w14:textId="77777777" w:rsidR="00F51FBD" w:rsidRPr="00900CEC" w:rsidRDefault="00F51FBD" w:rsidP="00F51FBD">
      <w:pPr>
        <w:pStyle w:val="Sraopastraipa"/>
        <w:numPr>
          <w:ilvl w:val="0"/>
          <w:numId w:val="24"/>
        </w:numPr>
        <w:tabs>
          <w:tab w:val="clear" w:pos="567"/>
          <w:tab w:val="left" w:pos="284"/>
        </w:tabs>
        <w:spacing w:line="240" w:lineRule="auto"/>
        <w:rPr>
          <w:szCs w:val="22"/>
          <w:lang w:val="lt-LT"/>
        </w:rPr>
      </w:pPr>
      <w:proofErr w:type="spellStart"/>
      <w:r w:rsidRPr="00900CEC">
        <w:rPr>
          <w:i/>
          <w:iCs/>
          <w:szCs w:val="22"/>
          <w:lang w:val="lt-LT"/>
        </w:rPr>
        <w:t>Fenitoinas</w:t>
      </w:r>
      <w:proofErr w:type="spellEnd"/>
      <w:r w:rsidRPr="00900CEC">
        <w:rPr>
          <w:szCs w:val="22"/>
          <w:lang w:val="lt-LT"/>
        </w:rPr>
        <w:t xml:space="preserve">: vartojant kartu su </w:t>
      </w:r>
      <w:proofErr w:type="spellStart"/>
      <w:r w:rsidRPr="00900CEC">
        <w:rPr>
          <w:szCs w:val="22"/>
          <w:lang w:val="lt-LT"/>
        </w:rPr>
        <w:t>ibuprofenu</w:t>
      </w:r>
      <w:proofErr w:type="spellEnd"/>
      <w:r w:rsidRPr="00900CEC">
        <w:rPr>
          <w:szCs w:val="22"/>
          <w:lang w:val="lt-LT"/>
        </w:rPr>
        <w:t xml:space="preserve">, gali padidėti </w:t>
      </w:r>
      <w:proofErr w:type="spellStart"/>
      <w:r w:rsidRPr="00900CEC">
        <w:rPr>
          <w:szCs w:val="22"/>
          <w:lang w:val="lt-LT"/>
        </w:rPr>
        <w:t>fenitoino</w:t>
      </w:r>
      <w:proofErr w:type="spellEnd"/>
      <w:r w:rsidRPr="00900CEC">
        <w:rPr>
          <w:szCs w:val="22"/>
          <w:lang w:val="lt-LT"/>
        </w:rPr>
        <w:t xml:space="preserve"> koncentracija plazmoje ir todėl gali padidėti toksinio poveikio rizika.</w:t>
      </w:r>
    </w:p>
    <w:p w14:paraId="452E98A8" w14:textId="77777777" w:rsidR="00F51FBD" w:rsidRPr="00900CEC" w:rsidRDefault="00F51FBD" w:rsidP="00F51FBD">
      <w:pPr>
        <w:pStyle w:val="Sraopastraipa"/>
        <w:numPr>
          <w:ilvl w:val="0"/>
          <w:numId w:val="24"/>
        </w:numPr>
        <w:tabs>
          <w:tab w:val="clear" w:pos="567"/>
          <w:tab w:val="left" w:pos="284"/>
        </w:tabs>
        <w:spacing w:line="240" w:lineRule="auto"/>
        <w:rPr>
          <w:szCs w:val="22"/>
          <w:lang w:val="lt-LT"/>
        </w:rPr>
      </w:pPr>
      <w:proofErr w:type="spellStart"/>
      <w:r w:rsidRPr="00900CEC">
        <w:rPr>
          <w:i/>
          <w:iCs/>
          <w:szCs w:val="22"/>
          <w:lang w:val="lt-LT"/>
        </w:rPr>
        <w:t>Probenecidas</w:t>
      </w:r>
      <w:proofErr w:type="spellEnd"/>
      <w:r w:rsidRPr="00900CEC">
        <w:rPr>
          <w:i/>
          <w:iCs/>
          <w:szCs w:val="22"/>
          <w:lang w:val="lt-LT"/>
        </w:rPr>
        <w:t xml:space="preserve"> ir </w:t>
      </w:r>
      <w:proofErr w:type="spellStart"/>
      <w:r w:rsidRPr="00900CEC">
        <w:rPr>
          <w:i/>
          <w:iCs/>
          <w:szCs w:val="22"/>
          <w:lang w:val="lt-LT"/>
        </w:rPr>
        <w:t>sulfinpirazonas</w:t>
      </w:r>
      <w:proofErr w:type="spellEnd"/>
      <w:r w:rsidRPr="00900CEC">
        <w:rPr>
          <w:szCs w:val="22"/>
          <w:lang w:val="lt-LT"/>
        </w:rPr>
        <w:t xml:space="preserve">: vaistiniai preparatai, kurių sudėtyje yra </w:t>
      </w:r>
      <w:proofErr w:type="spellStart"/>
      <w:r w:rsidRPr="00900CEC">
        <w:rPr>
          <w:szCs w:val="22"/>
          <w:lang w:val="lt-LT"/>
        </w:rPr>
        <w:t>probenecido</w:t>
      </w:r>
      <w:proofErr w:type="spellEnd"/>
      <w:r w:rsidRPr="00900CEC">
        <w:rPr>
          <w:szCs w:val="22"/>
          <w:lang w:val="lt-LT"/>
        </w:rPr>
        <w:t xml:space="preserve"> ar </w:t>
      </w:r>
      <w:proofErr w:type="spellStart"/>
      <w:r w:rsidRPr="00900CEC">
        <w:rPr>
          <w:szCs w:val="22"/>
          <w:lang w:val="lt-LT"/>
        </w:rPr>
        <w:t>sulfinpirazono</w:t>
      </w:r>
      <w:proofErr w:type="spellEnd"/>
      <w:r w:rsidRPr="00900CEC">
        <w:rPr>
          <w:szCs w:val="22"/>
          <w:lang w:val="lt-LT"/>
        </w:rPr>
        <w:t>, gali sulėtinti ibuprofeno išsiskyrimą.</w:t>
      </w:r>
    </w:p>
    <w:p w14:paraId="27A34BD6" w14:textId="77777777" w:rsidR="00F51FBD" w:rsidRPr="00900CEC" w:rsidRDefault="00F51FBD" w:rsidP="00F51FBD">
      <w:pPr>
        <w:pStyle w:val="Sraopastraipa"/>
        <w:numPr>
          <w:ilvl w:val="0"/>
          <w:numId w:val="24"/>
        </w:numPr>
        <w:tabs>
          <w:tab w:val="clear" w:pos="567"/>
          <w:tab w:val="left" w:pos="284"/>
        </w:tabs>
        <w:spacing w:line="240" w:lineRule="auto"/>
        <w:rPr>
          <w:szCs w:val="22"/>
          <w:lang w:val="lt-LT"/>
        </w:rPr>
      </w:pPr>
      <w:r w:rsidRPr="00900CEC">
        <w:rPr>
          <w:i/>
          <w:iCs/>
          <w:szCs w:val="22"/>
          <w:lang w:val="lt-LT"/>
        </w:rPr>
        <w:t>Žolelių ekstraktai</w:t>
      </w:r>
      <w:r w:rsidRPr="00900CEC">
        <w:rPr>
          <w:szCs w:val="22"/>
          <w:lang w:val="lt-LT"/>
        </w:rPr>
        <w:t xml:space="preserve">: </w:t>
      </w:r>
      <w:proofErr w:type="spellStart"/>
      <w:r w:rsidRPr="00900CEC">
        <w:rPr>
          <w:szCs w:val="22"/>
          <w:lang w:val="lt-LT"/>
        </w:rPr>
        <w:t>dviskiautis</w:t>
      </w:r>
      <w:proofErr w:type="spellEnd"/>
      <w:r w:rsidRPr="00900CEC">
        <w:rPr>
          <w:szCs w:val="22"/>
          <w:lang w:val="lt-LT"/>
        </w:rPr>
        <w:t xml:space="preserve"> </w:t>
      </w:r>
      <w:proofErr w:type="spellStart"/>
      <w:r w:rsidRPr="00900CEC">
        <w:rPr>
          <w:szCs w:val="22"/>
          <w:lang w:val="lt-LT"/>
        </w:rPr>
        <w:t>ginkmedis</w:t>
      </w:r>
      <w:proofErr w:type="spellEnd"/>
      <w:r w:rsidRPr="00900CEC">
        <w:rPr>
          <w:szCs w:val="22"/>
          <w:lang w:val="lt-LT"/>
        </w:rPr>
        <w:t xml:space="preserve"> (</w:t>
      </w:r>
      <w:proofErr w:type="spellStart"/>
      <w:r w:rsidRPr="00900CEC">
        <w:rPr>
          <w:i/>
          <w:iCs/>
          <w:szCs w:val="22"/>
          <w:lang w:val="lt-LT"/>
        </w:rPr>
        <w:t>Ginkgo</w:t>
      </w:r>
      <w:proofErr w:type="spellEnd"/>
      <w:r w:rsidRPr="00900CEC">
        <w:rPr>
          <w:i/>
          <w:iCs/>
          <w:szCs w:val="22"/>
          <w:lang w:val="lt-LT"/>
        </w:rPr>
        <w:t xml:space="preserve"> </w:t>
      </w:r>
      <w:proofErr w:type="spellStart"/>
      <w:r w:rsidRPr="00900CEC">
        <w:rPr>
          <w:i/>
          <w:iCs/>
          <w:szCs w:val="22"/>
          <w:lang w:val="lt-LT"/>
        </w:rPr>
        <w:t>biloba</w:t>
      </w:r>
      <w:proofErr w:type="spellEnd"/>
      <w:r w:rsidRPr="00900CEC">
        <w:rPr>
          <w:szCs w:val="22"/>
          <w:lang w:val="lt-LT"/>
        </w:rPr>
        <w:t>) gali padidinti su NVNU vartojimu susijusią kraujavimo riziką.</w:t>
      </w:r>
    </w:p>
    <w:p w14:paraId="3EA10C50" w14:textId="77777777" w:rsidR="00F51FBD" w:rsidRPr="00900CEC" w:rsidRDefault="00F51FBD" w:rsidP="00F51FBD">
      <w:pPr>
        <w:pStyle w:val="Sraassuenkleliais"/>
        <w:rPr>
          <w:rFonts w:ascii="Times New Roman" w:hAnsi="Times New Roman" w:cs="Times New Roman"/>
          <w:szCs w:val="22"/>
          <w:lang w:val="lt-LT"/>
        </w:rPr>
      </w:pPr>
    </w:p>
    <w:p w14:paraId="43621C0C" w14:textId="77777777" w:rsidR="00F51FBD" w:rsidRPr="00900CEC" w:rsidRDefault="00F51FBD" w:rsidP="00F51FBD">
      <w:pPr>
        <w:pStyle w:val="Sraassuenkleliais"/>
        <w:rPr>
          <w:rFonts w:ascii="Times New Roman" w:hAnsi="Times New Roman" w:cs="Times New Roman"/>
          <w:szCs w:val="22"/>
          <w:u w:val="single"/>
          <w:lang w:val="lt-LT"/>
        </w:rPr>
      </w:pPr>
      <w:r w:rsidRPr="00900CEC">
        <w:rPr>
          <w:rFonts w:ascii="Times New Roman" w:hAnsi="Times New Roman" w:cs="Times New Roman"/>
          <w:szCs w:val="22"/>
          <w:u w:val="single"/>
          <w:lang w:val="lt-LT"/>
        </w:rPr>
        <w:t>Paracetamolis</w:t>
      </w:r>
    </w:p>
    <w:p w14:paraId="25DAE109" w14:textId="21DB8307" w:rsidR="00F51FBD" w:rsidRPr="00900CEC" w:rsidRDefault="00F51FBD" w:rsidP="00F51FBD">
      <w:pPr>
        <w:pStyle w:val="Sraassuenkleliais"/>
        <w:numPr>
          <w:ilvl w:val="0"/>
          <w:numId w:val="28"/>
        </w:numPr>
        <w:ind w:left="709" w:hanging="283"/>
        <w:rPr>
          <w:rFonts w:ascii="Times New Roman" w:hAnsi="Times New Roman" w:cs="Times New Roman"/>
          <w:szCs w:val="22"/>
          <w:lang w:val="lt-LT"/>
        </w:rPr>
      </w:pPr>
      <w:proofErr w:type="spellStart"/>
      <w:r w:rsidRPr="00900CEC">
        <w:rPr>
          <w:rFonts w:ascii="Times New Roman" w:hAnsi="Times New Roman" w:cs="Times New Roman"/>
          <w:szCs w:val="22"/>
          <w:lang w:val="lt-LT"/>
        </w:rPr>
        <w:t>Probenecidas</w:t>
      </w:r>
      <w:proofErr w:type="spellEnd"/>
      <w:r w:rsidRPr="00900CEC">
        <w:rPr>
          <w:rFonts w:ascii="Times New Roman" w:hAnsi="Times New Roman" w:cs="Times New Roman"/>
          <w:szCs w:val="22"/>
          <w:lang w:val="lt-LT"/>
        </w:rPr>
        <w:t xml:space="preserve"> slopina </w:t>
      </w:r>
      <w:proofErr w:type="spellStart"/>
      <w:r w:rsidRPr="00900CEC">
        <w:rPr>
          <w:rFonts w:ascii="Times New Roman" w:hAnsi="Times New Roman" w:cs="Times New Roman"/>
          <w:szCs w:val="22"/>
          <w:lang w:val="lt-LT"/>
        </w:rPr>
        <w:t>paracetamolio</w:t>
      </w:r>
      <w:proofErr w:type="spellEnd"/>
      <w:r w:rsidRPr="00900CEC">
        <w:rPr>
          <w:rFonts w:ascii="Times New Roman" w:hAnsi="Times New Roman" w:cs="Times New Roman"/>
          <w:szCs w:val="22"/>
          <w:lang w:val="lt-LT"/>
        </w:rPr>
        <w:t xml:space="preserve"> prisijungimą prie </w:t>
      </w:r>
      <w:proofErr w:type="spellStart"/>
      <w:r w:rsidRPr="00900CEC">
        <w:rPr>
          <w:rFonts w:ascii="Times New Roman" w:hAnsi="Times New Roman" w:cs="Times New Roman"/>
          <w:szCs w:val="22"/>
          <w:lang w:val="lt-LT"/>
        </w:rPr>
        <w:t>gliukurono</w:t>
      </w:r>
      <w:proofErr w:type="spellEnd"/>
      <w:r w:rsidRPr="00900CEC">
        <w:rPr>
          <w:rFonts w:ascii="Times New Roman" w:hAnsi="Times New Roman" w:cs="Times New Roman"/>
          <w:szCs w:val="22"/>
          <w:lang w:val="lt-LT"/>
        </w:rPr>
        <w:t xml:space="preserve"> rūgšties, todėl </w:t>
      </w:r>
      <w:proofErr w:type="spellStart"/>
      <w:r w:rsidRPr="00900CEC">
        <w:rPr>
          <w:rFonts w:ascii="Times New Roman" w:hAnsi="Times New Roman" w:cs="Times New Roman"/>
          <w:szCs w:val="22"/>
          <w:lang w:val="lt-LT"/>
        </w:rPr>
        <w:t>paracetamolio</w:t>
      </w:r>
      <w:proofErr w:type="spellEnd"/>
      <w:r w:rsidRPr="00900CEC">
        <w:rPr>
          <w:rFonts w:ascii="Times New Roman" w:hAnsi="Times New Roman" w:cs="Times New Roman"/>
          <w:szCs w:val="22"/>
          <w:lang w:val="lt-LT"/>
        </w:rPr>
        <w:t xml:space="preserve"> klirensas sumažėja maždaug 2</w:t>
      </w:r>
      <w:r w:rsidR="00FA300F">
        <w:rPr>
          <w:rFonts w:ascii="Times New Roman" w:hAnsi="Times New Roman" w:cs="Times New Roman"/>
          <w:szCs w:val="22"/>
          <w:lang w:val="lt-LT"/>
        </w:rPr>
        <w:t> </w:t>
      </w:r>
      <w:r w:rsidRPr="00900CEC">
        <w:rPr>
          <w:rFonts w:ascii="Times New Roman" w:hAnsi="Times New Roman" w:cs="Times New Roman"/>
          <w:szCs w:val="22"/>
          <w:lang w:val="lt-LT"/>
        </w:rPr>
        <w:t xml:space="preserve">kartus. Pacientams, kartu vartojantiems </w:t>
      </w:r>
      <w:proofErr w:type="spellStart"/>
      <w:r w:rsidRPr="00900CEC">
        <w:rPr>
          <w:rFonts w:ascii="Times New Roman" w:hAnsi="Times New Roman" w:cs="Times New Roman"/>
          <w:szCs w:val="22"/>
          <w:lang w:val="lt-LT"/>
        </w:rPr>
        <w:t>probenecidą</w:t>
      </w:r>
      <w:proofErr w:type="spellEnd"/>
      <w:r w:rsidRPr="00900CEC">
        <w:rPr>
          <w:rFonts w:ascii="Times New Roman" w:hAnsi="Times New Roman" w:cs="Times New Roman"/>
          <w:szCs w:val="22"/>
          <w:lang w:val="lt-LT"/>
        </w:rPr>
        <w:t xml:space="preserve">, </w:t>
      </w:r>
      <w:proofErr w:type="spellStart"/>
      <w:r w:rsidRPr="00900CEC">
        <w:rPr>
          <w:rFonts w:ascii="Times New Roman" w:hAnsi="Times New Roman" w:cs="Times New Roman"/>
          <w:szCs w:val="22"/>
          <w:lang w:val="lt-LT"/>
        </w:rPr>
        <w:t>paracetamolio</w:t>
      </w:r>
      <w:proofErr w:type="spellEnd"/>
      <w:r w:rsidRPr="00900CEC">
        <w:rPr>
          <w:rFonts w:ascii="Times New Roman" w:hAnsi="Times New Roman" w:cs="Times New Roman"/>
          <w:szCs w:val="22"/>
          <w:lang w:val="lt-LT"/>
        </w:rPr>
        <w:t xml:space="preserve"> dozę reikia sumažinti.</w:t>
      </w:r>
    </w:p>
    <w:p w14:paraId="58F7E697" w14:textId="47218516" w:rsidR="00F51FBD" w:rsidRPr="00900CEC" w:rsidRDefault="00F51FBD" w:rsidP="00F51FBD">
      <w:pPr>
        <w:pStyle w:val="Sraassuenkleliais"/>
        <w:numPr>
          <w:ilvl w:val="0"/>
          <w:numId w:val="28"/>
        </w:numPr>
        <w:ind w:left="709" w:hanging="283"/>
        <w:rPr>
          <w:rFonts w:ascii="Times New Roman" w:hAnsi="Times New Roman" w:cs="Times New Roman"/>
          <w:szCs w:val="22"/>
          <w:lang w:val="lt-LT"/>
        </w:rPr>
      </w:pPr>
      <w:r w:rsidRPr="00900CEC">
        <w:rPr>
          <w:rFonts w:ascii="Times New Roman" w:hAnsi="Times New Roman" w:cs="Times New Roman"/>
          <w:szCs w:val="22"/>
          <w:lang w:val="lt-LT"/>
        </w:rPr>
        <w:t>Farmakokinetikos tyrimų duomenimis, fermentus indukuojantys vaist</w:t>
      </w:r>
      <w:r w:rsidR="00FA300F">
        <w:rPr>
          <w:rFonts w:ascii="Times New Roman" w:hAnsi="Times New Roman" w:cs="Times New Roman"/>
          <w:szCs w:val="22"/>
          <w:lang w:val="lt-LT"/>
        </w:rPr>
        <w:t>ini</w:t>
      </w:r>
      <w:r w:rsidRPr="00900CEC">
        <w:rPr>
          <w:rFonts w:ascii="Times New Roman" w:hAnsi="Times New Roman" w:cs="Times New Roman"/>
          <w:szCs w:val="22"/>
          <w:lang w:val="lt-LT"/>
        </w:rPr>
        <w:t>ai</w:t>
      </w:r>
      <w:r w:rsidR="00FA300F">
        <w:rPr>
          <w:rFonts w:ascii="Times New Roman" w:hAnsi="Times New Roman" w:cs="Times New Roman"/>
          <w:szCs w:val="22"/>
          <w:lang w:val="lt-LT"/>
        </w:rPr>
        <w:t xml:space="preserve"> preparatai</w:t>
      </w:r>
      <w:r w:rsidRPr="00900CEC">
        <w:rPr>
          <w:rFonts w:ascii="Times New Roman" w:hAnsi="Times New Roman" w:cs="Times New Roman"/>
          <w:szCs w:val="22"/>
          <w:lang w:val="lt-LT"/>
        </w:rPr>
        <w:t>, tokie kaip tam tikri vaist</w:t>
      </w:r>
      <w:r w:rsidR="00FA300F">
        <w:rPr>
          <w:rFonts w:ascii="Times New Roman" w:hAnsi="Times New Roman" w:cs="Times New Roman"/>
          <w:szCs w:val="22"/>
          <w:lang w:val="lt-LT"/>
        </w:rPr>
        <w:t>ini</w:t>
      </w:r>
      <w:r w:rsidRPr="00900CEC">
        <w:rPr>
          <w:rFonts w:ascii="Times New Roman" w:hAnsi="Times New Roman" w:cs="Times New Roman"/>
          <w:szCs w:val="22"/>
          <w:lang w:val="lt-LT"/>
        </w:rPr>
        <w:t xml:space="preserve">ai </w:t>
      </w:r>
      <w:r w:rsidR="00FA300F">
        <w:rPr>
          <w:rFonts w:ascii="Times New Roman" w:hAnsi="Times New Roman" w:cs="Times New Roman"/>
          <w:szCs w:val="22"/>
          <w:lang w:val="lt-LT"/>
        </w:rPr>
        <w:t xml:space="preserve">preparatai </w:t>
      </w:r>
      <w:r w:rsidRPr="00900CEC">
        <w:rPr>
          <w:rFonts w:ascii="Times New Roman" w:hAnsi="Times New Roman" w:cs="Times New Roman"/>
          <w:szCs w:val="22"/>
          <w:lang w:val="lt-LT"/>
        </w:rPr>
        <w:t>nuo epilepsijos (</w:t>
      </w:r>
      <w:proofErr w:type="spellStart"/>
      <w:r w:rsidRPr="00900CEC">
        <w:rPr>
          <w:rFonts w:ascii="Times New Roman" w:hAnsi="Times New Roman" w:cs="Times New Roman"/>
          <w:szCs w:val="22"/>
          <w:lang w:val="lt-LT"/>
        </w:rPr>
        <w:t>fenitoinas</w:t>
      </w:r>
      <w:proofErr w:type="spellEnd"/>
      <w:r w:rsidRPr="00900CEC">
        <w:rPr>
          <w:rFonts w:ascii="Times New Roman" w:hAnsi="Times New Roman" w:cs="Times New Roman"/>
          <w:szCs w:val="22"/>
          <w:lang w:val="lt-LT"/>
        </w:rPr>
        <w:t xml:space="preserve">, </w:t>
      </w:r>
      <w:proofErr w:type="spellStart"/>
      <w:r w:rsidRPr="00900CEC">
        <w:rPr>
          <w:rFonts w:ascii="Times New Roman" w:hAnsi="Times New Roman" w:cs="Times New Roman"/>
          <w:szCs w:val="22"/>
          <w:lang w:val="lt-LT"/>
        </w:rPr>
        <w:t>fenobarbitalis</w:t>
      </w:r>
      <w:proofErr w:type="spellEnd"/>
      <w:r w:rsidRPr="00900CEC">
        <w:rPr>
          <w:rFonts w:ascii="Times New Roman" w:hAnsi="Times New Roman" w:cs="Times New Roman"/>
          <w:szCs w:val="22"/>
          <w:lang w:val="lt-LT"/>
        </w:rPr>
        <w:t xml:space="preserve">, </w:t>
      </w:r>
      <w:proofErr w:type="spellStart"/>
      <w:r w:rsidRPr="00900CEC">
        <w:rPr>
          <w:rFonts w:ascii="Times New Roman" w:hAnsi="Times New Roman" w:cs="Times New Roman"/>
          <w:szCs w:val="22"/>
          <w:lang w:val="lt-LT"/>
        </w:rPr>
        <w:t>karbamazepinas</w:t>
      </w:r>
      <w:proofErr w:type="spellEnd"/>
      <w:r w:rsidRPr="00900CEC">
        <w:rPr>
          <w:rFonts w:ascii="Times New Roman" w:hAnsi="Times New Roman" w:cs="Times New Roman"/>
          <w:szCs w:val="22"/>
          <w:lang w:val="lt-LT"/>
        </w:rPr>
        <w:t xml:space="preserve">) sumažino paracetamolio AUC plazmoje maždaug 60 %. Dėl kitų fermentus indukuojančių medžiagų (pvz., rifampicino, jonažolės) paracetamolio koncentracija taip pat gali sumažėti. Be to, gydymo didžiausia rekomenduojama paracetamolio doze metu kylanti kepenų pažeidimo rizika yra didesnė pacientams, kartu vartojantiems fermentus indukuojančius vaistinius preparatus. </w:t>
      </w:r>
    </w:p>
    <w:p w14:paraId="39562445" w14:textId="77777777" w:rsidR="00F51FBD" w:rsidRPr="00900CEC" w:rsidRDefault="00F51FBD" w:rsidP="00F51FBD">
      <w:pPr>
        <w:pStyle w:val="Sraassuenkleliais"/>
        <w:numPr>
          <w:ilvl w:val="0"/>
          <w:numId w:val="28"/>
        </w:numPr>
        <w:ind w:left="709" w:hanging="283"/>
        <w:rPr>
          <w:rFonts w:ascii="Times New Roman" w:hAnsi="Times New Roman" w:cs="Times New Roman"/>
          <w:szCs w:val="22"/>
          <w:lang w:val="lt-LT"/>
        </w:rPr>
      </w:pPr>
      <w:proofErr w:type="spellStart"/>
      <w:r w:rsidRPr="00900CEC">
        <w:rPr>
          <w:rFonts w:ascii="Times New Roman" w:hAnsi="Times New Roman" w:cs="Times New Roman"/>
          <w:szCs w:val="22"/>
          <w:lang w:val="lt-LT"/>
        </w:rPr>
        <w:t>Zidovudinas</w:t>
      </w:r>
      <w:proofErr w:type="spellEnd"/>
      <w:r w:rsidRPr="00900CEC">
        <w:rPr>
          <w:rFonts w:ascii="Times New Roman" w:hAnsi="Times New Roman" w:cs="Times New Roman"/>
          <w:szCs w:val="22"/>
          <w:lang w:val="lt-LT"/>
        </w:rPr>
        <w:t xml:space="preserve"> gali paveikti </w:t>
      </w:r>
      <w:proofErr w:type="spellStart"/>
      <w:r w:rsidRPr="00900CEC">
        <w:rPr>
          <w:rFonts w:ascii="Times New Roman" w:hAnsi="Times New Roman" w:cs="Times New Roman"/>
          <w:szCs w:val="22"/>
          <w:lang w:val="lt-LT"/>
        </w:rPr>
        <w:t>paracetamolio</w:t>
      </w:r>
      <w:proofErr w:type="spellEnd"/>
      <w:r w:rsidRPr="00900CEC">
        <w:rPr>
          <w:rFonts w:ascii="Times New Roman" w:hAnsi="Times New Roman" w:cs="Times New Roman"/>
          <w:szCs w:val="22"/>
          <w:lang w:val="lt-LT"/>
        </w:rPr>
        <w:t xml:space="preserve"> metabolizmą ir atvirkščiai, o tai gali padidinti abiejų toksinį poveikį.</w:t>
      </w:r>
    </w:p>
    <w:p w14:paraId="38BA36BF" w14:textId="77777777" w:rsidR="00F51FBD" w:rsidRPr="00900CEC" w:rsidRDefault="00F51FBD" w:rsidP="00F51FBD">
      <w:pPr>
        <w:pStyle w:val="Sraassuenkleliais"/>
        <w:numPr>
          <w:ilvl w:val="0"/>
          <w:numId w:val="28"/>
        </w:numPr>
        <w:ind w:left="709" w:hanging="283"/>
        <w:rPr>
          <w:rFonts w:ascii="Times New Roman" w:hAnsi="Times New Roman" w:cs="Times New Roman"/>
          <w:szCs w:val="22"/>
          <w:lang w:val="lt-LT"/>
        </w:rPr>
      </w:pPr>
      <w:r w:rsidRPr="00900CEC">
        <w:rPr>
          <w:rFonts w:ascii="Times New Roman" w:hAnsi="Times New Roman" w:cs="Times New Roman"/>
          <w:szCs w:val="22"/>
          <w:lang w:val="lt-LT"/>
        </w:rPr>
        <w:t xml:space="preserve">Antikoaguliantai (varfarinas) – dozę gali reikėti sumažinti, jei </w:t>
      </w:r>
      <w:proofErr w:type="spellStart"/>
      <w:r w:rsidRPr="00900CEC">
        <w:rPr>
          <w:rFonts w:ascii="Times New Roman" w:hAnsi="Times New Roman" w:cs="Times New Roman"/>
          <w:szCs w:val="22"/>
          <w:lang w:val="lt-LT"/>
        </w:rPr>
        <w:t>paracetamolis</w:t>
      </w:r>
      <w:proofErr w:type="spellEnd"/>
      <w:r w:rsidRPr="00900CEC">
        <w:rPr>
          <w:rFonts w:ascii="Times New Roman" w:hAnsi="Times New Roman" w:cs="Times New Roman"/>
          <w:szCs w:val="22"/>
          <w:lang w:val="lt-LT"/>
        </w:rPr>
        <w:t xml:space="preserve"> ir antikoaguliantai vartojami ilgą laiką.</w:t>
      </w:r>
    </w:p>
    <w:p w14:paraId="5AD30265" w14:textId="77777777" w:rsidR="00F51FBD" w:rsidRPr="00900CEC" w:rsidRDefault="00F51FBD" w:rsidP="00F51FBD">
      <w:pPr>
        <w:pStyle w:val="Sraassuenkleliais"/>
        <w:numPr>
          <w:ilvl w:val="0"/>
          <w:numId w:val="28"/>
        </w:numPr>
        <w:ind w:left="709" w:hanging="283"/>
        <w:rPr>
          <w:rFonts w:ascii="Times New Roman" w:hAnsi="Times New Roman" w:cs="Times New Roman"/>
          <w:szCs w:val="22"/>
          <w:lang w:val="lt-LT"/>
        </w:rPr>
      </w:pPr>
      <w:r w:rsidRPr="00900CEC">
        <w:rPr>
          <w:rFonts w:ascii="Times New Roman" w:hAnsi="Times New Roman" w:cs="Times New Roman"/>
          <w:szCs w:val="22"/>
          <w:lang w:val="lt-LT"/>
        </w:rPr>
        <w:t xml:space="preserve">Pacientams, gydomiems terapinėmis paracetamolio dozėmis arba esant vidutinio sunkumo perdozavimui ir kartu vartojantiems vien </w:t>
      </w:r>
      <w:proofErr w:type="spellStart"/>
      <w:r w:rsidRPr="00900CEC">
        <w:rPr>
          <w:rFonts w:ascii="Times New Roman" w:hAnsi="Times New Roman" w:cs="Times New Roman"/>
          <w:szCs w:val="22"/>
          <w:lang w:val="lt-LT"/>
        </w:rPr>
        <w:t>izoniazidą</w:t>
      </w:r>
      <w:proofErr w:type="spellEnd"/>
      <w:r w:rsidRPr="00900CEC">
        <w:rPr>
          <w:rFonts w:ascii="Times New Roman" w:hAnsi="Times New Roman" w:cs="Times New Roman"/>
          <w:szCs w:val="22"/>
          <w:lang w:val="lt-LT"/>
        </w:rPr>
        <w:t xml:space="preserve"> ar kitus vaistinius preparatus nuo </w:t>
      </w:r>
      <w:r w:rsidRPr="00900CEC">
        <w:rPr>
          <w:rFonts w:ascii="Times New Roman" w:hAnsi="Times New Roman" w:cs="Times New Roman"/>
          <w:szCs w:val="22"/>
          <w:lang w:val="lt-LT"/>
        </w:rPr>
        <w:lastRenderedPageBreak/>
        <w:t>tuberkuliozės, nustatyta sunkaus toksinio poveikis kepenims atvejų.</w:t>
      </w:r>
    </w:p>
    <w:p w14:paraId="6C0FC1B1" w14:textId="77777777" w:rsidR="00F51FBD" w:rsidRPr="00900CEC" w:rsidRDefault="00F51FBD" w:rsidP="00F51FBD">
      <w:pPr>
        <w:pStyle w:val="Sraassuenkleliais"/>
        <w:numPr>
          <w:ilvl w:val="0"/>
          <w:numId w:val="28"/>
        </w:numPr>
        <w:ind w:left="709" w:hanging="283"/>
        <w:rPr>
          <w:rFonts w:ascii="Times New Roman" w:hAnsi="Times New Roman" w:cs="Times New Roman"/>
          <w:szCs w:val="22"/>
          <w:lang w:val="lt-LT"/>
        </w:rPr>
      </w:pPr>
      <w:proofErr w:type="spellStart"/>
      <w:r w:rsidRPr="00900CEC">
        <w:rPr>
          <w:rFonts w:ascii="Times New Roman" w:hAnsi="Times New Roman" w:cs="Times New Roman"/>
          <w:szCs w:val="22"/>
          <w:lang w:val="lt-LT"/>
        </w:rPr>
        <w:t>Paracetamolis</w:t>
      </w:r>
      <w:proofErr w:type="spellEnd"/>
      <w:r w:rsidRPr="00900CEC">
        <w:rPr>
          <w:rFonts w:ascii="Times New Roman" w:hAnsi="Times New Roman" w:cs="Times New Roman"/>
          <w:szCs w:val="22"/>
          <w:lang w:val="lt-LT"/>
        </w:rPr>
        <w:t xml:space="preserve"> gali paveikti </w:t>
      </w:r>
      <w:proofErr w:type="spellStart"/>
      <w:r w:rsidRPr="00900CEC">
        <w:rPr>
          <w:rFonts w:ascii="Times New Roman" w:hAnsi="Times New Roman" w:cs="Times New Roman"/>
          <w:szCs w:val="22"/>
          <w:lang w:val="lt-LT"/>
        </w:rPr>
        <w:t>chloramfenikolio</w:t>
      </w:r>
      <w:proofErr w:type="spellEnd"/>
      <w:r w:rsidRPr="00900CEC">
        <w:rPr>
          <w:rFonts w:ascii="Times New Roman" w:hAnsi="Times New Roman" w:cs="Times New Roman"/>
          <w:szCs w:val="22"/>
          <w:lang w:val="lt-LT"/>
        </w:rPr>
        <w:t xml:space="preserve"> farmakokinetiką. Derinant </w:t>
      </w:r>
      <w:proofErr w:type="spellStart"/>
      <w:r w:rsidRPr="00900CEC">
        <w:rPr>
          <w:rFonts w:ascii="Times New Roman" w:hAnsi="Times New Roman" w:cs="Times New Roman"/>
          <w:szCs w:val="22"/>
          <w:lang w:val="lt-LT"/>
        </w:rPr>
        <w:t>paracetamolį</w:t>
      </w:r>
      <w:proofErr w:type="spellEnd"/>
      <w:r w:rsidRPr="00900CEC">
        <w:rPr>
          <w:rFonts w:ascii="Times New Roman" w:hAnsi="Times New Roman" w:cs="Times New Roman"/>
          <w:szCs w:val="22"/>
          <w:lang w:val="lt-LT"/>
        </w:rPr>
        <w:t xml:space="preserve"> su </w:t>
      </w:r>
      <w:proofErr w:type="spellStart"/>
      <w:r w:rsidRPr="00900CEC">
        <w:rPr>
          <w:rFonts w:ascii="Times New Roman" w:hAnsi="Times New Roman" w:cs="Times New Roman"/>
          <w:szCs w:val="22"/>
          <w:lang w:val="lt-LT"/>
        </w:rPr>
        <w:t>chloramfenikolio</w:t>
      </w:r>
      <w:proofErr w:type="spellEnd"/>
      <w:r w:rsidRPr="00900CEC">
        <w:rPr>
          <w:rFonts w:ascii="Times New Roman" w:hAnsi="Times New Roman" w:cs="Times New Roman"/>
          <w:szCs w:val="22"/>
          <w:lang w:val="lt-LT"/>
        </w:rPr>
        <w:t xml:space="preserve"> injekcijomis, rekomenduojama stebėti </w:t>
      </w:r>
      <w:proofErr w:type="spellStart"/>
      <w:r w:rsidRPr="00900CEC">
        <w:rPr>
          <w:rFonts w:ascii="Times New Roman" w:hAnsi="Times New Roman" w:cs="Times New Roman"/>
          <w:szCs w:val="22"/>
          <w:lang w:val="lt-LT"/>
        </w:rPr>
        <w:t>chloramfenikolio</w:t>
      </w:r>
      <w:proofErr w:type="spellEnd"/>
      <w:r w:rsidRPr="00900CEC">
        <w:rPr>
          <w:rFonts w:ascii="Times New Roman" w:hAnsi="Times New Roman" w:cs="Times New Roman"/>
          <w:szCs w:val="22"/>
          <w:lang w:val="lt-LT"/>
        </w:rPr>
        <w:t xml:space="preserve"> koncentraciją plazmoje.</w:t>
      </w:r>
    </w:p>
    <w:p w14:paraId="33869DCF" w14:textId="1AB084F8" w:rsidR="00F51FBD" w:rsidRDefault="00F51FBD" w:rsidP="00F51FBD">
      <w:pPr>
        <w:pStyle w:val="Sraassuenkleliais"/>
        <w:numPr>
          <w:ilvl w:val="0"/>
          <w:numId w:val="28"/>
        </w:numPr>
        <w:ind w:left="709" w:hanging="283"/>
        <w:rPr>
          <w:rFonts w:ascii="Times New Roman" w:hAnsi="Times New Roman" w:cs="Times New Roman"/>
          <w:szCs w:val="22"/>
          <w:lang w:val="lt-LT"/>
        </w:rPr>
      </w:pPr>
      <w:r w:rsidRPr="00900CEC">
        <w:rPr>
          <w:rFonts w:ascii="Times New Roman" w:hAnsi="Times New Roman" w:cs="Times New Roman"/>
          <w:szCs w:val="22"/>
          <w:lang w:val="lt-LT"/>
        </w:rPr>
        <w:t xml:space="preserve">Etilo alkoholis stiprina paracetamolio toksinį poveikį, galimai paskatindamas iš </w:t>
      </w:r>
      <w:proofErr w:type="spellStart"/>
      <w:r w:rsidRPr="00900CEC">
        <w:rPr>
          <w:rFonts w:ascii="Times New Roman" w:hAnsi="Times New Roman" w:cs="Times New Roman"/>
          <w:szCs w:val="22"/>
          <w:lang w:val="lt-LT"/>
        </w:rPr>
        <w:t>paracetamolio</w:t>
      </w:r>
      <w:proofErr w:type="spellEnd"/>
      <w:r w:rsidRPr="00900CEC">
        <w:rPr>
          <w:rFonts w:ascii="Times New Roman" w:hAnsi="Times New Roman" w:cs="Times New Roman"/>
          <w:szCs w:val="22"/>
          <w:lang w:val="lt-LT"/>
        </w:rPr>
        <w:t xml:space="preserve"> susidarančių </w:t>
      </w:r>
      <w:proofErr w:type="spellStart"/>
      <w:r w:rsidRPr="00900CEC">
        <w:rPr>
          <w:rFonts w:ascii="Times New Roman" w:hAnsi="Times New Roman" w:cs="Times New Roman"/>
          <w:szCs w:val="22"/>
          <w:lang w:val="lt-LT"/>
        </w:rPr>
        <w:t>hepatotoksinių</w:t>
      </w:r>
      <w:proofErr w:type="spellEnd"/>
      <w:r w:rsidRPr="00900CEC">
        <w:rPr>
          <w:rFonts w:ascii="Times New Roman" w:hAnsi="Times New Roman" w:cs="Times New Roman"/>
          <w:szCs w:val="22"/>
          <w:lang w:val="lt-LT"/>
        </w:rPr>
        <w:t xml:space="preserve"> medžiagų gamybą kepenyse</w:t>
      </w:r>
      <w:r w:rsidR="00FA300F">
        <w:rPr>
          <w:rFonts w:ascii="Times New Roman" w:hAnsi="Times New Roman" w:cs="Times New Roman"/>
          <w:szCs w:val="22"/>
          <w:lang w:val="lt-LT"/>
        </w:rPr>
        <w:t>.</w:t>
      </w:r>
    </w:p>
    <w:p w14:paraId="4E60E770" w14:textId="7D3E5631" w:rsidR="00F51FBD" w:rsidRPr="00900CEC" w:rsidRDefault="00F51FBD" w:rsidP="00F51FBD">
      <w:pPr>
        <w:pStyle w:val="Sraassuenkleliais"/>
        <w:numPr>
          <w:ilvl w:val="0"/>
          <w:numId w:val="28"/>
        </w:numPr>
        <w:ind w:left="709" w:hanging="284"/>
        <w:rPr>
          <w:rFonts w:ascii="Times New Roman" w:hAnsi="Times New Roman" w:cs="Times New Roman"/>
          <w:szCs w:val="22"/>
          <w:lang w:val="lt-LT"/>
        </w:rPr>
      </w:pPr>
      <w:r w:rsidRPr="009F333B">
        <w:rPr>
          <w:rFonts w:ascii="Times New Roman" w:hAnsi="Times New Roman" w:cs="Times New Roman"/>
          <w:szCs w:val="22"/>
          <w:lang w:val="lt-LT"/>
        </w:rPr>
        <w:t xml:space="preserve">Reikia laikytis atsargumo paracetamolį vartojant kartu su </w:t>
      </w:r>
      <w:proofErr w:type="spellStart"/>
      <w:r w:rsidRPr="009F333B">
        <w:rPr>
          <w:rFonts w:ascii="Times New Roman" w:hAnsi="Times New Roman" w:cs="Times New Roman"/>
          <w:szCs w:val="22"/>
          <w:lang w:val="lt-LT"/>
        </w:rPr>
        <w:t>flukloksacilinu</w:t>
      </w:r>
      <w:proofErr w:type="spellEnd"/>
      <w:r w:rsidRPr="009F333B">
        <w:rPr>
          <w:rFonts w:ascii="Times New Roman" w:hAnsi="Times New Roman" w:cs="Times New Roman"/>
          <w:szCs w:val="22"/>
          <w:lang w:val="lt-LT"/>
        </w:rPr>
        <w:t xml:space="preserve">, kadangi šių vaistinių preparatų vartojimas kartu buvo siejamas su </w:t>
      </w:r>
      <w:proofErr w:type="spellStart"/>
      <w:r w:rsidRPr="009F333B">
        <w:rPr>
          <w:rFonts w:ascii="Times New Roman" w:hAnsi="Times New Roman" w:cs="Times New Roman"/>
          <w:szCs w:val="22"/>
          <w:lang w:val="lt-LT"/>
        </w:rPr>
        <w:t>metabolinės</w:t>
      </w:r>
      <w:proofErr w:type="spellEnd"/>
      <w:r w:rsidRPr="009F333B">
        <w:rPr>
          <w:rFonts w:ascii="Times New Roman" w:hAnsi="Times New Roman" w:cs="Times New Roman"/>
          <w:szCs w:val="22"/>
          <w:lang w:val="lt-LT"/>
        </w:rPr>
        <w:t xml:space="preserve"> </w:t>
      </w:r>
      <w:proofErr w:type="spellStart"/>
      <w:r w:rsidRPr="009F333B">
        <w:rPr>
          <w:rFonts w:ascii="Times New Roman" w:hAnsi="Times New Roman" w:cs="Times New Roman"/>
          <w:szCs w:val="22"/>
          <w:lang w:val="lt-LT"/>
        </w:rPr>
        <w:t>acidozės</w:t>
      </w:r>
      <w:proofErr w:type="spellEnd"/>
      <w:r>
        <w:rPr>
          <w:rFonts w:ascii="Times New Roman" w:hAnsi="Times New Roman" w:cs="Times New Roman"/>
          <w:szCs w:val="22"/>
          <w:lang w:val="lt-LT"/>
        </w:rPr>
        <w:t xml:space="preserve">, dėl </w:t>
      </w:r>
      <w:proofErr w:type="spellStart"/>
      <w:r>
        <w:rPr>
          <w:rFonts w:ascii="Times New Roman" w:hAnsi="Times New Roman" w:cs="Times New Roman"/>
          <w:szCs w:val="22"/>
          <w:lang w:val="lt-LT"/>
        </w:rPr>
        <w:t>piroglutamato</w:t>
      </w:r>
      <w:proofErr w:type="spellEnd"/>
      <w:r>
        <w:rPr>
          <w:rFonts w:ascii="Times New Roman" w:hAnsi="Times New Roman" w:cs="Times New Roman"/>
          <w:szCs w:val="22"/>
          <w:lang w:val="lt-LT"/>
        </w:rPr>
        <w:t xml:space="preserve"> acidozės,</w:t>
      </w:r>
      <w:r w:rsidRPr="009F333B">
        <w:rPr>
          <w:rFonts w:ascii="Times New Roman" w:hAnsi="Times New Roman" w:cs="Times New Roman"/>
          <w:szCs w:val="22"/>
          <w:lang w:val="lt-LT"/>
        </w:rPr>
        <w:t xml:space="preserve"> esant padidėjusiam anijoniniam tarpui pasireiškimu, ypač pacientams, kuriems yra rizikos veiksnių (žr. 4.4</w:t>
      </w:r>
      <w:r w:rsidR="00FA300F">
        <w:rPr>
          <w:rFonts w:ascii="Times New Roman" w:hAnsi="Times New Roman" w:cs="Times New Roman"/>
          <w:szCs w:val="22"/>
          <w:lang w:val="lt-LT"/>
        </w:rPr>
        <w:t> </w:t>
      </w:r>
      <w:r w:rsidRPr="009F333B">
        <w:rPr>
          <w:rFonts w:ascii="Times New Roman" w:hAnsi="Times New Roman" w:cs="Times New Roman"/>
          <w:szCs w:val="22"/>
          <w:lang w:val="lt-LT"/>
        </w:rPr>
        <w:t>skyrių).</w:t>
      </w:r>
    </w:p>
    <w:p w14:paraId="769B9A56" w14:textId="77777777" w:rsidR="00F51FBD" w:rsidRPr="00900CEC" w:rsidRDefault="00F51FBD" w:rsidP="00F51FBD">
      <w:pPr>
        <w:spacing w:line="240" w:lineRule="auto"/>
        <w:rPr>
          <w:szCs w:val="22"/>
          <w:u w:val="single"/>
          <w:lang w:val="lt-LT"/>
        </w:rPr>
      </w:pPr>
    </w:p>
    <w:p w14:paraId="4A7CCF9A" w14:textId="77777777" w:rsidR="00F51FBD" w:rsidRPr="00900CEC" w:rsidRDefault="00F51FBD" w:rsidP="00F51FBD">
      <w:pPr>
        <w:spacing w:line="240" w:lineRule="auto"/>
        <w:rPr>
          <w:szCs w:val="22"/>
          <w:u w:val="single"/>
          <w:lang w:val="lt-LT"/>
        </w:rPr>
      </w:pPr>
      <w:r w:rsidRPr="00900CEC">
        <w:rPr>
          <w:szCs w:val="22"/>
          <w:u w:val="single"/>
          <w:lang w:val="lt-LT"/>
        </w:rPr>
        <w:t>Poveikis laboratorinių tyrimų duomenims</w:t>
      </w:r>
    </w:p>
    <w:p w14:paraId="31351240" w14:textId="77777777" w:rsidR="00F51FBD" w:rsidRPr="00900CEC" w:rsidRDefault="00F51FBD" w:rsidP="00F51FBD">
      <w:pPr>
        <w:spacing w:line="240" w:lineRule="auto"/>
        <w:rPr>
          <w:szCs w:val="22"/>
          <w:lang w:val="lt-LT"/>
        </w:rPr>
      </w:pPr>
      <w:r w:rsidRPr="00900CEC">
        <w:rPr>
          <w:szCs w:val="22"/>
          <w:lang w:val="lt-LT"/>
        </w:rPr>
        <w:t xml:space="preserve">Paracetamolis gali iškreipti šlapimo rūgšties koncentracijos serume naudojant </w:t>
      </w:r>
      <w:proofErr w:type="spellStart"/>
      <w:r w:rsidRPr="00900CEC">
        <w:rPr>
          <w:szCs w:val="22"/>
          <w:lang w:val="lt-LT"/>
        </w:rPr>
        <w:t>fosfotungsto</w:t>
      </w:r>
      <w:proofErr w:type="spellEnd"/>
      <w:r w:rsidRPr="00900CEC">
        <w:rPr>
          <w:szCs w:val="22"/>
          <w:lang w:val="lt-LT"/>
        </w:rPr>
        <w:t xml:space="preserve"> rūgštį ir gliukozės koncentracijos kraujyje naudojant gliukozės </w:t>
      </w:r>
      <w:proofErr w:type="spellStart"/>
      <w:r w:rsidRPr="00900CEC">
        <w:rPr>
          <w:szCs w:val="22"/>
          <w:lang w:val="lt-LT"/>
        </w:rPr>
        <w:t>oksidazės-peroksidazės</w:t>
      </w:r>
      <w:proofErr w:type="spellEnd"/>
      <w:r w:rsidRPr="00900CEC">
        <w:rPr>
          <w:szCs w:val="22"/>
          <w:lang w:val="lt-LT"/>
        </w:rPr>
        <w:t xml:space="preserve"> reakciją laboratorinių tyrimų duomenis.</w:t>
      </w:r>
    </w:p>
    <w:p w14:paraId="5C09E9C7" w14:textId="77777777" w:rsidR="00F51FBD" w:rsidRPr="00900CEC" w:rsidRDefault="00F51FBD" w:rsidP="00F51FBD">
      <w:pPr>
        <w:spacing w:line="240" w:lineRule="auto"/>
        <w:rPr>
          <w:szCs w:val="22"/>
          <w:lang w:val="lt-LT"/>
        </w:rPr>
      </w:pPr>
    </w:p>
    <w:p w14:paraId="035A70E8" w14:textId="77777777" w:rsidR="00F51FBD" w:rsidRPr="00900CEC" w:rsidRDefault="00F51FBD" w:rsidP="00F51FBD">
      <w:pPr>
        <w:autoSpaceDE w:val="0"/>
        <w:autoSpaceDN w:val="0"/>
        <w:adjustRightInd w:val="0"/>
        <w:spacing w:line="240" w:lineRule="auto"/>
        <w:rPr>
          <w:szCs w:val="22"/>
          <w:u w:val="single"/>
          <w:lang w:val="lt-LT" w:eastAsia="sl-SI"/>
        </w:rPr>
      </w:pPr>
      <w:r w:rsidRPr="00900CEC">
        <w:rPr>
          <w:szCs w:val="22"/>
          <w:u w:val="single"/>
          <w:lang w:val="lt-LT" w:eastAsia="sl-SI"/>
        </w:rPr>
        <w:t>Vaikų populiacija</w:t>
      </w:r>
    </w:p>
    <w:p w14:paraId="3FAA2031" w14:textId="77777777" w:rsidR="00F51FBD" w:rsidRPr="00900CEC" w:rsidRDefault="00F51FBD" w:rsidP="00F51FBD">
      <w:pPr>
        <w:autoSpaceDE w:val="0"/>
        <w:autoSpaceDN w:val="0"/>
        <w:adjustRightInd w:val="0"/>
        <w:spacing w:line="240" w:lineRule="auto"/>
        <w:rPr>
          <w:szCs w:val="22"/>
          <w:lang w:val="lt-LT" w:eastAsia="sl-SI"/>
        </w:rPr>
      </w:pPr>
      <w:r w:rsidRPr="00900CEC">
        <w:rPr>
          <w:szCs w:val="22"/>
          <w:lang w:val="lt-LT" w:eastAsia="sl-SI"/>
        </w:rPr>
        <w:t xml:space="preserve">Sąveikos tyrimai atlikti tik suaugusiesiems. </w:t>
      </w:r>
    </w:p>
    <w:p w14:paraId="7CA1BC35" w14:textId="77777777" w:rsidR="00F51FBD" w:rsidRPr="00900CEC" w:rsidRDefault="00F51FBD" w:rsidP="00F51FBD">
      <w:pPr>
        <w:autoSpaceDE w:val="0"/>
        <w:autoSpaceDN w:val="0"/>
        <w:adjustRightInd w:val="0"/>
        <w:spacing w:line="240" w:lineRule="auto"/>
        <w:rPr>
          <w:szCs w:val="22"/>
          <w:lang w:val="lt-LT" w:eastAsia="sl-SI"/>
        </w:rPr>
      </w:pPr>
    </w:p>
    <w:p w14:paraId="63BE373C" w14:textId="77777777" w:rsidR="00F51FBD" w:rsidRPr="00900CEC" w:rsidRDefault="00F51FBD" w:rsidP="00F51FBD">
      <w:pPr>
        <w:pStyle w:val="Antrat4"/>
        <w:keepNext w:val="0"/>
        <w:widowControl w:val="0"/>
        <w:spacing w:line="240" w:lineRule="auto"/>
        <w:jc w:val="left"/>
        <w:rPr>
          <w:rFonts w:ascii="Times New Roman" w:hAnsi="Times New Roman"/>
          <w:sz w:val="22"/>
          <w:szCs w:val="22"/>
          <w:lang w:val="lt-LT"/>
        </w:rPr>
      </w:pPr>
      <w:r w:rsidRPr="00900CEC">
        <w:rPr>
          <w:rFonts w:ascii="Times New Roman" w:hAnsi="Times New Roman"/>
          <w:sz w:val="22"/>
          <w:szCs w:val="22"/>
          <w:lang w:val="lt-LT"/>
        </w:rPr>
        <w:t>4.6</w:t>
      </w:r>
      <w:r w:rsidRPr="00900CEC">
        <w:rPr>
          <w:rFonts w:ascii="Times New Roman" w:hAnsi="Times New Roman"/>
          <w:sz w:val="22"/>
          <w:szCs w:val="22"/>
          <w:lang w:val="lt-LT"/>
        </w:rPr>
        <w:tab/>
        <w:t>Vaisingumas, nėštumo ir žindymo laikotarpis</w:t>
      </w:r>
    </w:p>
    <w:p w14:paraId="1359EDEA" w14:textId="77777777" w:rsidR="00F51FBD" w:rsidRPr="00900CEC" w:rsidRDefault="00F51FBD" w:rsidP="00F51FBD">
      <w:pPr>
        <w:widowControl w:val="0"/>
        <w:spacing w:line="240" w:lineRule="auto"/>
        <w:rPr>
          <w:szCs w:val="22"/>
          <w:lang w:val="lt-LT"/>
        </w:rPr>
      </w:pPr>
    </w:p>
    <w:p w14:paraId="7C08D9CF" w14:textId="77777777" w:rsidR="00F51FBD" w:rsidRPr="00900CEC" w:rsidRDefault="00F51FBD" w:rsidP="00F51FBD">
      <w:pPr>
        <w:pStyle w:val="Antrat3"/>
        <w:keepNext w:val="0"/>
        <w:keepLines w:val="0"/>
        <w:widowControl w:val="0"/>
        <w:spacing w:before="0" w:after="0" w:line="240" w:lineRule="auto"/>
        <w:rPr>
          <w:rFonts w:ascii="Times New Roman" w:hAnsi="Times New Roman"/>
          <w:b w:val="0"/>
          <w:sz w:val="22"/>
          <w:szCs w:val="22"/>
          <w:u w:val="single"/>
          <w:lang w:val="lt-LT"/>
        </w:rPr>
      </w:pPr>
      <w:r w:rsidRPr="00900CEC">
        <w:rPr>
          <w:rFonts w:ascii="Times New Roman" w:hAnsi="Times New Roman"/>
          <w:b w:val="0"/>
          <w:sz w:val="22"/>
          <w:szCs w:val="22"/>
          <w:u w:val="single"/>
          <w:lang w:val="lt-LT"/>
        </w:rPr>
        <w:t>Nėštumas</w:t>
      </w:r>
    </w:p>
    <w:p w14:paraId="7A98D60D" w14:textId="5B7D8DE9" w:rsidR="00F51FBD" w:rsidRPr="00900CEC" w:rsidRDefault="00F51FBD" w:rsidP="00F51FBD">
      <w:pPr>
        <w:widowControl w:val="0"/>
        <w:spacing w:line="240" w:lineRule="auto"/>
        <w:rPr>
          <w:i/>
          <w:szCs w:val="22"/>
          <w:lang w:val="lt-LT"/>
        </w:rPr>
      </w:pPr>
      <w:r w:rsidRPr="00900CEC">
        <w:rPr>
          <w:szCs w:val="22"/>
          <w:lang w:val="lt-LT"/>
        </w:rPr>
        <w:t xml:space="preserve">Šio vaistinio preparato vartojimo nėštumo laikotarpiu patirties nėra. Dėl sudėtyje esančio </w:t>
      </w:r>
      <w:proofErr w:type="spellStart"/>
      <w:r w:rsidRPr="00900CEC">
        <w:rPr>
          <w:szCs w:val="22"/>
          <w:lang w:val="lt-LT"/>
        </w:rPr>
        <w:t>ibuprofeno</w:t>
      </w:r>
      <w:proofErr w:type="spellEnd"/>
      <w:r w:rsidRPr="00900CEC">
        <w:rPr>
          <w:szCs w:val="22"/>
          <w:lang w:val="lt-LT"/>
        </w:rPr>
        <w:t xml:space="preserve"> </w:t>
      </w:r>
      <w:proofErr w:type="spellStart"/>
      <w:r w:rsidR="006A24B2">
        <w:rPr>
          <w:lang w:val="lt-LT"/>
        </w:rPr>
        <w:t>Paracetamol</w:t>
      </w:r>
      <w:proofErr w:type="spellEnd"/>
      <w:r w:rsidR="006A24B2">
        <w:rPr>
          <w:lang w:val="lt-LT"/>
        </w:rPr>
        <w:t>/</w:t>
      </w:r>
      <w:proofErr w:type="spellStart"/>
      <w:r w:rsidR="006A24B2">
        <w:rPr>
          <w:lang w:val="lt-LT"/>
        </w:rPr>
        <w:t>Ibuprofen</w:t>
      </w:r>
      <w:proofErr w:type="spellEnd"/>
      <w:r w:rsidR="006A24B2">
        <w:rPr>
          <w:lang w:val="lt-LT"/>
        </w:rPr>
        <w:t xml:space="preserve"> AFT </w:t>
      </w:r>
      <w:proofErr w:type="spellStart"/>
      <w:r w:rsidR="006A24B2">
        <w:rPr>
          <w:lang w:val="lt-LT"/>
        </w:rPr>
        <w:t>Pharmaceuticals</w:t>
      </w:r>
      <w:proofErr w:type="spellEnd"/>
      <w:r>
        <w:rPr>
          <w:lang w:val="lt-LT"/>
        </w:rPr>
        <w:t xml:space="preserve"> </w:t>
      </w:r>
      <w:r w:rsidRPr="00900CEC">
        <w:rPr>
          <w:szCs w:val="22"/>
          <w:lang w:val="lt-LT"/>
        </w:rPr>
        <w:t xml:space="preserve">negalima vartoti trečiąjį nėštumo trimestrą (žr. </w:t>
      </w:r>
      <w:r>
        <w:rPr>
          <w:szCs w:val="22"/>
          <w:lang w:val="lt-LT"/>
        </w:rPr>
        <w:t>toliau</w:t>
      </w:r>
      <w:r w:rsidRPr="00900CEC">
        <w:rPr>
          <w:szCs w:val="22"/>
          <w:lang w:val="lt-LT"/>
        </w:rPr>
        <w:t>).</w:t>
      </w:r>
    </w:p>
    <w:p w14:paraId="5458BAAA" w14:textId="77777777" w:rsidR="00F51FBD" w:rsidRPr="00900CEC" w:rsidRDefault="00F51FBD" w:rsidP="00F51FBD">
      <w:pPr>
        <w:widowControl w:val="0"/>
        <w:spacing w:line="240" w:lineRule="auto"/>
        <w:rPr>
          <w:i/>
          <w:szCs w:val="22"/>
          <w:lang w:val="lt-LT"/>
        </w:rPr>
      </w:pPr>
    </w:p>
    <w:p w14:paraId="6AFDF508" w14:textId="77777777" w:rsidR="00F51FBD" w:rsidRPr="00900CEC" w:rsidRDefault="00F51FBD" w:rsidP="00F51FBD">
      <w:pPr>
        <w:keepNext/>
        <w:widowControl w:val="0"/>
        <w:spacing w:line="240" w:lineRule="auto"/>
        <w:rPr>
          <w:i/>
          <w:szCs w:val="22"/>
          <w:lang w:val="lt-LT"/>
        </w:rPr>
      </w:pPr>
      <w:r w:rsidRPr="00900CEC">
        <w:rPr>
          <w:i/>
          <w:szCs w:val="22"/>
          <w:lang w:val="lt-LT"/>
        </w:rPr>
        <w:t>Ibuprofenas</w:t>
      </w:r>
    </w:p>
    <w:p w14:paraId="2BAE159D" w14:textId="213EF21B" w:rsidR="00F51FBD" w:rsidRPr="00900CEC" w:rsidRDefault="00F51FBD" w:rsidP="00F51FBD">
      <w:pPr>
        <w:keepNext/>
        <w:spacing w:line="240" w:lineRule="auto"/>
        <w:rPr>
          <w:szCs w:val="22"/>
          <w:lang w:val="lt-LT"/>
        </w:rPr>
      </w:pPr>
      <w:r w:rsidRPr="00900CEC">
        <w:rPr>
          <w:szCs w:val="22"/>
          <w:lang w:val="lt-LT"/>
        </w:rPr>
        <w:t xml:space="preserve">Prostaglandinų sintezės slopinimas gali būti kenksmingas nėštumui ir (arba) embriono ar vaisiaus vystymuisi. Epidemiologinių tyrimų duomenimis, nėštumo pradžioje vartojami prostaglandinų sintezės inhibitoriai didina persileidimo, širdies apsigimimų ir </w:t>
      </w:r>
      <w:proofErr w:type="spellStart"/>
      <w:r w:rsidRPr="00900CEC">
        <w:rPr>
          <w:szCs w:val="22"/>
          <w:lang w:val="lt-LT"/>
        </w:rPr>
        <w:t>gastrošizės</w:t>
      </w:r>
      <w:proofErr w:type="spellEnd"/>
      <w:r w:rsidRPr="00900CEC">
        <w:rPr>
          <w:szCs w:val="22"/>
          <w:lang w:val="lt-LT"/>
        </w:rPr>
        <w:t xml:space="preserve"> riziką. Absoliuti kardiovaskulinių sklaidos anomalijų rizika padidėja nuo mažiau kaip 1 % iki maždaug 1,5 %. Manoma, kad ši rizika didėja didinant dozę ir ilginant vartojimo trukmę. Nustatyta, kad prostaglandinų sintezės inhibitoriai sukelia embrionų žuvimų iki implantacijos ir po jos bei embrionų ir vaisių žuvimų padažnėjimą gyvūnams. </w:t>
      </w:r>
      <w:proofErr w:type="spellStart"/>
      <w:r w:rsidRPr="00900CEC">
        <w:rPr>
          <w:szCs w:val="22"/>
          <w:lang w:val="lt-LT"/>
        </w:rPr>
        <w:t>Organogenezės</w:t>
      </w:r>
      <w:proofErr w:type="spellEnd"/>
      <w:r w:rsidRPr="00900CEC">
        <w:rPr>
          <w:szCs w:val="22"/>
          <w:lang w:val="lt-LT"/>
        </w:rPr>
        <w:t xml:space="preserve"> laikotarpiu gyvūnams duoti prostaglandinų sintezės inhibitoriai sukėlė įvairių apsigimimų, įskaitant kardiovaskulinius</w:t>
      </w:r>
      <w:r w:rsidRPr="007A4CC6">
        <w:rPr>
          <w:szCs w:val="22"/>
          <w:lang w:val="lt-LT"/>
        </w:rPr>
        <w:t xml:space="preserve">. Nuo 20-osios nėštumo savaitės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Pr="007A4CC6">
        <w:rPr>
          <w:szCs w:val="22"/>
          <w:lang w:val="lt-LT"/>
        </w:rPr>
        <w:t xml:space="preserve"> vartojimas, dėl vaisiaus inkstų funkcijos sutrikimo, gali sukelti </w:t>
      </w:r>
      <w:proofErr w:type="spellStart"/>
      <w:r w:rsidRPr="007A4CC6">
        <w:rPr>
          <w:szCs w:val="22"/>
          <w:lang w:val="lt-LT"/>
        </w:rPr>
        <w:t>oligohidramnioną</w:t>
      </w:r>
      <w:proofErr w:type="spellEnd"/>
      <w:r w:rsidRPr="007A4CC6">
        <w:rPr>
          <w:szCs w:val="22"/>
          <w:lang w:val="lt-LT"/>
        </w:rPr>
        <w:t xml:space="preserve">. Tai gali pasireikšti netrukus po gydymo pradžios ir paprastai išnyksta nutraukus gydymą. Be to, po gydymo antrąjį trimestrą, buvo pranešimų apie arterinio latako susiaurėjimą, kuris praktiškai visiškai išnyko nutraukus gydymą. Todėl pirmą ir antrą nėštumo trimestrus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Pr="007A4CC6">
        <w:rPr>
          <w:szCs w:val="22"/>
          <w:lang w:val="lt-LT"/>
        </w:rPr>
        <w:t xml:space="preserve"> vartoti negalima, išskyrus neabejotinai būtinus atvejus. Jeigu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Pr="007A4CC6">
        <w:rPr>
          <w:szCs w:val="22"/>
          <w:lang w:val="lt-LT"/>
        </w:rPr>
        <w:t xml:space="preserve"> vartoja moteris, kuri mėgina pastoti, arba pirmą ar antrą nėštumo trimestrą, tai dozė turi būti kiek įmanoma mažesnė, o vartojimo trukmė – kiek įmanoma trumpesnė. Prieš gimdymą, pavartojus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Pr="007A4CC6">
        <w:rPr>
          <w:szCs w:val="22"/>
          <w:lang w:val="lt-LT"/>
        </w:rPr>
        <w:t xml:space="preserve">, keletą dienų nuo 20-osios nėštumo savaitės reikia stebėti, ar nėra </w:t>
      </w:r>
      <w:proofErr w:type="spellStart"/>
      <w:r w:rsidRPr="007A4CC6">
        <w:rPr>
          <w:szCs w:val="22"/>
          <w:lang w:val="lt-LT"/>
        </w:rPr>
        <w:t>oligohidramniono</w:t>
      </w:r>
      <w:proofErr w:type="spellEnd"/>
      <w:r w:rsidRPr="007A4CC6">
        <w:rPr>
          <w:szCs w:val="22"/>
          <w:lang w:val="lt-LT"/>
        </w:rPr>
        <w:t xml:space="preserve"> ir arterinio latako susiaurėjimo.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Pr="007A4CC6">
        <w:rPr>
          <w:szCs w:val="22"/>
          <w:lang w:val="lt-LT"/>
        </w:rPr>
        <w:t xml:space="preserve"> vartojimą reikia nutraukti, jei nustatomas </w:t>
      </w:r>
      <w:proofErr w:type="spellStart"/>
      <w:r w:rsidRPr="007A4CC6">
        <w:rPr>
          <w:szCs w:val="22"/>
          <w:lang w:val="lt-LT"/>
        </w:rPr>
        <w:t>oligohidramnionas</w:t>
      </w:r>
      <w:proofErr w:type="spellEnd"/>
      <w:r w:rsidRPr="007A4CC6">
        <w:rPr>
          <w:szCs w:val="22"/>
          <w:lang w:val="lt-LT"/>
        </w:rPr>
        <w:t xml:space="preserve"> arba arterinio latako susiaurėjimas.</w:t>
      </w:r>
    </w:p>
    <w:p w14:paraId="507FFC7B" w14:textId="77777777" w:rsidR="00F51FBD" w:rsidRPr="00900CEC" w:rsidRDefault="00F51FBD" w:rsidP="00F51FBD">
      <w:pPr>
        <w:spacing w:line="240" w:lineRule="auto"/>
        <w:rPr>
          <w:szCs w:val="22"/>
          <w:lang w:val="lt-LT"/>
        </w:rPr>
      </w:pPr>
    </w:p>
    <w:p w14:paraId="5905C95B" w14:textId="77777777" w:rsidR="00F51FBD" w:rsidRPr="007A4CC6" w:rsidRDefault="00F51FBD" w:rsidP="00F51FBD">
      <w:pPr>
        <w:spacing w:line="240" w:lineRule="auto"/>
        <w:rPr>
          <w:szCs w:val="22"/>
          <w:lang w:val="lt-LT"/>
        </w:rPr>
      </w:pPr>
      <w:r w:rsidRPr="007A4CC6">
        <w:rPr>
          <w:szCs w:val="22"/>
          <w:lang w:val="lt-LT"/>
        </w:rPr>
        <w:t>Visi prostaglandinų sintezės inhibitoriai, vartojami trečią nėštumo trimestrą, gali sukelti vaisiui:</w:t>
      </w:r>
    </w:p>
    <w:p w14:paraId="4E0A9D9F" w14:textId="77777777" w:rsidR="00F51FBD" w:rsidRPr="007A4CC6" w:rsidRDefault="00F51FBD" w:rsidP="00F51FBD">
      <w:pPr>
        <w:numPr>
          <w:ilvl w:val="0"/>
          <w:numId w:val="7"/>
        </w:numPr>
        <w:spacing w:line="240" w:lineRule="auto"/>
        <w:rPr>
          <w:bCs/>
          <w:szCs w:val="22"/>
          <w:lang w:val="lt-LT"/>
        </w:rPr>
      </w:pPr>
      <w:r w:rsidRPr="007A4CC6">
        <w:rPr>
          <w:bCs/>
          <w:szCs w:val="22"/>
          <w:lang w:val="lt-LT"/>
        </w:rPr>
        <w:t>toksinį poveikį širdžiai ir plaučiams (įskaitant priešlaikinį arterinio latako susiaurėjimą ar užsidarymą ir plaučių hipertenziją);</w:t>
      </w:r>
    </w:p>
    <w:p w14:paraId="084DB661" w14:textId="77777777" w:rsidR="00F51FBD" w:rsidRPr="007A4CC6" w:rsidRDefault="00F51FBD" w:rsidP="00F51FBD">
      <w:pPr>
        <w:numPr>
          <w:ilvl w:val="0"/>
          <w:numId w:val="7"/>
        </w:numPr>
        <w:spacing w:line="240" w:lineRule="auto"/>
        <w:rPr>
          <w:bCs/>
          <w:szCs w:val="22"/>
          <w:lang w:val="lt-LT"/>
        </w:rPr>
      </w:pPr>
      <w:r w:rsidRPr="007A4CC6">
        <w:rPr>
          <w:bCs/>
          <w:szCs w:val="22"/>
          <w:lang w:val="lt-LT"/>
        </w:rPr>
        <w:t>inkstų disfunkciją (žiūrėti anksčiau).</w:t>
      </w:r>
    </w:p>
    <w:p w14:paraId="285A6402" w14:textId="77777777" w:rsidR="00F51FBD" w:rsidRPr="00900CEC" w:rsidRDefault="00F51FBD" w:rsidP="00F51FBD">
      <w:pPr>
        <w:pStyle w:val="Sraassuenkleliais"/>
        <w:widowControl/>
        <w:tabs>
          <w:tab w:val="left" w:pos="363"/>
        </w:tabs>
        <w:rPr>
          <w:rFonts w:ascii="Times New Roman" w:hAnsi="Times New Roman" w:cs="Times New Roman"/>
          <w:szCs w:val="22"/>
          <w:lang w:val="lt-LT"/>
        </w:rPr>
      </w:pPr>
    </w:p>
    <w:p w14:paraId="2EBB601E" w14:textId="77777777" w:rsidR="00F51FBD" w:rsidRPr="00900CEC" w:rsidRDefault="00F51FBD" w:rsidP="00F51FBD">
      <w:pPr>
        <w:spacing w:line="240" w:lineRule="auto"/>
        <w:rPr>
          <w:szCs w:val="22"/>
          <w:lang w:val="lt-LT"/>
        </w:rPr>
      </w:pPr>
      <w:r w:rsidRPr="00900CEC">
        <w:rPr>
          <w:szCs w:val="22"/>
          <w:lang w:val="lt-LT"/>
        </w:rPr>
        <w:t>Visi prostaglandinų sintezės inhibitoriai, vartojami nėštumo pabaigoje, gali sukelti motinai ir naujagimiui:</w:t>
      </w:r>
    </w:p>
    <w:p w14:paraId="65632BFF" w14:textId="77777777" w:rsidR="00F51FBD" w:rsidRPr="00900CEC" w:rsidRDefault="00F51FBD" w:rsidP="00F51FBD">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900CEC">
        <w:rPr>
          <w:rFonts w:ascii="Times New Roman" w:hAnsi="Times New Roman" w:cs="Times New Roman"/>
          <w:szCs w:val="22"/>
          <w:lang w:val="lt-LT"/>
        </w:rPr>
        <w:t xml:space="preserve">kraujavimo trukmės pailgėjimą dėl trombocitų </w:t>
      </w:r>
      <w:proofErr w:type="spellStart"/>
      <w:r w:rsidRPr="00900CEC">
        <w:rPr>
          <w:rFonts w:ascii="Times New Roman" w:hAnsi="Times New Roman" w:cs="Times New Roman"/>
          <w:szCs w:val="22"/>
          <w:lang w:val="lt-LT"/>
        </w:rPr>
        <w:t>agregaciją</w:t>
      </w:r>
      <w:proofErr w:type="spellEnd"/>
      <w:r w:rsidRPr="00900CEC">
        <w:rPr>
          <w:rFonts w:ascii="Times New Roman" w:hAnsi="Times New Roman" w:cs="Times New Roman"/>
          <w:szCs w:val="22"/>
          <w:lang w:val="lt-LT"/>
        </w:rPr>
        <w:t xml:space="preserve"> slopinančio poveikio, kuris gali pasireikšti net nuo labai mažų dozių;</w:t>
      </w:r>
    </w:p>
    <w:p w14:paraId="289BD252" w14:textId="77777777" w:rsidR="00F51FBD" w:rsidRPr="00900CEC" w:rsidRDefault="00F51FBD" w:rsidP="00F51FBD">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900CEC">
        <w:rPr>
          <w:rFonts w:ascii="Times New Roman" w:hAnsi="Times New Roman" w:cs="Times New Roman"/>
          <w:szCs w:val="22"/>
          <w:lang w:val="lt-LT"/>
        </w:rPr>
        <w:t>gimdos susitraukimų susilpnėjimą, dėl kurio gimdymas gali prasidėti vėliau arba užsitęsti.</w:t>
      </w:r>
    </w:p>
    <w:p w14:paraId="7CE050DA" w14:textId="77777777" w:rsidR="00F51FBD" w:rsidRPr="00900CEC" w:rsidRDefault="00F51FBD" w:rsidP="00F51FBD">
      <w:pPr>
        <w:spacing w:line="240" w:lineRule="auto"/>
        <w:rPr>
          <w:szCs w:val="22"/>
          <w:lang w:val="lt-LT"/>
        </w:rPr>
      </w:pPr>
    </w:p>
    <w:p w14:paraId="448ABCD2" w14:textId="115D3C00" w:rsidR="00F51FBD" w:rsidRPr="00900CEC" w:rsidRDefault="00F51FBD" w:rsidP="00F51FBD">
      <w:pPr>
        <w:spacing w:line="240" w:lineRule="auto"/>
        <w:rPr>
          <w:szCs w:val="22"/>
          <w:lang w:val="lt-LT"/>
        </w:rPr>
      </w:pPr>
      <w:r w:rsidRPr="00900CEC">
        <w:rPr>
          <w:szCs w:val="22"/>
          <w:lang w:val="lt-LT"/>
        </w:rPr>
        <w:lastRenderedPageBreak/>
        <w:t xml:space="preserve">Dėl šių priežasčių trečią nėštumo trimestrą </w:t>
      </w:r>
      <w:proofErr w:type="spellStart"/>
      <w:r w:rsidR="006A24B2">
        <w:rPr>
          <w:lang w:val="lt-LT"/>
        </w:rPr>
        <w:t>Paracetamol</w:t>
      </w:r>
      <w:proofErr w:type="spellEnd"/>
      <w:r w:rsidR="006A24B2">
        <w:rPr>
          <w:lang w:val="lt-LT"/>
        </w:rPr>
        <w:t>/</w:t>
      </w:r>
      <w:proofErr w:type="spellStart"/>
      <w:r w:rsidR="006A24B2">
        <w:rPr>
          <w:lang w:val="lt-LT"/>
        </w:rPr>
        <w:t>Ibuprofen</w:t>
      </w:r>
      <w:proofErr w:type="spellEnd"/>
      <w:r w:rsidR="006A24B2">
        <w:rPr>
          <w:lang w:val="lt-LT"/>
        </w:rPr>
        <w:t xml:space="preserve"> AFT </w:t>
      </w:r>
      <w:proofErr w:type="spellStart"/>
      <w:r w:rsidR="006A24B2">
        <w:rPr>
          <w:lang w:val="lt-LT"/>
        </w:rPr>
        <w:t>Pharmaceuticals</w:t>
      </w:r>
      <w:proofErr w:type="spellEnd"/>
      <w:r>
        <w:rPr>
          <w:lang w:val="lt-LT"/>
        </w:rPr>
        <w:t xml:space="preserve"> </w:t>
      </w:r>
      <w:r w:rsidRPr="00900CEC">
        <w:rPr>
          <w:bCs/>
          <w:szCs w:val="22"/>
          <w:lang w:val="lt-LT"/>
        </w:rPr>
        <w:t>vartoti negalima</w:t>
      </w:r>
      <w:r>
        <w:rPr>
          <w:bCs/>
          <w:szCs w:val="22"/>
          <w:lang w:val="lt-LT"/>
        </w:rPr>
        <w:t xml:space="preserve"> (žr. </w:t>
      </w:r>
      <w:r w:rsidRPr="00E06461">
        <w:rPr>
          <w:bCs/>
          <w:szCs w:val="22"/>
          <w:lang w:val="lt-LT"/>
        </w:rPr>
        <w:t>4.3 ir 5.3</w:t>
      </w:r>
      <w:r w:rsidR="00E11644">
        <w:rPr>
          <w:bCs/>
          <w:szCs w:val="22"/>
          <w:lang w:val="lt-LT"/>
        </w:rPr>
        <w:t> </w:t>
      </w:r>
      <w:r w:rsidRPr="00E06461">
        <w:rPr>
          <w:bCs/>
          <w:szCs w:val="22"/>
          <w:lang w:val="lt-LT"/>
        </w:rPr>
        <w:t>skyri</w:t>
      </w:r>
      <w:r>
        <w:rPr>
          <w:bCs/>
          <w:szCs w:val="22"/>
          <w:lang w:val="lt-LT"/>
        </w:rPr>
        <w:t>us)</w:t>
      </w:r>
      <w:r w:rsidRPr="00900CEC">
        <w:rPr>
          <w:bCs/>
          <w:szCs w:val="22"/>
          <w:lang w:val="lt-LT"/>
        </w:rPr>
        <w:t>.</w:t>
      </w:r>
    </w:p>
    <w:p w14:paraId="197AA76C" w14:textId="77777777" w:rsidR="00F51FBD" w:rsidRPr="00900CEC" w:rsidRDefault="00F51FBD" w:rsidP="00F51FBD">
      <w:pPr>
        <w:spacing w:line="240" w:lineRule="auto"/>
        <w:rPr>
          <w:szCs w:val="22"/>
          <w:lang w:val="lt-LT"/>
        </w:rPr>
      </w:pPr>
    </w:p>
    <w:p w14:paraId="117599A0" w14:textId="77777777" w:rsidR="00F51FBD" w:rsidRPr="00900CEC" w:rsidRDefault="00F51FBD" w:rsidP="00F51FBD">
      <w:pPr>
        <w:spacing w:line="240" w:lineRule="auto"/>
        <w:rPr>
          <w:i/>
          <w:szCs w:val="22"/>
          <w:lang w:val="lt-LT"/>
        </w:rPr>
      </w:pPr>
      <w:r w:rsidRPr="00900CEC">
        <w:rPr>
          <w:i/>
          <w:szCs w:val="22"/>
          <w:lang w:val="lt-LT"/>
        </w:rPr>
        <w:t>Paracetamolis</w:t>
      </w:r>
    </w:p>
    <w:p w14:paraId="67935C39" w14:textId="40D383AC" w:rsidR="00F51FBD" w:rsidRPr="00900CEC" w:rsidRDefault="00F51FBD" w:rsidP="00F51FBD">
      <w:pPr>
        <w:spacing w:line="240" w:lineRule="auto"/>
        <w:rPr>
          <w:szCs w:val="22"/>
          <w:lang w:val="lt-LT"/>
        </w:rPr>
      </w:pPr>
      <w:r w:rsidRPr="00900CEC">
        <w:rPr>
          <w:szCs w:val="22"/>
          <w:lang w:val="lt-LT"/>
        </w:rPr>
        <w:t xml:space="preserve">Daug </w:t>
      </w:r>
      <w:r>
        <w:rPr>
          <w:szCs w:val="22"/>
          <w:lang w:val="lt-LT"/>
        </w:rPr>
        <w:t xml:space="preserve">duomenų apie nėščias moteris nerodo paracetamolio poveikio </w:t>
      </w:r>
      <w:r w:rsidRPr="00900CEC">
        <w:rPr>
          <w:szCs w:val="22"/>
          <w:lang w:val="lt-LT"/>
        </w:rPr>
        <w:t>apsigimimams</w:t>
      </w:r>
      <w:r>
        <w:rPr>
          <w:szCs w:val="22"/>
          <w:lang w:val="lt-LT"/>
        </w:rPr>
        <w:t xml:space="preserve"> ar</w:t>
      </w:r>
      <w:r w:rsidRPr="00900CEC">
        <w:rPr>
          <w:szCs w:val="22"/>
          <w:lang w:val="lt-LT"/>
        </w:rPr>
        <w:t xml:space="preserve"> toksinio poveikio vaisiui (ar) naujagimiui. Vaikų, kurių motinos nėštumo laikotarpiu vartojo paracetamolį, nervų sistemos vystymosi</w:t>
      </w:r>
      <w:r w:rsidRPr="00900CEC">
        <w:rPr>
          <w:lang w:val="lt-LT"/>
        </w:rPr>
        <w:t xml:space="preserve"> </w:t>
      </w:r>
      <w:r w:rsidRPr="00900CEC">
        <w:rPr>
          <w:szCs w:val="22"/>
          <w:lang w:val="lt-LT"/>
        </w:rPr>
        <w:t>epidemiologinių tyrimų rezultatų nepakanka tvirtoms išvadoms padaryti. Esant klinikinėms</w:t>
      </w:r>
      <w:r w:rsidRPr="00900CEC">
        <w:rPr>
          <w:lang w:val="lt-LT"/>
        </w:rPr>
        <w:t xml:space="preserve"> </w:t>
      </w:r>
      <w:r w:rsidRPr="00900CEC">
        <w:rPr>
          <w:szCs w:val="22"/>
          <w:lang w:val="lt-LT"/>
        </w:rPr>
        <w:t>indikacijoms, paracetamolį galima vartoti nėštumo metu, tačiau dozė turi būti mažiausia veiksminga, vartojimo trukmė – kiek įmanoma trumpesnė, o intervalai – kiek įmanoma ilgesni.</w:t>
      </w:r>
    </w:p>
    <w:p w14:paraId="1B45F364" w14:textId="77777777" w:rsidR="00F51FBD" w:rsidRPr="00900CEC" w:rsidRDefault="00F51FBD" w:rsidP="00F51FBD">
      <w:pPr>
        <w:spacing w:line="240" w:lineRule="auto"/>
        <w:rPr>
          <w:szCs w:val="22"/>
          <w:lang w:val="lt-LT"/>
        </w:rPr>
      </w:pPr>
    </w:p>
    <w:p w14:paraId="65970065" w14:textId="77777777" w:rsidR="00F51FBD" w:rsidRPr="00900CEC" w:rsidRDefault="00F51FBD" w:rsidP="00F51FBD">
      <w:pPr>
        <w:pStyle w:val="Antrat3"/>
        <w:spacing w:before="0" w:after="0" w:line="240" w:lineRule="auto"/>
        <w:rPr>
          <w:rFonts w:ascii="Times New Roman" w:hAnsi="Times New Roman"/>
          <w:b w:val="0"/>
          <w:sz w:val="22"/>
          <w:szCs w:val="22"/>
          <w:u w:val="single"/>
          <w:lang w:val="lt-LT"/>
        </w:rPr>
      </w:pPr>
      <w:r w:rsidRPr="00900CEC">
        <w:rPr>
          <w:rFonts w:ascii="Times New Roman" w:hAnsi="Times New Roman"/>
          <w:b w:val="0"/>
          <w:sz w:val="22"/>
          <w:szCs w:val="22"/>
          <w:u w:val="single"/>
          <w:lang w:val="lt-LT"/>
        </w:rPr>
        <w:t>Žindymas</w:t>
      </w:r>
    </w:p>
    <w:p w14:paraId="6CF6FDF4" w14:textId="77777777" w:rsidR="00F51FBD" w:rsidRPr="00900CEC" w:rsidRDefault="00F51FBD" w:rsidP="00F51FBD">
      <w:pPr>
        <w:spacing w:line="240" w:lineRule="auto"/>
        <w:rPr>
          <w:szCs w:val="22"/>
          <w:lang w:val="lt-LT"/>
        </w:rPr>
      </w:pPr>
      <w:r w:rsidRPr="00900CEC">
        <w:rPr>
          <w:szCs w:val="22"/>
          <w:lang w:val="lt-LT"/>
        </w:rPr>
        <w:t>Į moters pieną patenkantis paracetamolio kiekis yra kliniškai nereikšmingas. Turimais publikuotais duomenimis, vartojant paracetamolį žindyti galima, jeigu neviršijama rekomenduojama dozė.</w:t>
      </w:r>
    </w:p>
    <w:p w14:paraId="5A795C9F" w14:textId="77777777" w:rsidR="00F51FBD" w:rsidRPr="00900CEC" w:rsidRDefault="00F51FBD" w:rsidP="00F51FBD">
      <w:pPr>
        <w:spacing w:line="240" w:lineRule="auto"/>
        <w:rPr>
          <w:szCs w:val="22"/>
          <w:lang w:val="lt-LT"/>
        </w:rPr>
      </w:pPr>
    </w:p>
    <w:p w14:paraId="7CE317A6" w14:textId="77777777" w:rsidR="00F51FBD" w:rsidRPr="00E06461" w:rsidRDefault="00F51FBD" w:rsidP="00F51FBD">
      <w:pPr>
        <w:autoSpaceDE w:val="0"/>
        <w:autoSpaceDN w:val="0"/>
        <w:adjustRightInd w:val="0"/>
        <w:rPr>
          <w:rFonts w:eastAsia="SimSun"/>
          <w:color w:val="000000"/>
          <w:szCs w:val="22"/>
          <w:lang w:val="lt-LT" w:eastAsia="zh-CN"/>
        </w:rPr>
      </w:pPr>
      <w:r>
        <w:rPr>
          <w:rFonts w:eastAsia="SimSun"/>
          <w:color w:val="000000"/>
          <w:szCs w:val="22"/>
          <w:lang w:val="lt-LT" w:eastAsia="zh-CN"/>
        </w:rPr>
        <w:t>Ibuprofeno metabolitai išsiskiria į motinos pieną, bet skiriant ibuprofeno terapines dozes, kokio nors poveikio žindomiems naujagimiams/kūdikiams nesitikima.</w:t>
      </w:r>
      <w:r w:rsidRPr="00E06461">
        <w:rPr>
          <w:rFonts w:eastAsia="SimSun"/>
          <w:color w:val="000000"/>
          <w:szCs w:val="22"/>
          <w:lang w:val="lt-LT" w:eastAsia="zh-CN"/>
        </w:rPr>
        <w:t xml:space="preserve"> </w:t>
      </w:r>
    </w:p>
    <w:p w14:paraId="2F0F3DFB" w14:textId="77777777" w:rsidR="00F51FBD" w:rsidRPr="00900CEC" w:rsidRDefault="00F51FBD" w:rsidP="00F51FBD">
      <w:pPr>
        <w:spacing w:line="240" w:lineRule="auto"/>
        <w:rPr>
          <w:szCs w:val="22"/>
          <w:lang w:val="lt-LT"/>
        </w:rPr>
      </w:pPr>
    </w:p>
    <w:p w14:paraId="76C997A1" w14:textId="77777777" w:rsidR="00F51FBD" w:rsidRPr="00900CEC" w:rsidRDefault="00F51FBD" w:rsidP="00F51FBD">
      <w:pPr>
        <w:spacing w:line="240" w:lineRule="auto"/>
        <w:rPr>
          <w:szCs w:val="22"/>
          <w:lang w:val="lt-LT"/>
        </w:rPr>
      </w:pPr>
    </w:p>
    <w:p w14:paraId="2ECAE656" w14:textId="77777777" w:rsidR="00F51FBD" w:rsidRPr="00900CEC" w:rsidRDefault="00F51FBD" w:rsidP="00F51FBD">
      <w:pPr>
        <w:spacing w:line="240" w:lineRule="auto"/>
        <w:rPr>
          <w:szCs w:val="22"/>
          <w:lang w:val="lt-LT"/>
        </w:rPr>
      </w:pPr>
      <w:r w:rsidRPr="00900CEC">
        <w:rPr>
          <w:szCs w:val="22"/>
          <w:lang w:val="lt-LT"/>
        </w:rPr>
        <w:t>Remiantis a</w:t>
      </w:r>
      <w:r>
        <w:rPr>
          <w:szCs w:val="22"/>
          <w:lang w:val="lt-LT"/>
        </w:rPr>
        <w:t>nks</w:t>
      </w:r>
      <w:r w:rsidRPr="00900CEC">
        <w:rPr>
          <w:szCs w:val="22"/>
          <w:lang w:val="lt-LT"/>
        </w:rPr>
        <w:t>čiau pateiktais duomenimis, trumpai vartojant rekomenduojamą šio vaistinio preparato dozę žindymo nutraukti nereikia.</w:t>
      </w:r>
    </w:p>
    <w:p w14:paraId="38F34BFB" w14:textId="77777777" w:rsidR="00F51FBD" w:rsidRPr="00900CEC" w:rsidRDefault="00F51FBD" w:rsidP="00F51FBD">
      <w:pPr>
        <w:spacing w:line="240" w:lineRule="auto"/>
        <w:rPr>
          <w:szCs w:val="22"/>
          <w:lang w:val="lt-LT"/>
        </w:rPr>
      </w:pPr>
    </w:p>
    <w:p w14:paraId="68B6B4BF" w14:textId="77777777" w:rsidR="00F51FBD" w:rsidRPr="00900CEC" w:rsidRDefault="00F51FBD" w:rsidP="00F51FBD">
      <w:pPr>
        <w:pStyle w:val="Antrat3"/>
        <w:spacing w:before="0" w:after="0" w:line="240" w:lineRule="auto"/>
        <w:rPr>
          <w:rFonts w:ascii="Times New Roman" w:hAnsi="Times New Roman"/>
          <w:b w:val="0"/>
          <w:sz w:val="22"/>
          <w:szCs w:val="22"/>
          <w:u w:val="single"/>
          <w:lang w:val="lt-LT"/>
        </w:rPr>
      </w:pPr>
      <w:r w:rsidRPr="00900CEC">
        <w:rPr>
          <w:rFonts w:ascii="Times New Roman" w:hAnsi="Times New Roman"/>
          <w:b w:val="0"/>
          <w:sz w:val="22"/>
          <w:szCs w:val="22"/>
          <w:u w:val="single"/>
          <w:lang w:val="lt-LT"/>
        </w:rPr>
        <w:t>Vaisingumas</w:t>
      </w:r>
    </w:p>
    <w:p w14:paraId="4440F80D" w14:textId="77777777" w:rsidR="00F51FBD" w:rsidRPr="00900CEC" w:rsidRDefault="00F51FBD" w:rsidP="00F51FBD">
      <w:pPr>
        <w:spacing w:line="240" w:lineRule="auto"/>
        <w:rPr>
          <w:szCs w:val="22"/>
          <w:lang w:val="lt-LT"/>
        </w:rPr>
      </w:pPr>
      <w:r w:rsidRPr="00900CEC">
        <w:rPr>
          <w:szCs w:val="22"/>
          <w:lang w:val="lt-LT"/>
        </w:rPr>
        <w:t>Šis vaistinis preparatas gali sutrikdyti moterų vaisingumą, todėl mėginančioms pastoti jo vartoti nerekomenduojama. Jeigu moteriai sudėtinga pastoti arba ji tiriama dėl nevaisingumo, tai reikia įvertinti būtinybę nutraukti šio vaistinio preparato vartojimą.</w:t>
      </w:r>
    </w:p>
    <w:p w14:paraId="0B78DD72" w14:textId="77777777" w:rsidR="00F51FBD" w:rsidRPr="00900CEC" w:rsidRDefault="00F51FBD" w:rsidP="00F51FBD">
      <w:pPr>
        <w:spacing w:line="240" w:lineRule="auto"/>
        <w:rPr>
          <w:szCs w:val="22"/>
          <w:lang w:val="lt-LT"/>
        </w:rPr>
      </w:pPr>
    </w:p>
    <w:p w14:paraId="36D42645" w14:textId="77777777" w:rsidR="00F51FBD" w:rsidRPr="00900CEC" w:rsidRDefault="00F51FBD" w:rsidP="00F51FBD">
      <w:pPr>
        <w:pStyle w:val="Antrat4"/>
        <w:spacing w:line="240" w:lineRule="auto"/>
        <w:jc w:val="left"/>
        <w:rPr>
          <w:rFonts w:ascii="Times New Roman" w:hAnsi="Times New Roman"/>
          <w:sz w:val="22"/>
          <w:szCs w:val="22"/>
          <w:lang w:val="lt-LT"/>
        </w:rPr>
      </w:pPr>
      <w:r w:rsidRPr="00900CEC">
        <w:rPr>
          <w:rFonts w:ascii="Times New Roman" w:hAnsi="Times New Roman"/>
          <w:sz w:val="22"/>
          <w:szCs w:val="22"/>
          <w:lang w:val="lt-LT"/>
        </w:rPr>
        <w:t>4.7</w:t>
      </w:r>
      <w:r w:rsidRPr="00900CEC">
        <w:rPr>
          <w:rFonts w:ascii="Times New Roman" w:hAnsi="Times New Roman"/>
          <w:sz w:val="22"/>
          <w:szCs w:val="22"/>
          <w:lang w:val="lt-LT"/>
        </w:rPr>
        <w:tab/>
        <w:t>Poveikis gebėjimui vairuoti ir valdyti mechanizmus</w:t>
      </w:r>
    </w:p>
    <w:p w14:paraId="03CD0654" w14:textId="77777777" w:rsidR="00F51FBD" w:rsidRPr="00900CEC" w:rsidRDefault="00F51FBD" w:rsidP="00F51FBD">
      <w:pPr>
        <w:spacing w:line="240" w:lineRule="auto"/>
        <w:rPr>
          <w:szCs w:val="22"/>
          <w:lang w:val="lt-LT"/>
        </w:rPr>
      </w:pPr>
    </w:p>
    <w:p w14:paraId="6B786F26" w14:textId="77777777" w:rsidR="00F51FBD" w:rsidRPr="00900CEC" w:rsidRDefault="00F51FBD" w:rsidP="00F51FBD">
      <w:pPr>
        <w:shd w:val="clear" w:color="auto" w:fill="FFFFFF"/>
        <w:spacing w:line="240" w:lineRule="auto"/>
        <w:rPr>
          <w:szCs w:val="22"/>
          <w:lang w:val="lt-LT" w:eastAsia="hr-HR"/>
        </w:rPr>
      </w:pPr>
      <w:r w:rsidRPr="00900CEC">
        <w:rPr>
          <w:szCs w:val="22"/>
          <w:lang w:val="lt-LT" w:eastAsia="hr-HR"/>
        </w:rPr>
        <w:t>Vartojant NVNU galimas nepageidaujamas poveikis (pvz., svaigulys, mieguistumas, nuovargis ir regos sutrikimai), kuriam pasireiškus vairuoti ir valdyti mechanizmų negalima.</w:t>
      </w:r>
    </w:p>
    <w:p w14:paraId="064CEC36" w14:textId="77777777" w:rsidR="00F51FBD" w:rsidRPr="00900CEC" w:rsidRDefault="00F51FBD" w:rsidP="00F51FBD">
      <w:pPr>
        <w:spacing w:line="240" w:lineRule="auto"/>
        <w:rPr>
          <w:szCs w:val="22"/>
          <w:lang w:val="lt-LT"/>
        </w:rPr>
      </w:pPr>
    </w:p>
    <w:p w14:paraId="500E7A34" w14:textId="77777777" w:rsidR="00F51FBD" w:rsidRPr="00900CEC" w:rsidRDefault="00F51FBD" w:rsidP="00F51FBD">
      <w:pPr>
        <w:keepNext/>
        <w:spacing w:line="240" w:lineRule="auto"/>
        <w:outlineLvl w:val="0"/>
        <w:rPr>
          <w:szCs w:val="22"/>
          <w:lang w:val="lt-LT"/>
        </w:rPr>
      </w:pPr>
      <w:r w:rsidRPr="00900CEC">
        <w:rPr>
          <w:b/>
          <w:szCs w:val="22"/>
          <w:lang w:val="lt-LT"/>
        </w:rPr>
        <w:t>4.8</w:t>
      </w:r>
      <w:r w:rsidRPr="00900CEC">
        <w:rPr>
          <w:b/>
          <w:szCs w:val="22"/>
          <w:lang w:val="lt-LT"/>
        </w:rPr>
        <w:tab/>
        <w:t>Nepageidaujamas poveikis</w:t>
      </w:r>
    </w:p>
    <w:p w14:paraId="56730BA2" w14:textId="77777777" w:rsidR="00F51FBD" w:rsidRPr="00900CEC" w:rsidRDefault="00F51FBD" w:rsidP="00F51FBD">
      <w:pPr>
        <w:keepNext/>
        <w:spacing w:line="240" w:lineRule="auto"/>
        <w:rPr>
          <w:szCs w:val="22"/>
          <w:u w:val="single"/>
          <w:lang w:val="lt-LT"/>
        </w:rPr>
      </w:pPr>
    </w:p>
    <w:p w14:paraId="16923187" w14:textId="0D6F35C1" w:rsidR="00F51FBD" w:rsidRPr="00900CEC" w:rsidRDefault="006A24B2" w:rsidP="00F51FBD">
      <w:pPr>
        <w:keepNext/>
        <w:shd w:val="clear" w:color="auto" w:fill="FFFFFF"/>
        <w:spacing w:line="240" w:lineRule="auto"/>
        <w:rPr>
          <w:szCs w:val="22"/>
          <w:lang w:val="lt-LT"/>
        </w:rPr>
      </w:pPr>
      <w:proofErr w:type="spellStart"/>
      <w:r>
        <w:rPr>
          <w:lang w:val="lt-LT"/>
        </w:rPr>
        <w:t>Paracetamol</w:t>
      </w:r>
      <w:proofErr w:type="spellEnd"/>
      <w:r>
        <w:rPr>
          <w:lang w:val="lt-LT"/>
        </w:rPr>
        <w:t>/</w:t>
      </w:r>
      <w:proofErr w:type="spellStart"/>
      <w:r>
        <w:rPr>
          <w:lang w:val="lt-LT"/>
        </w:rPr>
        <w:t>Ibuprofen</w:t>
      </w:r>
      <w:proofErr w:type="spellEnd"/>
      <w:r>
        <w:rPr>
          <w:lang w:val="lt-LT"/>
        </w:rPr>
        <w:t xml:space="preserve"> AFT </w:t>
      </w:r>
      <w:proofErr w:type="spellStart"/>
      <w:r>
        <w:rPr>
          <w:lang w:val="lt-LT"/>
        </w:rPr>
        <w:t>Pharmaceuticals</w:t>
      </w:r>
      <w:proofErr w:type="spellEnd"/>
      <w:r w:rsidR="00F51FBD">
        <w:rPr>
          <w:lang w:val="lt-LT"/>
        </w:rPr>
        <w:t xml:space="preserve"> </w:t>
      </w:r>
      <w:r w:rsidR="00F51FBD" w:rsidRPr="00900CEC">
        <w:rPr>
          <w:lang w:val="lt-LT"/>
        </w:rPr>
        <w:t xml:space="preserve">bei </w:t>
      </w:r>
      <w:r w:rsidR="00F51FBD" w:rsidRPr="00900CEC">
        <w:rPr>
          <w:szCs w:val="22"/>
          <w:lang w:val="lt-LT"/>
        </w:rPr>
        <w:t xml:space="preserve">500 mg paracetamolio ir 150 mg </w:t>
      </w:r>
      <w:r w:rsidR="00F51FBD" w:rsidRPr="00900CEC">
        <w:rPr>
          <w:szCs w:val="22"/>
          <w:lang w:val="lt-LT" w:eastAsia="hr-HR"/>
        </w:rPr>
        <w:t>ibuprofeno</w:t>
      </w:r>
      <w:r w:rsidR="00F51FBD" w:rsidRPr="00900CEC">
        <w:rPr>
          <w:szCs w:val="22"/>
          <w:lang w:val="lt-LT"/>
        </w:rPr>
        <w:t xml:space="preserve"> plėvele dengtų tablečių klinikiniai tyrimai neparodė nepageidaujamo poveikio, kuris skirtųsi nuo sukeliamo atskirai vartojamų paracetamolio arba ibuprofeno.</w:t>
      </w:r>
    </w:p>
    <w:p w14:paraId="0182BC32" w14:textId="77777777" w:rsidR="00F51FBD" w:rsidRPr="00900CEC" w:rsidRDefault="00F51FBD" w:rsidP="00F51FBD">
      <w:pPr>
        <w:pStyle w:val="prastojitrauka"/>
        <w:spacing w:after="0"/>
        <w:ind w:left="0"/>
        <w:rPr>
          <w:szCs w:val="22"/>
          <w:lang w:val="lt-LT"/>
        </w:rPr>
      </w:pPr>
    </w:p>
    <w:p w14:paraId="0F7A8DD4" w14:textId="77777777" w:rsidR="00F51FBD" w:rsidRPr="00900CEC" w:rsidRDefault="00F51FBD" w:rsidP="00F51FBD">
      <w:pPr>
        <w:tabs>
          <w:tab w:val="clear" w:pos="567"/>
        </w:tabs>
        <w:autoSpaceDE w:val="0"/>
        <w:spacing w:line="240" w:lineRule="auto"/>
        <w:contextualSpacing/>
        <w:rPr>
          <w:lang w:val="lt-LT"/>
        </w:rPr>
      </w:pPr>
      <w:r w:rsidRPr="00900CEC">
        <w:rPr>
          <w:szCs w:val="22"/>
          <w:lang w:val="lt-LT"/>
        </w:rPr>
        <w:t>Nepageidaujamos reakcijos yra išvardintos toliau pagal MedDRA organų sistemų klases ir pagal absoliutų pasireiškimo dažnį, kuris apibūdinamas</w:t>
      </w:r>
      <w:r w:rsidRPr="00900CEC">
        <w:rPr>
          <w:lang w:val="lt-LT"/>
        </w:rPr>
        <w:t xml:space="preserve"> taip: labai dažnas (≥ 1/10), dažnas (nuo ≥ 1/100 iki &lt; 1/10), nedažnas (nuo ≥ 1/1000 iki &lt; 1/100), retas (nuo ≥ 1/10000 iki &lt; 1/1000), labai retas (&lt; 1/10000) ir nežinomas (negali būti apskaičiuotas pagal turimus duomenis).</w:t>
      </w:r>
    </w:p>
    <w:p w14:paraId="6B9FB250" w14:textId="77777777" w:rsidR="00F51FBD" w:rsidRPr="00900CEC" w:rsidRDefault="00F51FBD" w:rsidP="00F51FBD">
      <w:pPr>
        <w:tabs>
          <w:tab w:val="clear" w:pos="567"/>
        </w:tabs>
        <w:autoSpaceDE w:val="0"/>
        <w:spacing w:line="240" w:lineRule="auto"/>
        <w:contextualSpacing/>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6847"/>
      </w:tblGrid>
      <w:tr w:rsidR="00F51FBD" w:rsidRPr="00D06CE3" w14:paraId="2572DF96" w14:textId="77777777" w:rsidTr="00163471">
        <w:tc>
          <w:tcPr>
            <w:tcW w:w="2235" w:type="dxa"/>
          </w:tcPr>
          <w:p w14:paraId="6888AA86" w14:textId="77777777" w:rsidR="00F51FBD" w:rsidRPr="00900CEC" w:rsidRDefault="00F51FBD" w:rsidP="00163471">
            <w:pPr>
              <w:spacing w:line="240" w:lineRule="auto"/>
              <w:rPr>
                <w:b/>
                <w:bCs/>
                <w:color w:val="000000"/>
                <w:szCs w:val="22"/>
                <w:lang w:val="lt-LT"/>
              </w:rPr>
            </w:pPr>
            <w:r w:rsidRPr="00900CEC">
              <w:rPr>
                <w:b/>
                <w:bCs/>
                <w:color w:val="000000"/>
                <w:szCs w:val="22"/>
                <w:lang w:val="lt-LT"/>
              </w:rPr>
              <w:t>Infekcijos ir infestacijos</w:t>
            </w:r>
          </w:p>
          <w:p w14:paraId="5E02B7DC" w14:textId="77777777" w:rsidR="00F51FBD" w:rsidRPr="00900CEC" w:rsidRDefault="00F51FBD" w:rsidP="00163471">
            <w:pPr>
              <w:spacing w:line="240" w:lineRule="auto"/>
              <w:rPr>
                <w:b/>
                <w:bCs/>
                <w:color w:val="000000"/>
                <w:szCs w:val="22"/>
                <w:lang w:val="lt-LT"/>
              </w:rPr>
            </w:pPr>
          </w:p>
        </w:tc>
        <w:tc>
          <w:tcPr>
            <w:tcW w:w="7007" w:type="dxa"/>
          </w:tcPr>
          <w:p w14:paraId="29546351" w14:textId="77777777" w:rsidR="00F51FBD" w:rsidRPr="00900CEC" w:rsidRDefault="00F51FBD" w:rsidP="00163471">
            <w:pPr>
              <w:spacing w:line="240" w:lineRule="auto"/>
              <w:rPr>
                <w:b/>
                <w:szCs w:val="22"/>
                <w:u w:val="single"/>
                <w:lang w:val="lt-LT"/>
              </w:rPr>
            </w:pPr>
            <w:r w:rsidRPr="00900CEC">
              <w:rPr>
                <w:b/>
                <w:szCs w:val="22"/>
                <w:lang w:val="lt-LT"/>
              </w:rPr>
              <w:t xml:space="preserve">Labai retas: </w:t>
            </w:r>
            <w:r w:rsidRPr="00900CEC">
              <w:rPr>
                <w:szCs w:val="22"/>
                <w:lang w:val="lt-LT"/>
              </w:rPr>
              <w:t>užfiksuota atvejų, kai vartojant</w:t>
            </w:r>
            <w:r w:rsidRPr="00900CEC">
              <w:rPr>
                <w:bCs/>
                <w:szCs w:val="22"/>
                <w:lang w:val="lt-LT"/>
              </w:rPr>
              <w:t xml:space="preserve"> </w:t>
            </w:r>
            <w:r w:rsidRPr="00900CEC">
              <w:rPr>
                <w:szCs w:val="22"/>
                <w:lang w:val="lt-LT"/>
              </w:rPr>
              <w:t xml:space="preserve">NVNU paūmėjo su infekcija susijęs uždegimas (pvz., pasireiškė </w:t>
            </w:r>
            <w:proofErr w:type="spellStart"/>
            <w:r w:rsidRPr="00900CEC">
              <w:rPr>
                <w:szCs w:val="22"/>
                <w:lang w:val="lt-LT"/>
              </w:rPr>
              <w:t>nekroz</w:t>
            </w:r>
            <w:r>
              <w:rPr>
                <w:szCs w:val="22"/>
                <w:lang w:val="lt-LT"/>
              </w:rPr>
              <w:t>uojantis</w:t>
            </w:r>
            <w:proofErr w:type="spellEnd"/>
            <w:r w:rsidRPr="00900CEC">
              <w:rPr>
                <w:szCs w:val="22"/>
                <w:lang w:val="lt-LT"/>
              </w:rPr>
              <w:t xml:space="preserve"> </w:t>
            </w:r>
            <w:proofErr w:type="spellStart"/>
            <w:r w:rsidRPr="00900CEC">
              <w:rPr>
                <w:szCs w:val="22"/>
                <w:lang w:val="lt-LT"/>
              </w:rPr>
              <w:t>fascitas</w:t>
            </w:r>
            <w:proofErr w:type="spellEnd"/>
            <w:r w:rsidRPr="00900CEC">
              <w:rPr>
                <w:szCs w:val="22"/>
                <w:lang w:val="lt-LT"/>
              </w:rPr>
              <w:t>).</w:t>
            </w:r>
          </w:p>
        </w:tc>
      </w:tr>
      <w:tr w:rsidR="00F51FBD" w:rsidRPr="00D06CE3" w14:paraId="3021E5C8" w14:textId="77777777" w:rsidTr="00163471">
        <w:tc>
          <w:tcPr>
            <w:tcW w:w="2235" w:type="dxa"/>
          </w:tcPr>
          <w:p w14:paraId="42F84A12" w14:textId="77777777" w:rsidR="00F51FBD" w:rsidRPr="00900CEC" w:rsidRDefault="00F51FBD" w:rsidP="00163471">
            <w:pPr>
              <w:spacing w:line="240" w:lineRule="auto"/>
              <w:rPr>
                <w:color w:val="000000"/>
                <w:szCs w:val="22"/>
                <w:lang w:val="lt-LT"/>
              </w:rPr>
            </w:pPr>
            <w:r w:rsidRPr="00900CEC">
              <w:rPr>
                <w:b/>
                <w:bCs/>
                <w:color w:val="000000"/>
                <w:szCs w:val="22"/>
                <w:lang w:val="lt-LT"/>
              </w:rPr>
              <w:t>Kraujo ir limfinės sistemos sutrikimai</w:t>
            </w:r>
          </w:p>
        </w:tc>
        <w:tc>
          <w:tcPr>
            <w:tcW w:w="7007" w:type="dxa"/>
          </w:tcPr>
          <w:p w14:paraId="4A3E6071" w14:textId="77777777" w:rsidR="00F51FBD" w:rsidRPr="00900CEC" w:rsidRDefault="00F51FBD" w:rsidP="00163471">
            <w:pPr>
              <w:spacing w:line="240" w:lineRule="auto"/>
              <w:rPr>
                <w:szCs w:val="22"/>
                <w:lang w:val="lt-LT"/>
              </w:rPr>
            </w:pPr>
            <w:r w:rsidRPr="00900CEC">
              <w:rPr>
                <w:b/>
                <w:szCs w:val="22"/>
                <w:lang w:val="lt-LT"/>
              </w:rPr>
              <w:t>Nedažnas</w:t>
            </w:r>
            <w:r w:rsidRPr="00900CEC">
              <w:rPr>
                <w:szCs w:val="22"/>
                <w:lang w:val="lt-LT"/>
              </w:rPr>
              <w:t xml:space="preserve">: sumažėjusi hemoglobino koncentracija ir sumažėjęs </w:t>
            </w:r>
            <w:proofErr w:type="spellStart"/>
            <w:r w:rsidRPr="00900CEC">
              <w:rPr>
                <w:szCs w:val="22"/>
                <w:lang w:val="lt-LT"/>
              </w:rPr>
              <w:t>hematokrito</w:t>
            </w:r>
            <w:proofErr w:type="spellEnd"/>
            <w:r w:rsidRPr="00900CEC">
              <w:rPr>
                <w:szCs w:val="22"/>
                <w:lang w:val="lt-LT"/>
              </w:rPr>
              <w:t xml:space="preserve"> rodiklis. Priežastinio ryšio nenustatyta, tačiau vartojant šį vaistinį preparatą užfiksuota kraujavimo epizodų (pvz., kraujavimas iš nosies, </w:t>
            </w:r>
            <w:proofErr w:type="spellStart"/>
            <w:r w:rsidRPr="00900CEC">
              <w:rPr>
                <w:szCs w:val="22"/>
                <w:lang w:val="lt-LT"/>
              </w:rPr>
              <w:t>menoragija</w:t>
            </w:r>
            <w:proofErr w:type="spellEnd"/>
            <w:r w:rsidRPr="00900CEC">
              <w:rPr>
                <w:szCs w:val="22"/>
                <w:lang w:val="lt-LT"/>
              </w:rPr>
              <w:t>).</w:t>
            </w:r>
          </w:p>
          <w:p w14:paraId="5606A8F7" w14:textId="77777777" w:rsidR="00F51FBD" w:rsidRPr="00900CEC" w:rsidRDefault="00F51FBD" w:rsidP="00163471">
            <w:pPr>
              <w:spacing w:line="240" w:lineRule="auto"/>
              <w:rPr>
                <w:szCs w:val="22"/>
                <w:lang w:val="lt-LT"/>
              </w:rPr>
            </w:pPr>
            <w:r w:rsidRPr="00900CEC">
              <w:rPr>
                <w:b/>
                <w:color w:val="000000"/>
                <w:szCs w:val="22"/>
                <w:lang w:val="lt-LT"/>
              </w:rPr>
              <w:t>Labai retas</w:t>
            </w:r>
            <w:r w:rsidRPr="00900CEC">
              <w:rPr>
                <w:color w:val="000000"/>
                <w:szCs w:val="22"/>
                <w:lang w:val="lt-LT"/>
              </w:rPr>
              <w:t xml:space="preserve">: vartojant </w:t>
            </w:r>
            <w:proofErr w:type="spellStart"/>
            <w:r w:rsidRPr="00900CEC">
              <w:rPr>
                <w:color w:val="000000"/>
                <w:szCs w:val="22"/>
                <w:lang w:val="lt-LT"/>
              </w:rPr>
              <w:t>ibuprofeną</w:t>
            </w:r>
            <w:proofErr w:type="spellEnd"/>
            <w:r w:rsidRPr="00900CEC">
              <w:rPr>
                <w:color w:val="000000"/>
                <w:szCs w:val="22"/>
                <w:lang w:val="lt-LT"/>
              </w:rPr>
              <w:t>, užfiksuota hemopoezės sutrikimų (</w:t>
            </w:r>
            <w:proofErr w:type="spellStart"/>
            <w:r w:rsidRPr="00900CEC">
              <w:rPr>
                <w:color w:val="000000"/>
                <w:szCs w:val="22"/>
                <w:lang w:val="lt-LT"/>
              </w:rPr>
              <w:t>agranulocitozė</w:t>
            </w:r>
            <w:proofErr w:type="spellEnd"/>
            <w:r w:rsidRPr="00900CEC">
              <w:rPr>
                <w:color w:val="000000"/>
                <w:szCs w:val="22"/>
                <w:lang w:val="lt-LT"/>
              </w:rPr>
              <w:t xml:space="preserve">, anemija, </w:t>
            </w:r>
            <w:proofErr w:type="spellStart"/>
            <w:r w:rsidRPr="00900CEC">
              <w:rPr>
                <w:color w:val="000000"/>
                <w:szCs w:val="22"/>
                <w:lang w:val="lt-LT"/>
              </w:rPr>
              <w:t>aplazinė</w:t>
            </w:r>
            <w:proofErr w:type="spellEnd"/>
            <w:r w:rsidRPr="00900CEC">
              <w:rPr>
                <w:color w:val="000000"/>
                <w:szCs w:val="22"/>
                <w:lang w:val="lt-LT"/>
              </w:rPr>
              <w:t xml:space="preserve"> anemija, hemolizinė anemija, </w:t>
            </w:r>
            <w:proofErr w:type="spellStart"/>
            <w:r w:rsidRPr="00900CEC">
              <w:rPr>
                <w:color w:val="000000"/>
                <w:szCs w:val="22"/>
                <w:lang w:val="lt-LT"/>
              </w:rPr>
              <w:t>leukopenija</w:t>
            </w:r>
            <w:proofErr w:type="spellEnd"/>
            <w:r w:rsidRPr="00900CEC">
              <w:rPr>
                <w:color w:val="000000"/>
                <w:szCs w:val="22"/>
                <w:lang w:val="lt-LT"/>
              </w:rPr>
              <w:t xml:space="preserve">, </w:t>
            </w:r>
            <w:proofErr w:type="spellStart"/>
            <w:r w:rsidRPr="00900CEC">
              <w:rPr>
                <w:color w:val="000000"/>
                <w:szCs w:val="22"/>
                <w:lang w:val="lt-LT"/>
              </w:rPr>
              <w:t>neutropenija</w:t>
            </w:r>
            <w:proofErr w:type="spellEnd"/>
            <w:r w:rsidRPr="00900CEC">
              <w:rPr>
                <w:color w:val="000000"/>
                <w:szCs w:val="22"/>
                <w:lang w:val="lt-LT"/>
              </w:rPr>
              <w:t xml:space="preserve">, </w:t>
            </w:r>
            <w:proofErr w:type="spellStart"/>
            <w:r w:rsidRPr="00900CEC">
              <w:rPr>
                <w:color w:val="000000"/>
                <w:szCs w:val="22"/>
                <w:lang w:val="lt-LT"/>
              </w:rPr>
              <w:t>pancitopenija</w:t>
            </w:r>
            <w:proofErr w:type="spellEnd"/>
            <w:r w:rsidRPr="00900CEC">
              <w:rPr>
                <w:color w:val="000000"/>
                <w:szCs w:val="22"/>
                <w:lang w:val="lt-LT"/>
              </w:rPr>
              <w:t xml:space="preserve"> ir </w:t>
            </w:r>
            <w:proofErr w:type="spellStart"/>
            <w:r w:rsidRPr="00900CEC">
              <w:rPr>
                <w:color w:val="000000"/>
                <w:szCs w:val="22"/>
                <w:lang w:val="lt-LT"/>
              </w:rPr>
              <w:t>trombocitopenija</w:t>
            </w:r>
            <w:proofErr w:type="spellEnd"/>
            <w:r w:rsidRPr="00900CEC">
              <w:rPr>
                <w:color w:val="000000"/>
                <w:szCs w:val="22"/>
                <w:lang w:val="lt-LT"/>
              </w:rPr>
              <w:t xml:space="preserve"> su purpura ar be jos), tačiau jų priežastis galėjo būti ir kita.</w:t>
            </w:r>
          </w:p>
          <w:p w14:paraId="588CE45F" w14:textId="77777777" w:rsidR="00F51FBD" w:rsidRPr="00900CEC" w:rsidRDefault="00F51FBD" w:rsidP="00163471">
            <w:pPr>
              <w:spacing w:line="240" w:lineRule="auto"/>
              <w:rPr>
                <w:szCs w:val="22"/>
                <w:lang w:val="lt-LT"/>
              </w:rPr>
            </w:pPr>
          </w:p>
        </w:tc>
      </w:tr>
      <w:tr w:rsidR="00F51FBD" w:rsidRPr="00D06CE3" w14:paraId="37ACF0E7" w14:textId="77777777" w:rsidTr="00163471">
        <w:tc>
          <w:tcPr>
            <w:tcW w:w="2235" w:type="dxa"/>
          </w:tcPr>
          <w:p w14:paraId="1F78F842" w14:textId="77777777" w:rsidR="00F51FBD" w:rsidRPr="00900CEC" w:rsidRDefault="00F51FBD" w:rsidP="00163471">
            <w:pPr>
              <w:spacing w:line="240" w:lineRule="auto"/>
              <w:rPr>
                <w:b/>
                <w:color w:val="000000"/>
                <w:szCs w:val="22"/>
                <w:lang w:val="lt-LT"/>
              </w:rPr>
            </w:pPr>
            <w:r w:rsidRPr="00900CEC">
              <w:rPr>
                <w:b/>
                <w:bCs/>
                <w:color w:val="000000"/>
                <w:szCs w:val="22"/>
                <w:lang w:val="lt-LT"/>
              </w:rPr>
              <w:t>Imuninės sistemos sutrikimai</w:t>
            </w:r>
          </w:p>
        </w:tc>
        <w:tc>
          <w:tcPr>
            <w:tcW w:w="7007" w:type="dxa"/>
          </w:tcPr>
          <w:p w14:paraId="7ED8C434" w14:textId="77777777" w:rsidR="00F51FBD" w:rsidRPr="00900CEC" w:rsidRDefault="00F51FBD" w:rsidP="00163471">
            <w:pPr>
              <w:spacing w:line="240" w:lineRule="auto"/>
              <w:rPr>
                <w:color w:val="000000"/>
                <w:szCs w:val="22"/>
                <w:lang w:val="lt-LT"/>
              </w:rPr>
            </w:pPr>
            <w:r w:rsidRPr="00900CEC">
              <w:rPr>
                <w:b/>
                <w:color w:val="000000"/>
                <w:szCs w:val="22"/>
                <w:lang w:val="lt-LT"/>
              </w:rPr>
              <w:t>Labai retas</w:t>
            </w:r>
            <w:r w:rsidRPr="00900CEC">
              <w:rPr>
                <w:color w:val="000000"/>
                <w:szCs w:val="22"/>
                <w:lang w:val="lt-LT"/>
              </w:rPr>
              <w:t xml:space="preserve">: užfiksuota padidėjusio jautrumo reakcijų, įskaitant odos išbėrimą ir kryžminį padidėjusį jautrumą </w:t>
            </w:r>
            <w:proofErr w:type="spellStart"/>
            <w:r w:rsidRPr="00900CEC">
              <w:rPr>
                <w:color w:val="000000"/>
                <w:szCs w:val="22"/>
                <w:lang w:val="lt-LT"/>
              </w:rPr>
              <w:t>simpatomimetikams</w:t>
            </w:r>
            <w:proofErr w:type="spellEnd"/>
            <w:r w:rsidRPr="00900CEC">
              <w:rPr>
                <w:color w:val="000000"/>
                <w:szCs w:val="22"/>
                <w:lang w:val="lt-LT"/>
              </w:rPr>
              <w:t>.</w:t>
            </w:r>
          </w:p>
          <w:p w14:paraId="5CEC02FD" w14:textId="77777777" w:rsidR="00F51FBD" w:rsidRPr="00900CEC" w:rsidRDefault="00F51FBD" w:rsidP="00163471">
            <w:pPr>
              <w:spacing w:line="240" w:lineRule="auto"/>
              <w:rPr>
                <w:szCs w:val="22"/>
                <w:lang w:val="lt-LT"/>
              </w:rPr>
            </w:pPr>
            <w:r w:rsidRPr="00900CEC">
              <w:rPr>
                <w:b/>
                <w:szCs w:val="22"/>
                <w:lang w:val="lt-LT"/>
              </w:rPr>
              <w:lastRenderedPageBreak/>
              <w:t>Nedažnas</w:t>
            </w:r>
            <w:r w:rsidRPr="00900CEC">
              <w:rPr>
                <w:szCs w:val="22"/>
                <w:lang w:val="lt-LT"/>
              </w:rPr>
              <w:t xml:space="preserve">: </w:t>
            </w:r>
            <w:r w:rsidRPr="00900CEC">
              <w:rPr>
                <w:color w:val="000000"/>
                <w:szCs w:val="22"/>
                <w:lang w:val="lt-LT"/>
              </w:rPr>
              <w:t xml:space="preserve">užfiksuota kitokių </w:t>
            </w:r>
            <w:r w:rsidRPr="00900CEC">
              <w:rPr>
                <w:szCs w:val="22"/>
                <w:lang w:val="lt-LT"/>
              </w:rPr>
              <w:t>alerginių reakcijų (</w:t>
            </w:r>
            <w:proofErr w:type="spellStart"/>
            <w:r w:rsidRPr="00900CEC">
              <w:rPr>
                <w:szCs w:val="22"/>
                <w:lang w:val="lt-LT"/>
              </w:rPr>
              <w:t>seruminė</w:t>
            </w:r>
            <w:proofErr w:type="spellEnd"/>
            <w:r w:rsidRPr="00900CEC">
              <w:rPr>
                <w:szCs w:val="22"/>
                <w:lang w:val="lt-LT"/>
              </w:rPr>
              <w:t xml:space="preserve"> liga, raudonosios vilkligės sindromas, </w:t>
            </w:r>
            <w:proofErr w:type="spellStart"/>
            <w:r w:rsidRPr="00900CEC">
              <w:rPr>
                <w:i/>
                <w:szCs w:val="22"/>
                <w:lang w:val="lt-LT"/>
              </w:rPr>
              <w:t>Henoch-Schönlein</w:t>
            </w:r>
            <w:proofErr w:type="spellEnd"/>
            <w:r w:rsidRPr="00900CEC">
              <w:rPr>
                <w:szCs w:val="22"/>
                <w:lang w:val="lt-LT"/>
              </w:rPr>
              <w:t xml:space="preserve"> </w:t>
            </w:r>
            <w:proofErr w:type="spellStart"/>
            <w:r w:rsidRPr="00900CEC">
              <w:rPr>
                <w:szCs w:val="22"/>
                <w:lang w:val="lt-LT"/>
              </w:rPr>
              <w:t>vaskulitas</w:t>
            </w:r>
            <w:proofErr w:type="spellEnd"/>
            <w:r w:rsidRPr="00900CEC">
              <w:rPr>
                <w:szCs w:val="22"/>
                <w:lang w:val="lt-LT"/>
              </w:rPr>
              <w:t xml:space="preserve"> ir </w:t>
            </w:r>
            <w:proofErr w:type="spellStart"/>
            <w:r w:rsidRPr="00900CEC">
              <w:rPr>
                <w:szCs w:val="22"/>
                <w:lang w:val="lt-LT"/>
              </w:rPr>
              <w:t>angioneurozinė</w:t>
            </w:r>
            <w:proofErr w:type="spellEnd"/>
            <w:r w:rsidRPr="00900CEC">
              <w:rPr>
                <w:szCs w:val="22"/>
                <w:lang w:val="lt-LT"/>
              </w:rPr>
              <w:t xml:space="preserve"> edema), bet priežastinio ryšio nenustatyta.</w:t>
            </w:r>
          </w:p>
          <w:p w14:paraId="653B86BD" w14:textId="77777777" w:rsidR="00F51FBD" w:rsidRPr="00900CEC" w:rsidRDefault="00F51FBD" w:rsidP="00163471">
            <w:pPr>
              <w:spacing w:line="240" w:lineRule="auto"/>
              <w:rPr>
                <w:b/>
                <w:szCs w:val="22"/>
                <w:lang w:val="lt-LT"/>
              </w:rPr>
            </w:pPr>
          </w:p>
        </w:tc>
      </w:tr>
      <w:tr w:rsidR="00F51FBD" w:rsidRPr="00D06CE3" w14:paraId="2D0F216B" w14:textId="77777777" w:rsidTr="00163471">
        <w:tc>
          <w:tcPr>
            <w:tcW w:w="2235" w:type="dxa"/>
          </w:tcPr>
          <w:p w14:paraId="00A2AB82" w14:textId="77777777" w:rsidR="00F51FBD" w:rsidRPr="00900CEC" w:rsidRDefault="00F51FBD" w:rsidP="00163471">
            <w:pPr>
              <w:spacing w:line="240" w:lineRule="auto"/>
              <w:rPr>
                <w:color w:val="000000"/>
                <w:szCs w:val="22"/>
                <w:lang w:val="lt-LT"/>
              </w:rPr>
            </w:pPr>
            <w:r w:rsidRPr="00900CEC">
              <w:rPr>
                <w:b/>
                <w:color w:val="000000"/>
                <w:szCs w:val="22"/>
                <w:lang w:val="lt-LT"/>
              </w:rPr>
              <w:lastRenderedPageBreak/>
              <w:t>Metabolizmo ir mitybos sutrikimai</w:t>
            </w:r>
          </w:p>
        </w:tc>
        <w:tc>
          <w:tcPr>
            <w:tcW w:w="7007" w:type="dxa"/>
          </w:tcPr>
          <w:p w14:paraId="7B9A48AE" w14:textId="77777777" w:rsidR="00F51FBD" w:rsidRPr="00900CEC" w:rsidRDefault="00F51FBD" w:rsidP="00163471">
            <w:pPr>
              <w:spacing w:line="240" w:lineRule="auto"/>
              <w:rPr>
                <w:szCs w:val="22"/>
                <w:lang w:val="lt-LT"/>
              </w:rPr>
            </w:pPr>
            <w:r w:rsidRPr="00900CEC">
              <w:rPr>
                <w:b/>
                <w:szCs w:val="22"/>
                <w:lang w:val="lt-LT"/>
              </w:rPr>
              <w:t>Labai retas</w:t>
            </w:r>
            <w:r w:rsidRPr="00900CEC">
              <w:rPr>
                <w:szCs w:val="22"/>
                <w:lang w:val="lt-LT"/>
              </w:rPr>
              <w:t xml:space="preserve">: </w:t>
            </w:r>
          </w:p>
          <w:p w14:paraId="68E32CBA" w14:textId="77777777" w:rsidR="00F51FBD" w:rsidRPr="00900CEC" w:rsidRDefault="00F51FBD" w:rsidP="00163471">
            <w:pPr>
              <w:spacing w:line="240" w:lineRule="auto"/>
              <w:rPr>
                <w:szCs w:val="22"/>
                <w:lang w:val="lt-LT"/>
              </w:rPr>
            </w:pPr>
            <w:r w:rsidRPr="00900CEC">
              <w:rPr>
                <w:szCs w:val="22"/>
                <w:lang w:val="lt-LT"/>
              </w:rPr>
              <w:t xml:space="preserve">Tarp nepageidaujamo poveikio metabolizmui yra hipokalemija. </w:t>
            </w:r>
          </w:p>
          <w:p w14:paraId="6E37C824" w14:textId="77777777" w:rsidR="00F51FBD" w:rsidRDefault="00F51FBD" w:rsidP="00163471">
            <w:pPr>
              <w:spacing w:line="240" w:lineRule="auto"/>
              <w:rPr>
                <w:szCs w:val="22"/>
                <w:lang w:val="lt-LT"/>
              </w:rPr>
            </w:pPr>
            <w:r w:rsidRPr="00900CEC">
              <w:rPr>
                <w:b/>
                <w:szCs w:val="22"/>
                <w:lang w:val="lt-LT"/>
              </w:rPr>
              <w:t>Nedažnas</w:t>
            </w:r>
            <w:r w:rsidRPr="00900CEC">
              <w:rPr>
                <w:szCs w:val="22"/>
                <w:lang w:val="lt-LT"/>
              </w:rPr>
              <w:t xml:space="preserve">: </w:t>
            </w:r>
            <w:proofErr w:type="spellStart"/>
            <w:r w:rsidRPr="00900CEC">
              <w:rPr>
                <w:szCs w:val="22"/>
                <w:lang w:val="lt-LT"/>
              </w:rPr>
              <w:t>ginekomastija</w:t>
            </w:r>
            <w:proofErr w:type="spellEnd"/>
            <w:r w:rsidRPr="00900CEC">
              <w:rPr>
                <w:szCs w:val="22"/>
                <w:lang w:val="lt-LT"/>
              </w:rPr>
              <w:t>, hipoglikeminė reakcija.</w:t>
            </w:r>
          </w:p>
          <w:p w14:paraId="6D05EE7C" w14:textId="144C1277" w:rsidR="00F51FBD" w:rsidRPr="003009EE" w:rsidRDefault="00F51FBD" w:rsidP="00163471">
            <w:pPr>
              <w:spacing w:line="240" w:lineRule="auto"/>
              <w:rPr>
                <w:b/>
                <w:bCs/>
                <w:szCs w:val="22"/>
                <w:lang w:val="lt-LT"/>
              </w:rPr>
            </w:pPr>
            <w:r w:rsidRPr="003009EE">
              <w:rPr>
                <w:b/>
                <w:bCs/>
                <w:szCs w:val="22"/>
                <w:lang w:val="lt-LT"/>
              </w:rPr>
              <w:t>Nežinomas:</w:t>
            </w:r>
            <w:r>
              <w:rPr>
                <w:b/>
                <w:bCs/>
                <w:szCs w:val="22"/>
                <w:lang w:val="lt-LT"/>
              </w:rPr>
              <w:t xml:space="preserve"> </w:t>
            </w:r>
            <w:r w:rsidRPr="00F12D19">
              <w:rPr>
                <w:szCs w:val="22"/>
                <w:lang w:val="lt-LT"/>
              </w:rPr>
              <w:t>p</w:t>
            </w:r>
            <w:r w:rsidRPr="003009EE">
              <w:rPr>
                <w:szCs w:val="22"/>
                <w:lang w:val="lt-LT"/>
              </w:rPr>
              <w:t xml:space="preserve">adidėjęs anijoninis tarpas esant </w:t>
            </w:r>
            <w:proofErr w:type="spellStart"/>
            <w:r w:rsidRPr="003009EE">
              <w:rPr>
                <w:szCs w:val="22"/>
                <w:lang w:val="lt-LT"/>
              </w:rPr>
              <w:t>metabolinei</w:t>
            </w:r>
            <w:proofErr w:type="spellEnd"/>
            <w:r w:rsidRPr="003009EE">
              <w:rPr>
                <w:szCs w:val="22"/>
                <w:lang w:val="lt-LT"/>
              </w:rPr>
              <w:t xml:space="preserve"> </w:t>
            </w:r>
            <w:proofErr w:type="spellStart"/>
            <w:r w:rsidRPr="003009EE">
              <w:rPr>
                <w:szCs w:val="22"/>
                <w:lang w:val="lt-LT"/>
              </w:rPr>
              <w:t>acidozei</w:t>
            </w:r>
            <w:proofErr w:type="spellEnd"/>
            <w:r w:rsidR="005F4C0B">
              <w:rPr>
                <w:szCs w:val="22"/>
                <w:lang w:val="lt-LT"/>
              </w:rPr>
              <w:t>.</w:t>
            </w:r>
          </w:p>
          <w:p w14:paraId="179AE9FC" w14:textId="77777777" w:rsidR="00F51FBD" w:rsidRPr="00900CEC" w:rsidRDefault="00F51FBD" w:rsidP="00163471">
            <w:pPr>
              <w:spacing w:line="240" w:lineRule="auto"/>
              <w:rPr>
                <w:szCs w:val="22"/>
                <w:lang w:val="lt-LT"/>
              </w:rPr>
            </w:pPr>
          </w:p>
        </w:tc>
      </w:tr>
      <w:tr w:rsidR="00F51FBD" w:rsidRPr="00D06CE3" w14:paraId="4B41B61A" w14:textId="77777777" w:rsidTr="00163471">
        <w:tc>
          <w:tcPr>
            <w:tcW w:w="2235" w:type="dxa"/>
          </w:tcPr>
          <w:p w14:paraId="3881DA8A" w14:textId="77777777" w:rsidR="00F51FBD" w:rsidRPr="00900CEC" w:rsidRDefault="00F51FBD" w:rsidP="00163471">
            <w:pPr>
              <w:spacing w:line="240" w:lineRule="auto"/>
              <w:rPr>
                <w:b/>
                <w:bCs/>
                <w:color w:val="000000"/>
                <w:szCs w:val="22"/>
                <w:lang w:val="lt-LT"/>
              </w:rPr>
            </w:pPr>
            <w:r w:rsidRPr="00900CEC">
              <w:rPr>
                <w:b/>
                <w:bCs/>
                <w:color w:val="000000"/>
                <w:szCs w:val="22"/>
                <w:lang w:val="lt-LT"/>
              </w:rPr>
              <w:t>Nervų sistemos sutrikimai</w:t>
            </w:r>
          </w:p>
        </w:tc>
        <w:tc>
          <w:tcPr>
            <w:tcW w:w="7007" w:type="dxa"/>
          </w:tcPr>
          <w:p w14:paraId="68A9C3B6" w14:textId="77777777" w:rsidR="00F51FBD" w:rsidRPr="00900CEC" w:rsidRDefault="00F51FBD" w:rsidP="00163471">
            <w:pPr>
              <w:spacing w:line="240" w:lineRule="auto"/>
              <w:rPr>
                <w:szCs w:val="22"/>
                <w:lang w:val="lt-LT"/>
              </w:rPr>
            </w:pPr>
            <w:r w:rsidRPr="00900CEC">
              <w:rPr>
                <w:b/>
                <w:szCs w:val="22"/>
                <w:lang w:val="lt-LT"/>
              </w:rPr>
              <w:t>Dažnas</w:t>
            </w:r>
            <w:r w:rsidRPr="00900CEC">
              <w:rPr>
                <w:szCs w:val="22"/>
                <w:lang w:val="lt-LT"/>
              </w:rPr>
              <w:t>: svaigulys, galvos skausmas, nervingumas.</w:t>
            </w:r>
          </w:p>
          <w:p w14:paraId="53C60651" w14:textId="77777777" w:rsidR="00F51FBD" w:rsidRPr="00900CEC" w:rsidRDefault="00F51FBD" w:rsidP="00163471">
            <w:pPr>
              <w:spacing w:line="240" w:lineRule="auto"/>
              <w:rPr>
                <w:szCs w:val="22"/>
                <w:lang w:val="lt-LT"/>
              </w:rPr>
            </w:pPr>
            <w:r w:rsidRPr="00900CEC">
              <w:rPr>
                <w:b/>
                <w:szCs w:val="22"/>
                <w:lang w:val="lt-LT"/>
              </w:rPr>
              <w:t>Nedažnas</w:t>
            </w:r>
            <w:r w:rsidRPr="00900CEC">
              <w:rPr>
                <w:szCs w:val="22"/>
                <w:lang w:val="lt-LT"/>
              </w:rPr>
              <w:t xml:space="preserve">: depresija, nemiga, sumišimas, emocijų </w:t>
            </w:r>
            <w:proofErr w:type="spellStart"/>
            <w:r w:rsidRPr="00900CEC">
              <w:rPr>
                <w:szCs w:val="22"/>
                <w:lang w:val="lt-LT"/>
              </w:rPr>
              <w:t>labilumas</w:t>
            </w:r>
            <w:proofErr w:type="spellEnd"/>
            <w:r w:rsidRPr="00900CEC">
              <w:rPr>
                <w:szCs w:val="22"/>
                <w:lang w:val="lt-LT"/>
              </w:rPr>
              <w:t xml:space="preserve">, mieguistumas, </w:t>
            </w:r>
            <w:proofErr w:type="spellStart"/>
            <w:r w:rsidRPr="00900CEC">
              <w:rPr>
                <w:szCs w:val="22"/>
                <w:lang w:val="lt-LT"/>
              </w:rPr>
              <w:t>aseptinis</w:t>
            </w:r>
            <w:proofErr w:type="spellEnd"/>
            <w:r w:rsidRPr="00900CEC">
              <w:rPr>
                <w:szCs w:val="22"/>
                <w:lang w:val="lt-LT"/>
              </w:rPr>
              <w:t xml:space="preserve"> meningitas su karščiavimu ir koma.</w:t>
            </w:r>
          </w:p>
          <w:p w14:paraId="6EED2C29" w14:textId="77777777" w:rsidR="00F51FBD" w:rsidRPr="00900CEC" w:rsidRDefault="00F51FBD" w:rsidP="00163471">
            <w:pPr>
              <w:spacing w:line="240" w:lineRule="auto"/>
              <w:rPr>
                <w:szCs w:val="22"/>
                <w:lang w:val="lt-LT"/>
              </w:rPr>
            </w:pPr>
            <w:r w:rsidRPr="00900CEC">
              <w:rPr>
                <w:b/>
                <w:szCs w:val="22"/>
                <w:lang w:val="lt-LT"/>
              </w:rPr>
              <w:t>Retas</w:t>
            </w:r>
            <w:r w:rsidRPr="00900CEC">
              <w:rPr>
                <w:szCs w:val="22"/>
                <w:lang w:val="lt-LT"/>
              </w:rPr>
              <w:t xml:space="preserve">: </w:t>
            </w:r>
            <w:proofErr w:type="spellStart"/>
            <w:r w:rsidRPr="00900CEC">
              <w:rPr>
                <w:szCs w:val="22"/>
                <w:lang w:val="lt-LT"/>
              </w:rPr>
              <w:t>parestezija</w:t>
            </w:r>
            <w:proofErr w:type="spellEnd"/>
            <w:r w:rsidRPr="00900CEC">
              <w:rPr>
                <w:szCs w:val="22"/>
                <w:lang w:val="lt-LT"/>
              </w:rPr>
              <w:t>, haliucinacijos, nenormalūs sapnai.</w:t>
            </w:r>
          </w:p>
          <w:p w14:paraId="1BC41FD3" w14:textId="77777777" w:rsidR="00F51FBD" w:rsidRPr="00900CEC" w:rsidRDefault="00F51FBD" w:rsidP="00163471">
            <w:pPr>
              <w:spacing w:line="240" w:lineRule="auto"/>
              <w:rPr>
                <w:color w:val="000000"/>
                <w:szCs w:val="22"/>
                <w:lang w:val="lt-LT"/>
              </w:rPr>
            </w:pPr>
            <w:r w:rsidRPr="00900CEC">
              <w:rPr>
                <w:b/>
                <w:color w:val="000000"/>
                <w:szCs w:val="22"/>
                <w:lang w:val="lt-LT"/>
              </w:rPr>
              <w:t>Labai retas</w:t>
            </w:r>
            <w:r w:rsidRPr="00900CEC">
              <w:rPr>
                <w:color w:val="000000"/>
                <w:szCs w:val="22"/>
                <w:lang w:val="lt-LT"/>
              </w:rPr>
              <w:t xml:space="preserve">: paradoksali stimuliacija, optinis neuritas, </w:t>
            </w:r>
            <w:proofErr w:type="spellStart"/>
            <w:r w:rsidRPr="00900CEC">
              <w:rPr>
                <w:color w:val="000000"/>
                <w:szCs w:val="22"/>
                <w:lang w:val="lt-LT"/>
              </w:rPr>
              <w:t>psichomotoriniai</w:t>
            </w:r>
            <w:proofErr w:type="spellEnd"/>
            <w:r w:rsidRPr="00900CEC">
              <w:rPr>
                <w:color w:val="000000"/>
                <w:szCs w:val="22"/>
                <w:lang w:val="lt-LT"/>
              </w:rPr>
              <w:t xml:space="preserve"> sutrikimai, </w:t>
            </w:r>
            <w:proofErr w:type="spellStart"/>
            <w:r w:rsidRPr="00900CEC">
              <w:rPr>
                <w:color w:val="000000"/>
                <w:szCs w:val="22"/>
                <w:lang w:val="lt-LT"/>
              </w:rPr>
              <w:t>ekstrapiramidiniai</w:t>
            </w:r>
            <w:proofErr w:type="spellEnd"/>
            <w:r w:rsidRPr="00900CEC">
              <w:rPr>
                <w:color w:val="000000"/>
                <w:szCs w:val="22"/>
                <w:lang w:val="lt-LT"/>
              </w:rPr>
              <w:t xml:space="preserve"> sutrikimai, drebėjimas </w:t>
            </w:r>
            <w:r>
              <w:rPr>
                <w:color w:val="000000"/>
                <w:szCs w:val="22"/>
                <w:lang w:val="lt-LT"/>
              </w:rPr>
              <w:t xml:space="preserve">(tremoras) </w:t>
            </w:r>
            <w:r w:rsidRPr="00900CEC">
              <w:rPr>
                <w:color w:val="000000"/>
                <w:szCs w:val="22"/>
                <w:lang w:val="lt-LT"/>
              </w:rPr>
              <w:t>ir traukuliai.</w:t>
            </w:r>
          </w:p>
          <w:p w14:paraId="4E05B01A" w14:textId="77777777" w:rsidR="00F51FBD" w:rsidRPr="00900CEC" w:rsidRDefault="00F51FBD" w:rsidP="00163471">
            <w:pPr>
              <w:spacing w:line="240" w:lineRule="auto"/>
              <w:rPr>
                <w:b/>
                <w:color w:val="000000"/>
                <w:szCs w:val="22"/>
                <w:lang w:val="lt-LT"/>
              </w:rPr>
            </w:pPr>
          </w:p>
        </w:tc>
      </w:tr>
      <w:tr w:rsidR="00F51FBD" w:rsidRPr="00D06CE3" w14:paraId="3F4756E0" w14:textId="77777777" w:rsidTr="00163471">
        <w:tc>
          <w:tcPr>
            <w:tcW w:w="2235" w:type="dxa"/>
          </w:tcPr>
          <w:p w14:paraId="32F3E96D" w14:textId="77777777" w:rsidR="00F51FBD" w:rsidRPr="00900CEC" w:rsidRDefault="00F51FBD" w:rsidP="00163471">
            <w:pPr>
              <w:spacing w:line="240" w:lineRule="auto"/>
              <w:rPr>
                <w:b/>
                <w:bCs/>
                <w:color w:val="000000"/>
                <w:szCs w:val="22"/>
                <w:lang w:val="lt-LT"/>
              </w:rPr>
            </w:pPr>
            <w:r w:rsidRPr="00900CEC">
              <w:rPr>
                <w:b/>
                <w:bCs/>
                <w:color w:val="000000"/>
                <w:szCs w:val="22"/>
                <w:lang w:val="lt-LT"/>
              </w:rPr>
              <w:t>Akių sutrikimai</w:t>
            </w:r>
          </w:p>
        </w:tc>
        <w:tc>
          <w:tcPr>
            <w:tcW w:w="7007" w:type="dxa"/>
          </w:tcPr>
          <w:p w14:paraId="524EB63D" w14:textId="77777777" w:rsidR="00F51FBD" w:rsidRPr="00900CEC" w:rsidRDefault="00F51FBD" w:rsidP="00163471">
            <w:pPr>
              <w:spacing w:line="240" w:lineRule="auto"/>
              <w:rPr>
                <w:color w:val="000000"/>
                <w:szCs w:val="22"/>
                <w:lang w:val="lt-LT"/>
              </w:rPr>
            </w:pPr>
            <w:r w:rsidRPr="00900CEC">
              <w:rPr>
                <w:b/>
                <w:color w:val="000000"/>
                <w:szCs w:val="22"/>
                <w:lang w:val="lt-LT"/>
              </w:rPr>
              <w:t xml:space="preserve">Nedažnas: </w:t>
            </w:r>
            <w:r w:rsidRPr="00900CEC">
              <w:rPr>
                <w:color w:val="000000"/>
                <w:szCs w:val="22"/>
                <w:lang w:val="lt-LT"/>
              </w:rPr>
              <w:t>buvo atvejų, kai pasireiškė</w:t>
            </w:r>
            <w:r w:rsidRPr="00900CEC">
              <w:rPr>
                <w:b/>
                <w:color w:val="000000"/>
                <w:szCs w:val="22"/>
                <w:lang w:val="lt-LT"/>
              </w:rPr>
              <w:t xml:space="preserve"> </w:t>
            </w:r>
            <w:proofErr w:type="spellStart"/>
            <w:r w:rsidRPr="00900CEC">
              <w:rPr>
                <w:color w:val="000000"/>
                <w:szCs w:val="22"/>
                <w:lang w:val="lt-LT"/>
              </w:rPr>
              <w:t>ambliopija</w:t>
            </w:r>
            <w:proofErr w:type="spellEnd"/>
            <w:r w:rsidRPr="00900CEC">
              <w:rPr>
                <w:color w:val="000000"/>
                <w:szCs w:val="22"/>
                <w:lang w:val="lt-LT"/>
              </w:rPr>
              <w:t xml:space="preserve"> (neryškus ir (arba) susilpnėjęs matymas, skotomos ir (arba) pakitęs spalvų matymas), kuri dažniausiai praeidavo baigus gydymą. Jeigu pacientas turi nusiskundimų dėl akių, jį reikia nukreipti oftalmologiniam (įskaitant centrinio regėjimo) tyrimui.</w:t>
            </w:r>
          </w:p>
          <w:p w14:paraId="30B2327B" w14:textId="77777777" w:rsidR="00F51FBD" w:rsidRPr="00900CEC" w:rsidRDefault="00F51FBD" w:rsidP="00163471">
            <w:pPr>
              <w:spacing w:line="240" w:lineRule="auto"/>
              <w:rPr>
                <w:b/>
                <w:color w:val="000000"/>
                <w:szCs w:val="22"/>
                <w:lang w:val="lt-LT"/>
              </w:rPr>
            </w:pPr>
          </w:p>
        </w:tc>
      </w:tr>
      <w:tr w:rsidR="00F51FBD" w:rsidRPr="00D06CE3" w14:paraId="6C48F295" w14:textId="77777777" w:rsidTr="00163471">
        <w:tc>
          <w:tcPr>
            <w:tcW w:w="2235" w:type="dxa"/>
          </w:tcPr>
          <w:p w14:paraId="2EDCA013" w14:textId="77777777" w:rsidR="00F51FBD" w:rsidRPr="00900CEC" w:rsidRDefault="00F51FBD" w:rsidP="00163471">
            <w:pPr>
              <w:spacing w:line="240" w:lineRule="auto"/>
              <w:rPr>
                <w:color w:val="000000"/>
                <w:szCs w:val="22"/>
                <w:lang w:val="lt-LT"/>
              </w:rPr>
            </w:pPr>
            <w:r w:rsidRPr="00900CEC">
              <w:rPr>
                <w:b/>
                <w:bCs/>
                <w:color w:val="000000"/>
                <w:szCs w:val="22"/>
                <w:lang w:val="lt-LT"/>
              </w:rPr>
              <w:t>Ausų ir labirintų sutrikimai</w:t>
            </w:r>
          </w:p>
        </w:tc>
        <w:tc>
          <w:tcPr>
            <w:tcW w:w="7007" w:type="dxa"/>
          </w:tcPr>
          <w:p w14:paraId="60F5C46E" w14:textId="77777777" w:rsidR="00F51FBD" w:rsidRPr="00900CEC" w:rsidRDefault="00F51FBD" w:rsidP="00163471">
            <w:pPr>
              <w:spacing w:line="240" w:lineRule="auto"/>
              <w:rPr>
                <w:color w:val="000000"/>
                <w:szCs w:val="22"/>
                <w:lang w:val="lt-LT"/>
              </w:rPr>
            </w:pPr>
            <w:r w:rsidRPr="00900CEC">
              <w:rPr>
                <w:b/>
                <w:color w:val="000000"/>
                <w:szCs w:val="22"/>
                <w:lang w:val="lt-LT"/>
              </w:rPr>
              <w:t>Labai retas</w:t>
            </w:r>
            <w:r w:rsidRPr="00900CEC">
              <w:rPr>
                <w:color w:val="000000"/>
                <w:szCs w:val="22"/>
                <w:lang w:val="lt-LT"/>
              </w:rPr>
              <w:t xml:space="preserve">: </w:t>
            </w:r>
            <w:proofErr w:type="spellStart"/>
            <w:r w:rsidRPr="00900CEC">
              <w:rPr>
                <w:i/>
                <w:color w:val="000000"/>
                <w:szCs w:val="22"/>
                <w:lang w:val="lt-LT"/>
              </w:rPr>
              <w:t>vertigo</w:t>
            </w:r>
            <w:proofErr w:type="spellEnd"/>
            <w:r w:rsidRPr="00900CEC">
              <w:rPr>
                <w:color w:val="000000"/>
                <w:szCs w:val="22"/>
                <w:lang w:val="lt-LT"/>
              </w:rPr>
              <w:t xml:space="preserve"> (svaigimas).</w:t>
            </w:r>
          </w:p>
          <w:p w14:paraId="4F7D8D65" w14:textId="77777777" w:rsidR="00F51FBD" w:rsidRPr="00900CEC" w:rsidRDefault="00F51FBD" w:rsidP="00163471">
            <w:pPr>
              <w:spacing w:line="240" w:lineRule="auto"/>
              <w:rPr>
                <w:szCs w:val="22"/>
                <w:lang w:val="lt-LT"/>
              </w:rPr>
            </w:pPr>
            <w:r w:rsidRPr="00900CEC">
              <w:rPr>
                <w:b/>
                <w:szCs w:val="22"/>
                <w:lang w:val="lt-LT"/>
              </w:rPr>
              <w:t>Dažnas</w:t>
            </w:r>
            <w:r w:rsidRPr="00900CEC">
              <w:rPr>
                <w:szCs w:val="22"/>
                <w:lang w:val="lt-LT"/>
              </w:rPr>
              <w:t xml:space="preserve">: </w:t>
            </w:r>
            <w:proofErr w:type="spellStart"/>
            <w:r w:rsidRPr="00900CEC">
              <w:rPr>
                <w:i/>
                <w:szCs w:val="22"/>
                <w:lang w:val="lt-LT"/>
              </w:rPr>
              <w:t>tinnitus</w:t>
            </w:r>
            <w:proofErr w:type="spellEnd"/>
            <w:r w:rsidRPr="00900CEC">
              <w:rPr>
                <w:szCs w:val="22"/>
                <w:lang w:val="lt-LT"/>
              </w:rPr>
              <w:t xml:space="preserve"> (ūžesys) (dėl vaistinių preparatų, kurių sudėtyje yra ibuprofeno).</w:t>
            </w:r>
          </w:p>
          <w:p w14:paraId="1EA648F0" w14:textId="77777777" w:rsidR="00F51FBD" w:rsidRPr="00900CEC" w:rsidRDefault="00F51FBD" w:rsidP="00163471">
            <w:pPr>
              <w:spacing w:line="240" w:lineRule="auto"/>
              <w:rPr>
                <w:color w:val="000000"/>
                <w:szCs w:val="22"/>
                <w:lang w:val="lt-LT"/>
              </w:rPr>
            </w:pPr>
          </w:p>
        </w:tc>
      </w:tr>
      <w:tr w:rsidR="00F51FBD" w:rsidRPr="00D06CE3" w14:paraId="6B332A9B" w14:textId="77777777" w:rsidTr="00163471">
        <w:tc>
          <w:tcPr>
            <w:tcW w:w="2235" w:type="dxa"/>
          </w:tcPr>
          <w:p w14:paraId="458F1E56" w14:textId="77777777" w:rsidR="00F51FBD" w:rsidRPr="00900CEC" w:rsidRDefault="00F51FBD" w:rsidP="00163471">
            <w:pPr>
              <w:spacing w:line="240" w:lineRule="auto"/>
              <w:rPr>
                <w:b/>
                <w:color w:val="000000"/>
                <w:szCs w:val="22"/>
                <w:lang w:val="lt-LT"/>
              </w:rPr>
            </w:pPr>
            <w:r w:rsidRPr="00900CEC">
              <w:rPr>
                <w:b/>
                <w:color w:val="000000"/>
                <w:szCs w:val="22"/>
                <w:lang w:val="lt-LT"/>
              </w:rPr>
              <w:t>Širdies sutrikimai</w:t>
            </w:r>
          </w:p>
        </w:tc>
        <w:tc>
          <w:tcPr>
            <w:tcW w:w="7007" w:type="dxa"/>
          </w:tcPr>
          <w:p w14:paraId="1E8BABC6" w14:textId="77777777" w:rsidR="00F51FBD" w:rsidRPr="00900CEC" w:rsidRDefault="00F51FBD" w:rsidP="00163471">
            <w:pPr>
              <w:spacing w:line="240" w:lineRule="auto"/>
              <w:rPr>
                <w:szCs w:val="22"/>
                <w:lang w:val="lt-LT"/>
              </w:rPr>
            </w:pPr>
            <w:r w:rsidRPr="00900CEC">
              <w:rPr>
                <w:b/>
                <w:szCs w:val="22"/>
                <w:lang w:val="lt-LT"/>
              </w:rPr>
              <w:t>Dažnas</w:t>
            </w:r>
            <w:r w:rsidRPr="00900CEC">
              <w:rPr>
                <w:szCs w:val="22"/>
                <w:lang w:val="lt-LT"/>
              </w:rPr>
              <w:t xml:space="preserve">: edema, skysčių susilaikymas (jis dažniausiai greitai sumažėja nutraukus vaistinio preparato vartojimą). </w:t>
            </w:r>
          </w:p>
          <w:p w14:paraId="6F499F4C" w14:textId="77777777" w:rsidR="00F51FBD" w:rsidRPr="00900CEC" w:rsidRDefault="00F51FBD" w:rsidP="00163471">
            <w:pPr>
              <w:spacing w:line="240" w:lineRule="auto"/>
              <w:rPr>
                <w:color w:val="000000"/>
                <w:szCs w:val="22"/>
                <w:lang w:val="lt-LT"/>
              </w:rPr>
            </w:pPr>
            <w:r w:rsidRPr="00900CEC">
              <w:rPr>
                <w:b/>
                <w:color w:val="000000"/>
                <w:szCs w:val="22"/>
                <w:lang w:val="lt-LT"/>
              </w:rPr>
              <w:t>Labai retas</w:t>
            </w:r>
            <w:r w:rsidRPr="00900CEC">
              <w:rPr>
                <w:color w:val="000000"/>
                <w:szCs w:val="22"/>
                <w:lang w:val="lt-LT"/>
              </w:rPr>
              <w:t xml:space="preserve">: </w:t>
            </w:r>
            <w:proofErr w:type="spellStart"/>
            <w:r w:rsidRPr="00900CEC">
              <w:rPr>
                <w:color w:val="000000"/>
                <w:szCs w:val="22"/>
                <w:lang w:val="lt-LT"/>
              </w:rPr>
              <w:t>palpitacijos</w:t>
            </w:r>
            <w:proofErr w:type="spellEnd"/>
            <w:r w:rsidRPr="00900CEC">
              <w:rPr>
                <w:color w:val="000000"/>
                <w:szCs w:val="22"/>
                <w:lang w:val="lt-LT"/>
              </w:rPr>
              <w:t xml:space="preserve">, tachikardija, aritmijos ir kiti širdies ritmo sutrikimai. Užfiksuota su NVNU vartojimu susijusios hipertenzijos ir širdies nepakankamumo atvejų. </w:t>
            </w:r>
          </w:p>
          <w:p w14:paraId="767114AD" w14:textId="77777777" w:rsidR="00F51FBD" w:rsidRPr="00900CEC" w:rsidRDefault="00F51FBD" w:rsidP="00163471">
            <w:pPr>
              <w:spacing w:line="240" w:lineRule="auto"/>
              <w:rPr>
                <w:szCs w:val="22"/>
                <w:lang w:val="lt-LT"/>
              </w:rPr>
            </w:pPr>
          </w:p>
        </w:tc>
      </w:tr>
      <w:tr w:rsidR="00F51FBD" w:rsidRPr="00D06CE3" w14:paraId="0F2E97A9" w14:textId="77777777" w:rsidTr="00163471">
        <w:tc>
          <w:tcPr>
            <w:tcW w:w="2235" w:type="dxa"/>
          </w:tcPr>
          <w:p w14:paraId="24F65C98" w14:textId="77777777" w:rsidR="00F51FBD" w:rsidRPr="00900CEC" w:rsidRDefault="00F51FBD" w:rsidP="00163471">
            <w:pPr>
              <w:spacing w:line="240" w:lineRule="auto"/>
              <w:rPr>
                <w:b/>
                <w:bCs/>
                <w:color w:val="000000"/>
                <w:szCs w:val="22"/>
                <w:lang w:val="lt-LT"/>
              </w:rPr>
            </w:pPr>
            <w:r w:rsidRPr="00900CEC">
              <w:rPr>
                <w:b/>
                <w:bCs/>
                <w:color w:val="000000"/>
                <w:szCs w:val="22"/>
                <w:lang w:val="lt-LT"/>
              </w:rPr>
              <w:t>Kvėpavimo sistemos, krūtinės ląstos ir tarpuplaučio sutrikimai</w:t>
            </w:r>
          </w:p>
        </w:tc>
        <w:tc>
          <w:tcPr>
            <w:tcW w:w="7007" w:type="dxa"/>
          </w:tcPr>
          <w:p w14:paraId="1A4AF66F" w14:textId="77777777" w:rsidR="00F51FBD" w:rsidRPr="00900CEC" w:rsidRDefault="00F51FBD" w:rsidP="00163471">
            <w:pPr>
              <w:spacing w:line="240" w:lineRule="auto"/>
              <w:rPr>
                <w:color w:val="000000"/>
                <w:szCs w:val="22"/>
                <w:lang w:val="lt-LT"/>
              </w:rPr>
            </w:pPr>
            <w:r w:rsidRPr="00900CEC">
              <w:rPr>
                <w:b/>
                <w:color w:val="000000"/>
                <w:szCs w:val="22"/>
                <w:lang w:val="lt-LT"/>
              </w:rPr>
              <w:t>Nedažnas</w:t>
            </w:r>
            <w:r w:rsidRPr="00900CEC">
              <w:rPr>
                <w:color w:val="000000"/>
                <w:szCs w:val="22"/>
                <w:lang w:val="lt-LT"/>
              </w:rPr>
              <w:t xml:space="preserve">: sutirštėjęs kvėpavimo takų sekretas. Vaikams, kuriems atliekama </w:t>
            </w:r>
            <w:proofErr w:type="spellStart"/>
            <w:r w:rsidRPr="00900CEC">
              <w:rPr>
                <w:color w:val="000000"/>
                <w:szCs w:val="22"/>
                <w:lang w:val="lt-LT"/>
              </w:rPr>
              <w:t>tonzilektomija</w:t>
            </w:r>
            <w:proofErr w:type="spellEnd"/>
            <w:r w:rsidRPr="00900CEC">
              <w:rPr>
                <w:color w:val="000000"/>
                <w:szCs w:val="22"/>
                <w:lang w:val="lt-LT"/>
              </w:rPr>
              <w:t xml:space="preserve">, užfiksuotas </w:t>
            </w:r>
            <w:proofErr w:type="spellStart"/>
            <w:r w:rsidRPr="00900CEC">
              <w:rPr>
                <w:color w:val="000000"/>
                <w:szCs w:val="22"/>
                <w:lang w:val="lt-LT"/>
              </w:rPr>
              <w:t>stridoras</w:t>
            </w:r>
            <w:proofErr w:type="spellEnd"/>
            <w:r w:rsidRPr="00900CEC">
              <w:rPr>
                <w:color w:val="000000"/>
                <w:szCs w:val="22"/>
                <w:lang w:val="lt-LT"/>
              </w:rPr>
              <w:t xml:space="preserve">. Buvo pranešta apie </w:t>
            </w:r>
            <w:proofErr w:type="spellStart"/>
            <w:r w:rsidRPr="00900CEC">
              <w:rPr>
                <w:color w:val="000000"/>
                <w:szCs w:val="22"/>
                <w:lang w:val="lt-LT"/>
              </w:rPr>
              <w:t>hipoksemiją</w:t>
            </w:r>
            <w:proofErr w:type="spellEnd"/>
            <w:r w:rsidRPr="00900CEC">
              <w:rPr>
                <w:color w:val="000000"/>
                <w:szCs w:val="22"/>
                <w:lang w:val="lt-LT"/>
              </w:rPr>
              <w:t>.</w:t>
            </w:r>
          </w:p>
          <w:p w14:paraId="48DCB12D" w14:textId="77777777" w:rsidR="00F51FBD" w:rsidRPr="00900CEC" w:rsidRDefault="00F51FBD" w:rsidP="00163471">
            <w:pPr>
              <w:spacing w:line="240" w:lineRule="auto"/>
              <w:rPr>
                <w:color w:val="000000"/>
                <w:szCs w:val="22"/>
                <w:lang w:val="lt-LT"/>
              </w:rPr>
            </w:pPr>
            <w:r w:rsidRPr="00900CEC">
              <w:rPr>
                <w:b/>
                <w:color w:val="000000"/>
                <w:szCs w:val="22"/>
                <w:lang w:val="lt-LT"/>
              </w:rPr>
              <w:t>Labai retas</w:t>
            </w:r>
            <w:r w:rsidRPr="00900CEC">
              <w:rPr>
                <w:color w:val="000000"/>
                <w:szCs w:val="22"/>
                <w:lang w:val="lt-LT"/>
              </w:rPr>
              <w:t>: padidėjęs kvėpavimo takų reaktyvumas, įskaitant astmą, astmos paūmėjimą, bronchų spazmą ir dusulį.</w:t>
            </w:r>
          </w:p>
          <w:p w14:paraId="5585F5AB" w14:textId="77777777" w:rsidR="00F51FBD" w:rsidRPr="00900CEC" w:rsidRDefault="00F51FBD" w:rsidP="00163471">
            <w:pPr>
              <w:spacing w:line="240" w:lineRule="auto"/>
              <w:rPr>
                <w:b/>
                <w:color w:val="000000"/>
                <w:szCs w:val="22"/>
                <w:lang w:val="lt-LT"/>
              </w:rPr>
            </w:pPr>
          </w:p>
        </w:tc>
      </w:tr>
      <w:tr w:rsidR="00F51FBD" w:rsidRPr="00D06CE3" w14:paraId="791E656C" w14:textId="77777777" w:rsidTr="00163471">
        <w:trPr>
          <w:trHeight w:val="55"/>
        </w:trPr>
        <w:tc>
          <w:tcPr>
            <w:tcW w:w="2235" w:type="dxa"/>
          </w:tcPr>
          <w:p w14:paraId="097CEF83" w14:textId="77777777" w:rsidR="00F51FBD" w:rsidRPr="00900CEC" w:rsidRDefault="00F51FBD" w:rsidP="00163471">
            <w:pPr>
              <w:spacing w:line="240" w:lineRule="auto"/>
              <w:rPr>
                <w:color w:val="000000"/>
                <w:szCs w:val="22"/>
                <w:lang w:val="lt-LT"/>
              </w:rPr>
            </w:pPr>
            <w:r w:rsidRPr="00433AF3">
              <w:rPr>
                <w:b/>
                <w:bCs/>
                <w:color w:val="000000"/>
                <w:szCs w:val="22"/>
                <w:lang w:val="lt-LT"/>
              </w:rPr>
              <w:t>V</w:t>
            </w:r>
            <w:r w:rsidRPr="00900CEC">
              <w:rPr>
                <w:b/>
                <w:bCs/>
                <w:color w:val="000000"/>
                <w:szCs w:val="22"/>
                <w:lang w:val="lt-LT"/>
              </w:rPr>
              <w:t>irškinimo trakto sutrikimai</w:t>
            </w:r>
          </w:p>
        </w:tc>
        <w:tc>
          <w:tcPr>
            <w:tcW w:w="7007" w:type="dxa"/>
          </w:tcPr>
          <w:p w14:paraId="18FD2226" w14:textId="77777777" w:rsidR="00F51FBD" w:rsidRPr="00900CEC" w:rsidRDefault="00F51FBD" w:rsidP="00163471">
            <w:pPr>
              <w:spacing w:line="240" w:lineRule="auto"/>
              <w:rPr>
                <w:color w:val="000000"/>
                <w:szCs w:val="22"/>
                <w:lang w:val="lt-LT"/>
              </w:rPr>
            </w:pPr>
            <w:r w:rsidRPr="00900CEC">
              <w:rPr>
                <w:b/>
                <w:color w:val="000000"/>
                <w:szCs w:val="22"/>
                <w:lang w:val="lt-LT"/>
              </w:rPr>
              <w:t>Dažnas</w:t>
            </w:r>
            <w:r w:rsidRPr="00900CEC">
              <w:rPr>
                <w:color w:val="000000"/>
                <w:szCs w:val="22"/>
                <w:lang w:val="lt-LT"/>
              </w:rPr>
              <w:t>: pilvo skausmas, viduriavimas, dispepsija, pykinimas, diskomfortas skrandyje ir vėmimas, pilvo pūtimas, vidurių užkietėjimas ir nedidelis kraujavimas virškinimo trakte (išimtiniais atvejais dėl jo gali pasireikšti anemija).</w:t>
            </w:r>
          </w:p>
          <w:p w14:paraId="4213D011" w14:textId="77777777" w:rsidR="00F51FBD" w:rsidRPr="00900CEC" w:rsidRDefault="00F51FBD" w:rsidP="00163471">
            <w:pPr>
              <w:spacing w:line="240" w:lineRule="auto"/>
              <w:rPr>
                <w:color w:val="000000"/>
                <w:szCs w:val="22"/>
                <w:lang w:val="lt-LT"/>
              </w:rPr>
            </w:pPr>
            <w:r w:rsidRPr="00900CEC">
              <w:rPr>
                <w:b/>
                <w:color w:val="000000"/>
                <w:szCs w:val="22"/>
                <w:lang w:val="lt-LT"/>
              </w:rPr>
              <w:t>Nedažnas</w:t>
            </w:r>
            <w:r w:rsidRPr="00900CEC">
              <w:rPr>
                <w:color w:val="000000"/>
                <w:szCs w:val="22"/>
                <w:lang w:val="lt-LT"/>
              </w:rPr>
              <w:t xml:space="preserve">: </w:t>
            </w:r>
            <w:proofErr w:type="spellStart"/>
            <w:r w:rsidRPr="00900CEC">
              <w:rPr>
                <w:color w:val="000000"/>
                <w:szCs w:val="22"/>
                <w:lang w:val="lt-LT"/>
              </w:rPr>
              <w:t>peptinė</w:t>
            </w:r>
            <w:proofErr w:type="spellEnd"/>
            <w:r w:rsidRPr="00900CEC">
              <w:rPr>
                <w:color w:val="000000"/>
                <w:szCs w:val="22"/>
                <w:lang w:val="lt-LT"/>
              </w:rPr>
              <w:t xml:space="preserve"> virškinimo trakto opa, perforacija ir virškinimo trakto kraujavimas (jį gali rodyti </w:t>
            </w:r>
            <w:proofErr w:type="spellStart"/>
            <w:r w:rsidRPr="00900CEC">
              <w:rPr>
                <w:color w:val="000000"/>
                <w:szCs w:val="22"/>
                <w:lang w:val="lt-LT"/>
              </w:rPr>
              <w:t>melena</w:t>
            </w:r>
            <w:proofErr w:type="spellEnd"/>
            <w:r w:rsidRPr="00900CEC">
              <w:rPr>
                <w:color w:val="000000"/>
                <w:szCs w:val="22"/>
                <w:lang w:val="lt-LT"/>
              </w:rPr>
              <w:t xml:space="preserve"> ar </w:t>
            </w:r>
            <w:proofErr w:type="spellStart"/>
            <w:r w:rsidRPr="00900CEC">
              <w:rPr>
                <w:color w:val="000000"/>
                <w:szCs w:val="22"/>
                <w:lang w:val="lt-LT"/>
              </w:rPr>
              <w:t>hematemezė</w:t>
            </w:r>
            <w:proofErr w:type="spellEnd"/>
            <w:r w:rsidRPr="00900CEC">
              <w:rPr>
                <w:color w:val="000000"/>
                <w:szCs w:val="22"/>
                <w:lang w:val="lt-LT"/>
              </w:rPr>
              <w:t>), kurie kartais gali būti mirtini, ypač senyviems asmenims. Užfiksuota opinio stomatito bei kolito ir Krono ligos paūmėjimo atvejų. Rečiau pasireiškė gastritas ir pankreatitas</w:t>
            </w:r>
            <w:r w:rsidRPr="00325F85">
              <w:rPr>
                <w:color w:val="000000"/>
                <w:szCs w:val="22"/>
                <w:lang w:val="lt-LT"/>
              </w:rPr>
              <w:t xml:space="preserve">. Užfiksuota rūgšties sukeliamos </w:t>
            </w:r>
            <w:proofErr w:type="spellStart"/>
            <w:r w:rsidRPr="00325F85">
              <w:rPr>
                <w:color w:val="000000"/>
                <w:szCs w:val="22"/>
                <w:lang w:val="lt-LT"/>
              </w:rPr>
              <w:t>peptinės</w:t>
            </w:r>
            <w:proofErr w:type="spellEnd"/>
            <w:r w:rsidRPr="00325F85">
              <w:rPr>
                <w:color w:val="000000"/>
                <w:szCs w:val="22"/>
                <w:lang w:val="lt-LT"/>
              </w:rPr>
              <w:t xml:space="preserve"> </w:t>
            </w:r>
            <w:r w:rsidRPr="00900CEC">
              <w:rPr>
                <w:color w:val="000000"/>
                <w:szCs w:val="22"/>
                <w:lang w:val="lt-LT"/>
              </w:rPr>
              <w:t>ligos atvejų.</w:t>
            </w:r>
          </w:p>
          <w:p w14:paraId="0D21E1DD" w14:textId="77777777" w:rsidR="00F51FBD" w:rsidRPr="00900CEC" w:rsidRDefault="00F51FBD" w:rsidP="00163471">
            <w:pPr>
              <w:spacing w:line="240" w:lineRule="auto"/>
              <w:rPr>
                <w:szCs w:val="22"/>
                <w:lang w:val="lt-LT"/>
              </w:rPr>
            </w:pPr>
            <w:r w:rsidRPr="00900CEC">
              <w:rPr>
                <w:b/>
                <w:szCs w:val="22"/>
                <w:lang w:val="lt-LT"/>
              </w:rPr>
              <w:t>Labai retas:</w:t>
            </w:r>
            <w:r w:rsidRPr="00900CEC">
              <w:rPr>
                <w:szCs w:val="22"/>
                <w:lang w:val="lt-LT"/>
              </w:rPr>
              <w:t xml:space="preserve"> </w:t>
            </w:r>
            <w:proofErr w:type="spellStart"/>
            <w:r w:rsidRPr="00900CEC">
              <w:rPr>
                <w:szCs w:val="22"/>
                <w:lang w:val="lt-LT"/>
              </w:rPr>
              <w:t>ezofagitas</w:t>
            </w:r>
            <w:proofErr w:type="spellEnd"/>
            <w:r w:rsidRPr="00900CEC">
              <w:rPr>
                <w:szCs w:val="22"/>
                <w:lang w:val="lt-LT"/>
              </w:rPr>
              <w:t>, žarnų-diafragmos sąaugos.</w:t>
            </w:r>
          </w:p>
          <w:p w14:paraId="67E28BE9" w14:textId="77777777" w:rsidR="00F51FBD" w:rsidRPr="00900CEC" w:rsidRDefault="00F51FBD" w:rsidP="00163471">
            <w:pPr>
              <w:spacing w:line="240" w:lineRule="auto"/>
              <w:rPr>
                <w:szCs w:val="22"/>
                <w:lang w:val="lt-LT"/>
              </w:rPr>
            </w:pPr>
          </w:p>
        </w:tc>
      </w:tr>
      <w:tr w:rsidR="00F51FBD" w:rsidRPr="00D06CE3" w14:paraId="2593CEFB" w14:textId="77777777" w:rsidTr="00163471">
        <w:tc>
          <w:tcPr>
            <w:tcW w:w="2235" w:type="dxa"/>
          </w:tcPr>
          <w:p w14:paraId="1E25E323" w14:textId="77777777" w:rsidR="00F51FBD" w:rsidRPr="00900CEC" w:rsidRDefault="00F51FBD" w:rsidP="00163471">
            <w:pPr>
              <w:spacing w:line="240" w:lineRule="auto"/>
              <w:rPr>
                <w:color w:val="000000"/>
                <w:szCs w:val="22"/>
                <w:lang w:val="lt-LT"/>
              </w:rPr>
            </w:pPr>
            <w:r w:rsidRPr="00900CEC">
              <w:rPr>
                <w:b/>
                <w:bCs/>
                <w:color w:val="000000"/>
                <w:szCs w:val="22"/>
                <w:lang w:val="lt-LT"/>
              </w:rPr>
              <w:t>Kepenų, tulžies pūslės ir latakų sutrikimai</w:t>
            </w:r>
          </w:p>
        </w:tc>
        <w:tc>
          <w:tcPr>
            <w:tcW w:w="7007" w:type="dxa"/>
          </w:tcPr>
          <w:p w14:paraId="2E8775C8" w14:textId="58259456" w:rsidR="00F51FBD" w:rsidRPr="00900CEC" w:rsidRDefault="00F51FBD" w:rsidP="00163471">
            <w:pPr>
              <w:spacing w:line="240" w:lineRule="auto"/>
              <w:rPr>
                <w:color w:val="000000"/>
                <w:szCs w:val="22"/>
                <w:lang w:val="lt-LT"/>
              </w:rPr>
            </w:pPr>
            <w:r w:rsidRPr="00900CEC">
              <w:rPr>
                <w:b/>
                <w:color w:val="000000"/>
                <w:szCs w:val="22"/>
                <w:lang w:val="lt-LT"/>
              </w:rPr>
              <w:t>Labai retas</w:t>
            </w:r>
            <w:r w:rsidRPr="00900CEC">
              <w:rPr>
                <w:color w:val="000000"/>
                <w:szCs w:val="22"/>
                <w:lang w:val="lt-LT"/>
              </w:rPr>
              <w:t>: kepenų</w:t>
            </w:r>
            <w:r w:rsidRPr="00900CEC">
              <w:rPr>
                <w:szCs w:val="22"/>
                <w:lang w:val="lt-LT"/>
              </w:rPr>
              <w:t xml:space="preserve"> pažeidimas, ypač vartojant ilgai, kepenų nepakankamumas, sutrikusi </w:t>
            </w:r>
            <w:r w:rsidRPr="00900CEC">
              <w:rPr>
                <w:color w:val="000000"/>
                <w:szCs w:val="22"/>
                <w:lang w:val="lt-LT"/>
              </w:rPr>
              <w:t xml:space="preserve">kepenų funkcija, hepatitas ir gelta. Paracetamolio perdozavimas gali sukelti ūminį kepenų nepakankamumą, kepenų nepakankamumą, kepenų nekrozę ir kepenų pažeidimą. </w:t>
            </w:r>
          </w:p>
          <w:p w14:paraId="1DBE38C0" w14:textId="77777777" w:rsidR="00F51FBD" w:rsidRPr="00900CEC" w:rsidRDefault="00F51FBD" w:rsidP="00163471">
            <w:pPr>
              <w:spacing w:line="240" w:lineRule="auto"/>
              <w:rPr>
                <w:color w:val="000000"/>
                <w:szCs w:val="22"/>
                <w:lang w:val="lt-LT"/>
              </w:rPr>
            </w:pPr>
          </w:p>
        </w:tc>
      </w:tr>
      <w:tr w:rsidR="00F51FBD" w:rsidRPr="007D15E4" w14:paraId="27CAF979" w14:textId="77777777" w:rsidTr="00163471">
        <w:tc>
          <w:tcPr>
            <w:tcW w:w="2235" w:type="dxa"/>
          </w:tcPr>
          <w:p w14:paraId="327833A0" w14:textId="77777777" w:rsidR="00F51FBD" w:rsidRDefault="00F51FBD" w:rsidP="00163471">
            <w:pPr>
              <w:spacing w:line="240" w:lineRule="auto"/>
              <w:rPr>
                <w:b/>
                <w:bCs/>
                <w:color w:val="000000"/>
                <w:szCs w:val="22"/>
                <w:lang w:val="lt-LT"/>
              </w:rPr>
            </w:pPr>
            <w:r w:rsidRPr="00900CEC">
              <w:rPr>
                <w:b/>
                <w:bCs/>
                <w:color w:val="000000"/>
                <w:szCs w:val="22"/>
                <w:lang w:val="lt-LT"/>
              </w:rPr>
              <w:t>Odos ir poodinio audinio sutrikimai</w:t>
            </w:r>
          </w:p>
          <w:p w14:paraId="48613CB1" w14:textId="77777777" w:rsidR="00F51FBD" w:rsidRDefault="00F51FBD" w:rsidP="00163471">
            <w:pPr>
              <w:rPr>
                <w:szCs w:val="22"/>
                <w:lang w:val="lt-LT"/>
              </w:rPr>
            </w:pPr>
          </w:p>
          <w:p w14:paraId="55623BA6" w14:textId="77777777" w:rsidR="00F51FBD" w:rsidRPr="000A6C26" w:rsidRDefault="00F51FBD" w:rsidP="00163471">
            <w:pPr>
              <w:jc w:val="right"/>
              <w:rPr>
                <w:szCs w:val="22"/>
                <w:lang w:val="lt-LT"/>
              </w:rPr>
            </w:pPr>
          </w:p>
        </w:tc>
        <w:tc>
          <w:tcPr>
            <w:tcW w:w="7007" w:type="dxa"/>
          </w:tcPr>
          <w:p w14:paraId="349737FB" w14:textId="77777777" w:rsidR="00F51FBD" w:rsidRPr="00900CEC" w:rsidRDefault="00F51FBD" w:rsidP="00163471">
            <w:pPr>
              <w:spacing w:line="240" w:lineRule="auto"/>
              <w:rPr>
                <w:szCs w:val="22"/>
                <w:lang w:val="lt-LT"/>
              </w:rPr>
            </w:pPr>
            <w:r w:rsidRPr="00900CEC">
              <w:rPr>
                <w:b/>
                <w:szCs w:val="22"/>
                <w:lang w:val="lt-LT"/>
              </w:rPr>
              <w:lastRenderedPageBreak/>
              <w:t>Dažnas</w:t>
            </w:r>
            <w:r w:rsidRPr="00900CEC">
              <w:rPr>
                <w:szCs w:val="22"/>
                <w:lang w:val="lt-LT"/>
              </w:rPr>
              <w:t xml:space="preserve">: išbėrimas (įskaitant </w:t>
            </w:r>
            <w:proofErr w:type="spellStart"/>
            <w:r w:rsidRPr="00900CEC">
              <w:rPr>
                <w:szCs w:val="22"/>
                <w:lang w:val="lt-LT"/>
              </w:rPr>
              <w:t>makulopapulinį</w:t>
            </w:r>
            <w:proofErr w:type="spellEnd"/>
            <w:r w:rsidRPr="00900CEC">
              <w:rPr>
                <w:szCs w:val="22"/>
                <w:lang w:val="lt-LT"/>
              </w:rPr>
              <w:t>), niežėjimas.</w:t>
            </w:r>
          </w:p>
          <w:p w14:paraId="284B6882" w14:textId="77777777" w:rsidR="00F51FBD" w:rsidRPr="00900CEC" w:rsidRDefault="00F51FBD" w:rsidP="00163471">
            <w:pPr>
              <w:spacing w:line="240" w:lineRule="auto"/>
              <w:rPr>
                <w:bCs/>
                <w:color w:val="000000"/>
                <w:szCs w:val="22"/>
                <w:lang w:val="lt-LT"/>
              </w:rPr>
            </w:pPr>
            <w:r w:rsidRPr="00900CEC">
              <w:rPr>
                <w:b/>
                <w:color w:val="000000"/>
                <w:szCs w:val="22"/>
                <w:lang w:val="lt-LT"/>
              </w:rPr>
              <w:lastRenderedPageBreak/>
              <w:t>Labai retas</w:t>
            </w:r>
            <w:r w:rsidRPr="00900CEC">
              <w:rPr>
                <w:color w:val="000000"/>
                <w:szCs w:val="22"/>
                <w:lang w:val="lt-LT"/>
              </w:rPr>
              <w:t xml:space="preserve">: </w:t>
            </w:r>
            <w:proofErr w:type="spellStart"/>
            <w:r w:rsidRPr="00900CEC">
              <w:rPr>
                <w:color w:val="000000"/>
                <w:szCs w:val="22"/>
                <w:lang w:val="lt-LT"/>
              </w:rPr>
              <w:t>alopecija</w:t>
            </w:r>
            <w:proofErr w:type="spellEnd"/>
            <w:r w:rsidRPr="00900CEC">
              <w:rPr>
                <w:color w:val="000000"/>
                <w:szCs w:val="22"/>
                <w:lang w:val="lt-LT"/>
              </w:rPr>
              <w:t xml:space="preserve">, </w:t>
            </w:r>
            <w:proofErr w:type="spellStart"/>
            <w:r w:rsidRPr="00900CEC">
              <w:rPr>
                <w:color w:val="000000"/>
                <w:szCs w:val="22"/>
                <w:lang w:val="lt-LT"/>
              </w:rPr>
              <w:t>hiperhidrozė</w:t>
            </w:r>
            <w:proofErr w:type="spellEnd"/>
            <w:r w:rsidRPr="00900CEC">
              <w:rPr>
                <w:color w:val="000000"/>
                <w:szCs w:val="22"/>
                <w:lang w:val="lt-LT"/>
              </w:rPr>
              <w:t xml:space="preserve">, purpura, padidėjęs jautrumas šviesai, </w:t>
            </w:r>
            <w:proofErr w:type="spellStart"/>
            <w:r w:rsidRPr="00900CEC">
              <w:rPr>
                <w:color w:val="000000"/>
                <w:szCs w:val="22"/>
                <w:lang w:val="lt-LT"/>
              </w:rPr>
              <w:t>eksfoliacinės</w:t>
            </w:r>
            <w:proofErr w:type="spellEnd"/>
            <w:r w:rsidRPr="00900CEC">
              <w:rPr>
                <w:color w:val="000000"/>
                <w:szCs w:val="22"/>
                <w:lang w:val="lt-LT"/>
              </w:rPr>
              <w:t xml:space="preserve"> </w:t>
            </w:r>
            <w:proofErr w:type="spellStart"/>
            <w:r w:rsidRPr="00900CEC">
              <w:rPr>
                <w:color w:val="000000"/>
                <w:szCs w:val="22"/>
                <w:lang w:val="lt-LT"/>
              </w:rPr>
              <w:t>dermatozės</w:t>
            </w:r>
            <w:proofErr w:type="spellEnd"/>
            <w:r w:rsidRPr="00900CEC">
              <w:rPr>
                <w:color w:val="000000"/>
                <w:szCs w:val="22"/>
                <w:lang w:val="lt-LT"/>
              </w:rPr>
              <w:t xml:space="preserve">, </w:t>
            </w:r>
            <w:proofErr w:type="spellStart"/>
            <w:r w:rsidRPr="00900CEC">
              <w:rPr>
                <w:color w:val="000000"/>
                <w:szCs w:val="22"/>
                <w:lang w:val="lt-LT"/>
              </w:rPr>
              <w:t>pūslinės</w:t>
            </w:r>
            <w:proofErr w:type="spellEnd"/>
            <w:r w:rsidRPr="00900CEC">
              <w:rPr>
                <w:color w:val="000000"/>
                <w:szCs w:val="22"/>
                <w:lang w:val="lt-LT"/>
              </w:rPr>
              <w:t xml:space="preserve"> reakcijos (daugiaformė eritema, Stivenso-Džonsono (</w:t>
            </w:r>
            <w:r w:rsidRPr="00900CEC">
              <w:rPr>
                <w:i/>
                <w:color w:val="000000"/>
                <w:szCs w:val="22"/>
                <w:lang w:val="lt-LT"/>
              </w:rPr>
              <w:t>Stevens-Johnson</w:t>
            </w:r>
            <w:r w:rsidRPr="00900CEC">
              <w:rPr>
                <w:iCs/>
                <w:color w:val="000000"/>
                <w:szCs w:val="22"/>
                <w:lang w:val="lt-LT"/>
              </w:rPr>
              <w:t>)</w:t>
            </w:r>
            <w:r w:rsidRPr="00900CEC">
              <w:rPr>
                <w:color w:val="000000"/>
                <w:szCs w:val="22"/>
                <w:lang w:val="lt-LT"/>
              </w:rPr>
              <w:t xml:space="preserve"> sindromas, toksinė epidermio </w:t>
            </w:r>
            <w:proofErr w:type="spellStart"/>
            <w:r w:rsidRPr="00900CEC">
              <w:rPr>
                <w:color w:val="000000"/>
                <w:szCs w:val="22"/>
                <w:lang w:val="lt-LT"/>
              </w:rPr>
              <w:t>nekrolizė</w:t>
            </w:r>
            <w:proofErr w:type="spellEnd"/>
            <w:r w:rsidRPr="00900CEC">
              <w:rPr>
                <w:color w:val="000000"/>
                <w:szCs w:val="22"/>
                <w:lang w:val="lt-LT"/>
              </w:rPr>
              <w:t xml:space="preserve">). </w:t>
            </w:r>
            <w:r w:rsidRPr="00900CEC">
              <w:rPr>
                <w:bCs/>
                <w:color w:val="000000"/>
                <w:szCs w:val="22"/>
                <w:lang w:val="lt-LT"/>
              </w:rPr>
              <w:t xml:space="preserve">Labai retais atvejais </w:t>
            </w:r>
            <w:r w:rsidRPr="00900CEC">
              <w:rPr>
                <w:color w:val="000000"/>
                <w:szCs w:val="22"/>
                <w:lang w:val="lt-LT"/>
              </w:rPr>
              <w:t xml:space="preserve">užfiksuota </w:t>
            </w:r>
            <w:r w:rsidRPr="00900CEC">
              <w:rPr>
                <w:bCs/>
                <w:color w:val="000000"/>
                <w:szCs w:val="22"/>
                <w:lang w:val="lt-LT"/>
              </w:rPr>
              <w:t>sunkių odos reakcijų. Išimtiniais atvejais esant vėjaraupių viruso infekcijai gali pasireikšti stipriai išreikšta odos infekcija su minkštųjų audinių komplikacijomis.</w:t>
            </w:r>
          </w:p>
          <w:p w14:paraId="6FF51246" w14:textId="7FF9EEF1" w:rsidR="00F51FBD" w:rsidRPr="00900CEC" w:rsidRDefault="00F51FBD" w:rsidP="00163471">
            <w:pPr>
              <w:spacing w:line="240" w:lineRule="auto"/>
              <w:rPr>
                <w:bCs/>
                <w:color w:val="000000"/>
                <w:szCs w:val="22"/>
                <w:lang w:val="lt-LT"/>
              </w:rPr>
            </w:pPr>
            <w:r w:rsidRPr="00900CEC">
              <w:rPr>
                <w:b/>
                <w:bCs/>
                <w:color w:val="000000"/>
                <w:szCs w:val="22"/>
                <w:lang w:val="lt-LT"/>
              </w:rPr>
              <w:t>Nežinomas</w:t>
            </w:r>
            <w:r w:rsidRPr="00900CEC">
              <w:rPr>
                <w:bCs/>
                <w:color w:val="000000"/>
                <w:szCs w:val="22"/>
                <w:lang w:val="lt-LT"/>
              </w:rPr>
              <w:t>: vaist</w:t>
            </w:r>
            <w:r w:rsidR="006F1B5C">
              <w:rPr>
                <w:bCs/>
                <w:color w:val="000000"/>
                <w:szCs w:val="22"/>
                <w:lang w:val="lt-LT"/>
              </w:rPr>
              <w:t>ini</w:t>
            </w:r>
            <w:r w:rsidRPr="00900CEC">
              <w:rPr>
                <w:bCs/>
                <w:color w:val="000000"/>
                <w:szCs w:val="22"/>
                <w:lang w:val="lt-LT"/>
              </w:rPr>
              <w:t xml:space="preserve">ų </w:t>
            </w:r>
            <w:r w:rsidR="006F1B5C">
              <w:rPr>
                <w:bCs/>
                <w:color w:val="000000"/>
                <w:szCs w:val="22"/>
                <w:lang w:val="lt-LT"/>
              </w:rPr>
              <w:t xml:space="preserve">preparatų </w:t>
            </w:r>
            <w:r w:rsidRPr="00900CEC">
              <w:rPr>
                <w:bCs/>
                <w:color w:val="000000"/>
                <w:szCs w:val="22"/>
                <w:lang w:val="lt-LT"/>
              </w:rPr>
              <w:t xml:space="preserve">sukelta reakcija su </w:t>
            </w:r>
            <w:proofErr w:type="spellStart"/>
            <w:r w:rsidRPr="00900CEC">
              <w:rPr>
                <w:bCs/>
                <w:color w:val="000000"/>
                <w:szCs w:val="22"/>
                <w:lang w:val="lt-LT"/>
              </w:rPr>
              <w:t>eozinofilija</w:t>
            </w:r>
            <w:proofErr w:type="spellEnd"/>
            <w:r w:rsidRPr="00900CEC">
              <w:rPr>
                <w:bCs/>
                <w:color w:val="000000"/>
                <w:szCs w:val="22"/>
                <w:lang w:val="lt-LT"/>
              </w:rPr>
              <w:t xml:space="preserve"> ir sisteminiais simptomais (angl. </w:t>
            </w:r>
            <w:proofErr w:type="spellStart"/>
            <w:r w:rsidRPr="00900CEC">
              <w:rPr>
                <w:bCs/>
                <w:i/>
                <w:color w:val="000000"/>
                <w:szCs w:val="22"/>
                <w:lang w:val="lt-LT"/>
              </w:rPr>
              <w:t>Drug</w:t>
            </w:r>
            <w:proofErr w:type="spellEnd"/>
            <w:r w:rsidRPr="00900CEC">
              <w:rPr>
                <w:bCs/>
                <w:i/>
                <w:color w:val="000000"/>
                <w:szCs w:val="22"/>
                <w:lang w:val="lt-LT"/>
              </w:rPr>
              <w:t xml:space="preserve"> </w:t>
            </w:r>
            <w:proofErr w:type="spellStart"/>
            <w:r w:rsidRPr="00900CEC">
              <w:rPr>
                <w:bCs/>
                <w:i/>
                <w:color w:val="000000"/>
                <w:szCs w:val="22"/>
                <w:lang w:val="lt-LT"/>
              </w:rPr>
              <w:t>reaction</w:t>
            </w:r>
            <w:proofErr w:type="spellEnd"/>
            <w:r w:rsidRPr="00900CEC">
              <w:rPr>
                <w:bCs/>
                <w:i/>
                <w:color w:val="000000"/>
                <w:szCs w:val="22"/>
                <w:lang w:val="lt-LT"/>
              </w:rPr>
              <w:t xml:space="preserve"> </w:t>
            </w:r>
            <w:proofErr w:type="spellStart"/>
            <w:r w:rsidRPr="00900CEC">
              <w:rPr>
                <w:bCs/>
                <w:i/>
                <w:color w:val="000000"/>
                <w:szCs w:val="22"/>
                <w:lang w:val="lt-LT"/>
              </w:rPr>
              <w:t>with</w:t>
            </w:r>
            <w:proofErr w:type="spellEnd"/>
            <w:r w:rsidRPr="00900CEC">
              <w:rPr>
                <w:bCs/>
                <w:i/>
                <w:color w:val="000000"/>
                <w:szCs w:val="22"/>
                <w:lang w:val="lt-LT"/>
              </w:rPr>
              <w:t xml:space="preserve"> </w:t>
            </w:r>
            <w:proofErr w:type="spellStart"/>
            <w:r w:rsidRPr="00900CEC">
              <w:rPr>
                <w:bCs/>
                <w:i/>
                <w:color w:val="000000"/>
                <w:szCs w:val="22"/>
                <w:lang w:val="lt-LT"/>
              </w:rPr>
              <w:t>eosinophilia</w:t>
            </w:r>
            <w:proofErr w:type="spellEnd"/>
            <w:r w:rsidRPr="00900CEC">
              <w:rPr>
                <w:bCs/>
                <w:i/>
                <w:color w:val="000000"/>
                <w:szCs w:val="22"/>
                <w:lang w:val="lt-LT"/>
              </w:rPr>
              <w:t xml:space="preserve"> </w:t>
            </w:r>
            <w:proofErr w:type="spellStart"/>
            <w:r w:rsidRPr="00900CEC">
              <w:rPr>
                <w:bCs/>
                <w:i/>
                <w:color w:val="000000"/>
                <w:szCs w:val="22"/>
                <w:lang w:val="lt-LT"/>
              </w:rPr>
              <w:t>and</w:t>
            </w:r>
            <w:proofErr w:type="spellEnd"/>
            <w:r w:rsidRPr="00900CEC">
              <w:rPr>
                <w:bCs/>
                <w:i/>
                <w:color w:val="000000"/>
                <w:szCs w:val="22"/>
                <w:lang w:val="lt-LT"/>
              </w:rPr>
              <w:t xml:space="preserve"> </w:t>
            </w:r>
            <w:proofErr w:type="spellStart"/>
            <w:r w:rsidRPr="00900CEC">
              <w:rPr>
                <w:bCs/>
                <w:i/>
                <w:color w:val="000000"/>
                <w:szCs w:val="22"/>
                <w:lang w:val="lt-LT"/>
              </w:rPr>
              <w:t>systemic</w:t>
            </w:r>
            <w:proofErr w:type="spellEnd"/>
            <w:r w:rsidRPr="00900CEC">
              <w:rPr>
                <w:bCs/>
                <w:i/>
                <w:color w:val="000000"/>
                <w:szCs w:val="22"/>
                <w:lang w:val="lt-LT"/>
              </w:rPr>
              <w:t xml:space="preserve"> </w:t>
            </w:r>
            <w:proofErr w:type="spellStart"/>
            <w:r w:rsidRPr="00900CEC">
              <w:rPr>
                <w:bCs/>
                <w:i/>
                <w:color w:val="000000"/>
                <w:szCs w:val="22"/>
                <w:lang w:val="lt-LT"/>
              </w:rPr>
              <w:t>symptoms</w:t>
            </w:r>
            <w:proofErr w:type="spellEnd"/>
            <w:r w:rsidRPr="00900CEC">
              <w:rPr>
                <w:bCs/>
                <w:i/>
                <w:color w:val="000000"/>
                <w:szCs w:val="22"/>
                <w:lang w:val="lt-LT"/>
              </w:rPr>
              <w:t xml:space="preserve">, </w:t>
            </w:r>
            <w:r w:rsidRPr="000A6C26">
              <w:rPr>
                <w:bCs/>
                <w:color w:val="000000"/>
                <w:szCs w:val="22"/>
                <w:lang w:val="lt-LT"/>
              </w:rPr>
              <w:t xml:space="preserve">DRESS </w:t>
            </w:r>
            <w:proofErr w:type="spellStart"/>
            <w:r w:rsidRPr="000A6C26">
              <w:rPr>
                <w:bCs/>
                <w:color w:val="000000"/>
                <w:szCs w:val="22"/>
                <w:lang w:val="lt-LT"/>
              </w:rPr>
              <w:t>syndrome</w:t>
            </w:r>
            <w:proofErr w:type="spellEnd"/>
            <w:r w:rsidRPr="00900CEC">
              <w:rPr>
                <w:bCs/>
                <w:color w:val="000000"/>
                <w:szCs w:val="22"/>
                <w:lang w:val="lt-LT"/>
              </w:rPr>
              <w:t xml:space="preserve">), </w:t>
            </w:r>
            <w:r w:rsidRPr="00900CEC">
              <w:rPr>
                <w:szCs w:val="22"/>
                <w:lang w:val="lt-LT"/>
              </w:rPr>
              <w:t xml:space="preserve">ūminė </w:t>
            </w:r>
            <w:proofErr w:type="spellStart"/>
            <w:r w:rsidRPr="00900CEC">
              <w:rPr>
                <w:szCs w:val="22"/>
                <w:lang w:val="lt-LT"/>
              </w:rPr>
              <w:t>generalizuota</w:t>
            </w:r>
            <w:proofErr w:type="spellEnd"/>
            <w:r w:rsidRPr="00900CEC">
              <w:rPr>
                <w:szCs w:val="22"/>
                <w:lang w:val="lt-LT"/>
              </w:rPr>
              <w:t xml:space="preserve"> </w:t>
            </w:r>
            <w:proofErr w:type="spellStart"/>
            <w:r w:rsidRPr="00900CEC">
              <w:rPr>
                <w:szCs w:val="22"/>
                <w:lang w:val="lt-LT"/>
              </w:rPr>
              <w:t>egzanteminė</w:t>
            </w:r>
            <w:proofErr w:type="spellEnd"/>
            <w:r w:rsidRPr="00900CEC">
              <w:rPr>
                <w:szCs w:val="22"/>
                <w:lang w:val="lt-LT"/>
              </w:rPr>
              <w:t xml:space="preserve"> </w:t>
            </w:r>
            <w:proofErr w:type="spellStart"/>
            <w:r w:rsidRPr="00900CEC">
              <w:rPr>
                <w:szCs w:val="22"/>
                <w:lang w:val="lt-LT"/>
              </w:rPr>
              <w:t>pustuliozė</w:t>
            </w:r>
            <w:proofErr w:type="spellEnd"/>
            <w:r w:rsidRPr="00900CEC">
              <w:rPr>
                <w:szCs w:val="22"/>
                <w:lang w:val="lt-LT"/>
              </w:rPr>
              <w:t xml:space="preserve"> (ŪGEP).</w:t>
            </w:r>
          </w:p>
        </w:tc>
      </w:tr>
      <w:tr w:rsidR="00F51FBD" w:rsidRPr="00D06CE3" w14:paraId="4819576D" w14:textId="77777777" w:rsidTr="00163471">
        <w:tc>
          <w:tcPr>
            <w:tcW w:w="2235" w:type="dxa"/>
          </w:tcPr>
          <w:p w14:paraId="30D15C1E" w14:textId="77777777" w:rsidR="00F51FBD" w:rsidRPr="00900CEC" w:rsidRDefault="00F51FBD" w:rsidP="00163471">
            <w:pPr>
              <w:spacing w:line="240" w:lineRule="auto"/>
              <w:rPr>
                <w:b/>
                <w:bCs/>
                <w:color w:val="000000"/>
                <w:szCs w:val="22"/>
                <w:lang w:val="lt-LT"/>
              </w:rPr>
            </w:pPr>
            <w:r w:rsidRPr="00900CEC">
              <w:rPr>
                <w:b/>
                <w:bCs/>
                <w:color w:val="000000"/>
                <w:szCs w:val="22"/>
                <w:lang w:val="lt-LT"/>
              </w:rPr>
              <w:lastRenderedPageBreak/>
              <w:t>Inkstų ir šlapimo takų sutrikimai</w:t>
            </w:r>
          </w:p>
        </w:tc>
        <w:tc>
          <w:tcPr>
            <w:tcW w:w="7007" w:type="dxa"/>
          </w:tcPr>
          <w:p w14:paraId="6AC7B779" w14:textId="77777777" w:rsidR="00F51FBD" w:rsidRPr="00900CEC" w:rsidRDefault="00F51FBD" w:rsidP="00163471">
            <w:pPr>
              <w:spacing w:line="240" w:lineRule="auto"/>
              <w:rPr>
                <w:color w:val="000000"/>
                <w:szCs w:val="22"/>
                <w:lang w:val="lt-LT"/>
              </w:rPr>
            </w:pPr>
            <w:r w:rsidRPr="00900CEC">
              <w:rPr>
                <w:b/>
                <w:color w:val="000000"/>
                <w:szCs w:val="22"/>
                <w:lang w:val="lt-LT"/>
              </w:rPr>
              <w:t>Nedažnas</w:t>
            </w:r>
            <w:r w:rsidRPr="00900CEC">
              <w:rPr>
                <w:color w:val="000000"/>
                <w:szCs w:val="22"/>
                <w:lang w:val="lt-LT"/>
              </w:rPr>
              <w:t>: šlapimo susilaikymas.</w:t>
            </w:r>
          </w:p>
          <w:p w14:paraId="0AD68F3A" w14:textId="77777777" w:rsidR="00F51FBD" w:rsidRPr="00900CEC" w:rsidRDefault="00F51FBD" w:rsidP="00163471">
            <w:pPr>
              <w:spacing w:line="240" w:lineRule="auto"/>
              <w:rPr>
                <w:szCs w:val="22"/>
                <w:lang w:val="lt-LT"/>
              </w:rPr>
            </w:pPr>
            <w:r w:rsidRPr="00900CEC">
              <w:rPr>
                <w:b/>
                <w:szCs w:val="22"/>
                <w:lang w:val="lt-LT"/>
              </w:rPr>
              <w:t>Retas:</w:t>
            </w:r>
            <w:r w:rsidRPr="00900CEC">
              <w:rPr>
                <w:szCs w:val="22"/>
                <w:lang w:val="lt-LT"/>
              </w:rPr>
              <w:t xml:space="preserve"> inkstų audinio pažeidimas (</w:t>
            </w:r>
            <w:proofErr w:type="spellStart"/>
            <w:r w:rsidRPr="00900CEC">
              <w:rPr>
                <w:szCs w:val="22"/>
                <w:lang w:val="lt-LT"/>
              </w:rPr>
              <w:t>papiliarinė</w:t>
            </w:r>
            <w:proofErr w:type="spellEnd"/>
            <w:r w:rsidRPr="00900CEC">
              <w:rPr>
                <w:szCs w:val="22"/>
                <w:lang w:val="lt-LT"/>
              </w:rPr>
              <w:t xml:space="preserve"> nekrozė), ypač gydant ilgai.</w:t>
            </w:r>
          </w:p>
          <w:p w14:paraId="644157B2" w14:textId="77777777" w:rsidR="00F51FBD" w:rsidRPr="00900CEC" w:rsidRDefault="00F51FBD" w:rsidP="00163471">
            <w:pPr>
              <w:spacing w:line="240" w:lineRule="auto"/>
              <w:rPr>
                <w:color w:val="000000"/>
                <w:szCs w:val="22"/>
                <w:lang w:val="lt-LT"/>
              </w:rPr>
            </w:pPr>
            <w:r w:rsidRPr="00900CEC">
              <w:rPr>
                <w:b/>
                <w:color w:val="000000"/>
                <w:szCs w:val="22"/>
                <w:lang w:val="lt-LT"/>
              </w:rPr>
              <w:t>Labai retas</w:t>
            </w:r>
            <w:r w:rsidRPr="00900CEC">
              <w:rPr>
                <w:color w:val="000000"/>
                <w:szCs w:val="22"/>
                <w:lang w:val="lt-LT"/>
              </w:rPr>
              <w:t xml:space="preserve">: įvairus </w:t>
            </w:r>
            <w:proofErr w:type="spellStart"/>
            <w:r w:rsidRPr="00900CEC">
              <w:rPr>
                <w:color w:val="000000"/>
                <w:szCs w:val="22"/>
                <w:lang w:val="lt-LT"/>
              </w:rPr>
              <w:t>nefrotoksinis</w:t>
            </w:r>
            <w:proofErr w:type="spellEnd"/>
            <w:r w:rsidRPr="00900CEC">
              <w:rPr>
                <w:color w:val="000000"/>
                <w:szCs w:val="22"/>
                <w:lang w:val="lt-LT"/>
              </w:rPr>
              <w:t xml:space="preserve"> poveikis, įskaitant </w:t>
            </w:r>
            <w:proofErr w:type="spellStart"/>
            <w:r w:rsidRPr="00900CEC">
              <w:rPr>
                <w:color w:val="000000"/>
                <w:szCs w:val="22"/>
                <w:lang w:val="lt-LT"/>
              </w:rPr>
              <w:t>intersticinį</w:t>
            </w:r>
            <w:proofErr w:type="spellEnd"/>
            <w:r w:rsidRPr="00900CEC">
              <w:rPr>
                <w:color w:val="000000"/>
                <w:szCs w:val="22"/>
                <w:lang w:val="lt-LT"/>
              </w:rPr>
              <w:t xml:space="preserve"> nefritą, </w:t>
            </w:r>
            <w:proofErr w:type="spellStart"/>
            <w:r w:rsidRPr="00900CEC">
              <w:rPr>
                <w:color w:val="000000"/>
                <w:szCs w:val="22"/>
                <w:lang w:val="lt-LT"/>
              </w:rPr>
              <w:t>nefrozinį</w:t>
            </w:r>
            <w:proofErr w:type="spellEnd"/>
            <w:r w:rsidRPr="00900CEC">
              <w:rPr>
                <w:color w:val="000000"/>
                <w:szCs w:val="22"/>
                <w:lang w:val="lt-LT"/>
              </w:rPr>
              <w:t xml:space="preserve"> sindromą bei ūminį ir lėtinį inkstų nepakankamumą.</w:t>
            </w:r>
          </w:p>
          <w:p w14:paraId="39CE2746" w14:textId="77777777" w:rsidR="00F51FBD" w:rsidRPr="00900CEC" w:rsidRDefault="00F51FBD" w:rsidP="00163471">
            <w:pPr>
              <w:spacing w:line="240" w:lineRule="auto"/>
              <w:rPr>
                <w:szCs w:val="22"/>
                <w:lang w:val="lt-LT"/>
              </w:rPr>
            </w:pPr>
            <w:r w:rsidRPr="00900CEC">
              <w:rPr>
                <w:szCs w:val="22"/>
                <w:lang w:val="lt-LT"/>
              </w:rPr>
              <w:t xml:space="preserve">Nepageidaujamas poveikis inkstams dažniausiai pasireiškia perdozavus, vartojus ilgai (dažnais atvejais – kelis analgetikus kartu) arba būna susijęs su </w:t>
            </w:r>
            <w:proofErr w:type="spellStart"/>
            <w:r w:rsidRPr="00900CEC">
              <w:rPr>
                <w:szCs w:val="22"/>
                <w:lang w:val="lt-LT"/>
              </w:rPr>
              <w:t>paracetamolio</w:t>
            </w:r>
            <w:proofErr w:type="spellEnd"/>
            <w:r w:rsidRPr="00900CEC">
              <w:rPr>
                <w:szCs w:val="22"/>
                <w:lang w:val="lt-LT"/>
              </w:rPr>
              <w:t xml:space="preserve"> </w:t>
            </w:r>
            <w:proofErr w:type="spellStart"/>
            <w:r w:rsidRPr="00900CEC">
              <w:rPr>
                <w:szCs w:val="22"/>
                <w:lang w:val="lt-LT"/>
              </w:rPr>
              <w:t>hepatotoksiniu</w:t>
            </w:r>
            <w:proofErr w:type="spellEnd"/>
            <w:r w:rsidRPr="00900CEC">
              <w:rPr>
                <w:szCs w:val="22"/>
                <w:lang w:val="lt-LT"/>
              </w:rPr>
              <w:t xml:space="preserve"> poveikiu.</w:t>
            </w:r>
          </w:p>
          <w:p w14:paraId="34C57994" w14:textId="77777777" w:rsidR="00F51FBD" w:rsidRPr="00900CEC" w:rsidRDefault="00F51FBD" w:rsidP="00163471">
            <w:pPr>
              <w:spacing w:line="240" w:lineRule="auto"/>
              <w:rPr>
                <w:szCs w:val="22"/>
                <w:lang w:val="lt-LT"/>
              </w:rPr>
            </w:pPr>
            <w:r w:rsidRPr="00900CEC">
              <w:rPr>
                <w:szCs w:val="22"/>
                <w:lang w:val="lt-LT"/>
              </w:rPr>
              <w:t>Ūminė kanalėlių nekrozė dažniausiai būna susijusi su kepenų nepakankamumu, bet retais atvejais ji pasireiškė atskirai. Be to, ilgalaikis paracetamolio vartojimas gali padidinti inkstų ląstelių karcinomos riziką.</w:t>
            </w:r>
          </w:p>
          <w:p w14:paraId="16D5F1BE" w14:textId="77777777" w:rsidR="00F51FBD" w:rsidRPr="00900CEC" w:rsidRDefault="00F51FBD" w:rsidP="00163471">
            <w:pPr>
              <w:spacing w:line="240" w:lineRule="auto"/>
              <w:rPr>
                <w:szCs w:val="22"/>
                <w:lang w:val="lt-LT"/>
              </w:rPr>
            </w:pPr>
            <w:r w:rsidRPr="00900CEC">
              <w:rPr>
                <w:szCs w:val="22"/>
                <w:lang w:val="lt-LT"/>
              </w:rPr>
              <w:t>Vienas atvejo – kontrolės tyrimas inkstų ligos atveju parodė, kad ilgalaikis paracetamolio vartojimas (ypač jeigu paros dozė viršija 1000 mg) gali reikšmingai padidinti galutinės stadijos inkstų ligos riziką.</w:t>
            </w:r>
          </w:p>
          <w:p w14:paraId="28A7CABC" w14:textId="77777777" w:rsidR="00F51FBD" w:rsidRPr="00900CEC" w:rsidRDefault="00F51FBD" w:rsidP="00163471">
            <w:pPr>
              <w:spacing w:line="240" w:lineRule="auto"/>
              <w:rPr>
                <w:b/>
                <w:color w:val="000000"/>
                <w:szCs w:val="22"/>
                <w:lang w:val="lt-LT"/>
              </w:rPr>
            </w:pPr>
          </w:p>
        </w:tc>
      </w:tr>
      <w:tr w:rsidR="00F51FBD" w:rsidRPr="00D06CE3" w14:paraId="4DBCCCFC" w14:textId="77777777" w:rsidTr="00163471">
        <w:tc>
          <w:tcPr>
            <w:tcW w:w="2235" w:type="dxa"/>
          </w:tcPr>
          <w:p w14:paraId="0F3BD53B" w14:textId="77777777" w:rsidR="00F51FBD" w:rsidRPr="00900CEC" w:rsidRDefault="00F51FBD" w:rsidP="00163471">
            <w:pPr>
              <w:spacing w:line="240" w:lineRule="auto"/>
              <w:rPr>
                <w:b/>
                <w:bCs/>
                <w:color w:val="000000"/>
                <w:szCs w:val="22"/>
                <w:lang w:val="lt-LT"/>
              </w:rPr>
            </w:pPr>
            <w:r w:rsidRPr="00900CEC">
              <w:rPr>
                <w:b/>
                <w:bCs/>
                <w:color w:val="000000"/>
                <w:szCs w:val="22"/>
                <w:lang w:val="lt-LT"/>
              </w:rPr>
              <w:t>Bendrieji sutrikimai ir vartojimo vietos pažeidimai</w:t>
            </w:r>
          </w:p>
        </w:tc>
        <w:tc>
          <w:tcPr>
            <w:tcW w:w="7007" w:type="dxa"/>
          </w:tcPr>
          <w:p w14:paraId="056FE9BE" w14:textId="77777777" w:rsidR="00F51FBD" w:rsidRPr="00900CEC" w:rsidRDefault="00F51FBD" w:rsidP="00163471">
            <w:pPr>
              <w:spacing w:line="240" w:lineRule="auto"/>
              <w:rPr>
                <w:bCs/>
                <w:color w:val="000000"/>
                <w:szCs w:val="22"/>
                <w:lang w:val="lt-LT"/>
              </w:rPr>
            </w:pPr>
            <w:r w:rsidRPr="00900CEC">
              <w:rPr>
                <w:b/>
                <w:color w:val="000000"/>
                <w:szCs w:val="22"/>
                <w:lang w:val="lt-LT"/>
              </w:rPr>
              <w:t xml:space="preserve">Nedažnas: </w:t>
            </w:r>
            <w:r w:rsidRPr="00900CEC">
              <w:rPr>
                <w:bCs/>
                <w:color w:val="000000"/>
                <w:szCs w:val="22"/>
                <w:lang w:val="lt-LT"/>
              </w:rPr>
              <w:t>karščiavimas.</w:t>
            </w:r>
          </w:p>
          <w:p w14:paraId="3166BF11" w14:textId="77777777" w:rsidR="00F51FBD" w:rsidRPr="00900CEC" w:rsidRDefault="00F51FBD" w:rsidP="00163471">
            <w:pPr>
              <w:spacing w:line="240" w:lineRule="auto"/>
              <w:rPr>
                <w:b/>
                <w:color w:val="000000"/>
                <w:szCs w:val="22"/>
                <w:lang w:val="lt-LT"/>
              </w:rPr>
            </w:pPr>
            <w:r w:rsidRPr="00900CEC">
              <w:rPr>
                <w:b/>
                <w:color w:val="000000"/>
                <w:szCs w:val="22"/>
                <w:lang w:val="lt-LT"/>
              </w:rPr>
              <w:t xml:space="preserve">Labai retas: </w:t>
            </w:r>
            <w:r w:rsidRPr="00900CEC">
              <w:rPr>
                <w:color w:val="000000"/>
                <w:szCs w:val="22"/>
                <w:lang w:val="lt-LT"/>
              </w:rPr>
              <w:t>nuovargis ir bendras negalavimas.</w:t>
            </w:r>
          </w:p>
        </w:tc>
      </w:tr>
      <w:tr w:rsidR="00F51FBD" w:rsidRPr="00D06CE3" w14:paraId="6500E36C" w14:textId="77777777" w:rsidTr="00163471">
        <w:tc>
          <w:tcPr>
            <w:tcW w:w="2235" w:type="dxa"/>
          </w:tcPr>
          <w:p w14:paraId="5F10C945" w14:textId="77777777" w:rsidR="00F51FBD" w:rsidRPr="00900CEC" w:rsidRDefault="00F51FBD" w:rsidP="00163471">
            <w:pPr>
              <w:spacing w:line="240" w:lineRule="auto"/>
              <w:rPr>
                <w:b/>
                <w:bCs/>
                <w:color w:val="000000"/>
                <w:szCs w:val="22"/>
                <w:lang w:val="lt-LT"/>
              </w:rPr>
            </w:pPr>
            <w:r w:rsidRPr="00900CEC">
              <w:rPr>
                <w:b/>
                <w:bCs/>
                <w:color w:val="000000"/>
                <w:szCs w:val="22"/>
                <w:lang w:val="lt-LT"/>
              </w:rPr>
              <w:t>Sužalojimai, apsinuodijimai ir procedūrų komplikacijos</w:t>
            </w:r>
          </w:p>
        </w:tc>
        <w:tc>
          <w:tcPr>
            <w:tcW w:w="7007" w:type="dxa"/>
          </w:tcPr>
          <w:p w14:paraId="22064139" w14:textId="77777777" w:rsidR="00F51FBD" w:rsidRPr="00900CEC" w:rsidRDefault="00F51FBD" w:rsidP="00163471">
            <w:pPr>
              <w:spacing w:line="240" w:lineRule="auto"/>
              <w:rPr>
                <w:b/>
                <w:color w:val="000000"/>
                <w:szCs w:val="22"/>
                <w:lang w:val="lt-LT"/>
              </w:rPr>
            </w:pPr>
            <w:r w:rsidRPr="00900CEC">
              <w:rPr>
                <w:b/>
                <w:color w:val="000000"/>
                <w:szCs w:val="22"/>
                <w:lang w:val="lt-LT"/>
              </w:rPr>
              <w:t xml:space="preserve">Nedažnas: </w:t>
            </w:r>
            <w:r w:rsidRPr="00900CEC">
              <w:rPr>
                <w:bCs/>
                <w:color w:val="000000"/>
                <w:szCs w:val="22"/>
                <w:lang w:val="lt-LT"/>
              </w:rPr>
              <w:t xml:space="preserve">Užfiksuota pooperacinio kraujavimo atvejų po </w:t>
            </w:r>
            <w:proofErr w:type="spellStart"/>
            <w:r w:rsidRPr="00900CEC">
              <w:rPr>
                <w:bCs/>
                <w:color w:val="000000"/>
                <w:szCs w:val="22"/>
                <w:lang w:val="lt-LT"/>
              </w:rPr>
              <w:t>tonzilektomijos</w:t>
            </w:r>
            <w:proofErr w:type="spellEnd"/>
            <w:r w:rsidRPr="00900CEC">
              <w:rPr>
                <w:bCs/>
                <w:color w:val="000000"/>
                <w:szCs w:val="22"/>
                <w:lang w:val="lt-LT"/>
              </w:rPr>
              <w:t>.</w:t>
            </w:r>
          </w:p>
        </w:tc>
      </w:tr>
      <w:tr w:rsidR="00F51FBD" w:rsidRPr="00D06CE3" w14:paraId="74A08107" w14:textId="77777777" w:rsidTr="00163471">
        <w:tc>
          <w:tcPr>
            <w:tcW w:w="2235" w:type="dxa"/>
          </w:tcPr>
          <w:p w14:paraId="6E219D85" w14:textId="77777777" w:rsidR="00F51FBD" w:rsidRPr="00900CEC" w:rsidRDefault="00F51FBD" w:rsidP="00163471">
            <w:pPr>
              <w:spacing w:line="240" w:lineRule="auto"/>
              <w:rPr>
                <w:color w:val="000000"/>
                <w:szCs w:val="22"/>
                <w:lang w:val="lt-LT"/>
              </w:rPr>
            </w:pPr>
            <w:r w:rsidRPr="00900CEC">
              <w:rPr>
                <w:b/>
                <w:bCs/>
                <w:color w:val="000000"/>
                <w:szCs w:val="22"/>
                <w:lang w:val="lt-LT"/>
              </w:rPr>
              <w:t>Tyrimai</w:t>
            </w:r>
          </w:p>
        </w:tc>
        <w:tc>
          <w:tcPr>
            <w:tcW w:w="7007" w:type="dxa"/>
          </w:tcPr>
          <w:p w14:paraId="1AA4D7C0" w14:textId="77777777" w:rsidR="00F51FBD" w:rsidRPr="00900CEC" w:rsidRDefault="00F51FBD" w:rsidP="00163471">
            <w:pPr>
              <w:spacing w:line="240" w:lineRule="auto"/>
              <w:rPr>
                <w:color w:val="000000"/>
                <w:szCs w:val="22"/>
                <w:lang w:val="lt-LT"/>
              </w:rPr>
            </w:pPr>
            <w:r w:rsidRPr="00900CEC">
              <w:rPr>
                <w:b/>
                <w:color w:val="000000"/>
                <w:szCs w:val="22"/>
                <w:lang w:val="lt-LT"/>
              </w:rPr>
              <w:t>Dažnas</w:t>
            </w:r>
            <w:r w:rsidRPr="00900CEC">
              <w:rPr>
                <w:color w:val="000000"/>
                <w:szCs w:val="22"/>
                <w:lang w:val="lt-LT"/>
              </w:rPr>
              <w:t>: padidėjęs alaninaminotransferazės aktyvumas, padidėjęs gama-</w:t>
            </w:r>
            <w:proofErr w:type="spellStart"/>
            <w:r w:rsidRPr="00900CEC">
              <w:rPr>
                <w:color w:val="000000"/>
                <w:szCs w:val="22"/>
                <w:lang w:val="lt-LT"/>
              </w:rPr>
              <w:t>glutamiltransferazės</w:t>
            </w:r>
            <w:proofErr w:type="spellEnd"/>
            <w:r w:rsidRPr="00900CEC">
              <w:rPr>
                <w:color w:val="000000"/>
                <w:szCs w:val="22"/>
                <w:lang w:val="lt-LT"/>
              </w:rPr>
              <w:t xml:space="preserve"> aktyvumas ir pakitę kepenų funkcijos rodikliai vartojant paracetamolį, padidėjusi kreatinino ir šlapalo koncentracija kraujyje. </w:t>
            </w:r>
          </w:p>
          <w:p w14:paraId="40F5B1E6" w14:textId="77777777" w:rsidR="00F51FBD" w:rsidRPr="00900CEC" w:rsidRDefault="00F51FBD" w:rsidP="00163471">
            <w:pPr>
              <w:spacing w:line="240" w:lineRule="auto"/>
              <w:rPr>
                <w:color w:val="000000"/>
                <w:szCs w:val="22"/>
                <w:lang w:val="lt-LT"/>
              </w:rPr>
            </w:pPr>
            <w:r w:rsidRPr="00900CEC">
              <w:rPr>
                <w:b/>
                <w:color w:val="000000"/>
                <w:szCs w:val="22"/>
                <w:lang w:val="lt-LT"/>
              </w:rPr>
              <w:t>Nedažnas</w:t>
            </w:r>
            <w:r w:rsidRPr="00900CEC">
              <w:rPr>
                <w:color w:val="000000"/>
                <w:szCs w:val="22"/>
                <w:lang w:val="lt-LT"/>
              </w:rPr>
              <w:t xml:space="preserve">: padidėjęs aspartataminotransferazės aktyvumas kraujyje, padidėjęs šarminės fosfatazės aktyvumas kraujyje, padidėjęs </w:t>
            </w:r>
            <w:proofErr w:type="spellStart"/>
            <w:r w:rsidRPr="00900CEC">
              <w:rPr>
                <w:color w:val="000000"/>
                <w:szCs w:val="22"/>
                <w:lang w:val="lt-LT"/>
              </w:rPr>
              <w:t>kreatino</w:t>
            </w:r>
            <w:proofErr w:type="spellEnd"/>
            <w:r w:rsidRPr="00900CEC">
              <w:rPr>
                <w:color w:val="000000"/>
                <w:szCs w:val="22"/>
                <w:lang w:val="lt-LT"/>
              </w:rPr>
              <w:t xml:space="preserve"> </w:t>
            </w:r>
            <w:proofErr w:type="spellStart"/>
            <w:r w:rsidRPr="00900CEC">
              <w:rPr>
                <w:color w:val="000000"/>
                <w:szCs w:val="22"/>
                <w:lang w:val="lt-LT"/>
              </w:rPr>
              <w:t>fosfokinazės</w:t>
            </w:r>
            <w:proofErr w:type="spellEnd"/>
            <w:r w:rsidRPr="00900CEC">
              <w:rPr>
                <w:color w:val="000000"/>
                <w:szCs w:val="22"/>
                <w:lang w:val="lt-LT"/>
              </w:rPr>
              <w:t xml:space="preserve"> aktyvumas kraujyje, sumažėjusi hemoglobino koncentracija ir padidėjęs trombocitų kiekis.</w:t>
            </w:r>
          </w:p>
          <w:p w14:paraId="2CB69388" w14:textId="77777777" w:rsidR="00F51FBD" w:rsidRPr="00900CEC" w:rsidRDefault="00F51FBD" w:rsidP="00163471">
            <w:pPr>
              <w:spacing w:line="240" w:lineRule="auto"/>
              <w:rPr>
                <w:szCs w:val="22"/>
                <w:lang w:val="lt-LT"/>
              </w:rPr>
            </w:pPr>
            <w:r w:rsidRPr="00900CEC">
              <w:rPr>
                <w:b/>
                <w:szCs w:val="22"/>
                <w:lang w:val="lt-LT"/>
              </w:rPr>
              <w:t>Retas:</w:t>
            </w:r>
            <w:r w:rsidRPr="00900CEC">
              <w:rPr>
                <w:szCs w:val="22"/>
                <w:lang w:val="lt-LT"/>
              </w:rPr>
              <w:t xml:space="preserve"> padidėjusi šlapimo rūgšties koncentracija kraujyje.</w:t>
            </w:r>
          </w:p>
          <w:p w14:paraId="73468D1D" w14:textId="77777777" w:rsidR="00F51FBD" w:rsidRPr="00900CEC" w:rsidRDefault="00F51FBD" w:rsidP="00163471">
            <w:pPr>
              <w:spacing w:line="240" w:lineRule="auto"/>
              <w:rPr>
                <w:szCs w:val="22"/>
                <w:lang w:val="lt-LT"/>
              </w:rPr>
            </w:pPr>
          </w:p>
        </w:tc>
      </w:tr>
    </w:tbl>
    <w:p w14:paraId="4C82CE2C" w14:textId="77777777" w:rsidR="00F51FBD" w:rsidRDefault="00F51FBD" w:rsidP="00F51FBD">
      <w:pPr>
        <w:spacing w:line="240" w:lineRule="auto"/>
        <w:rPr>
          <w:szCs w:val="22"/>
          <w:lang w:val="lt-LT"/>
        </w:rPr>
      </w:pPr>
    </w:p>
    <w:p w14:paraId="512C45BA" w14:textId="77777777" w:rsidR="00F51FBD" w:rsidRPr="003009EE" w:rsidRDefault="00F51FBD" w:rsidP="00F51FBD">
      <w:pPr>
        <w:spacing w:line="240" w:lineRule="auto"/>
        <w:rPr>
          <w:i/>
          <w:iCs/>
          <w:szCs w:val="22"/>
          <w:lang w:val="lt-LT"/>
        </w:rPr>
      </w:pPr>
      <w:r w:rsidRPr="003009EE">
        <w:rPr>
          <w:i/>
          <w:iCs/>
          <w:szCs w:val="22"/>
          <w:lang w:val="lt-LT"/>
        </w:rPr>
        <w:t>Atrinktų nepageidaujamų reakcijų apibūdinimas</w:t>
      </w:r>
    </w:p>
    <w:p w14:paraId="2A7BBEF2" w14:textId="77777777" w:rsidR="00F51FBD" w:rsidRPr="003009EE" w:rsidRDefault="00F51FBD" w:rsidP="00F51FBD">
      <w:pPr>
        <w:spacing w:line="240" w:lineRule="auto"/>
        <w:rPr>
          <w:i/>
          <w:iCs/>
          <w:szCs w:val="22"/>
          <w:lang w:val="lt-LT"/>
        </w:rPr>
      </w:pPr>
    </w:p>
    <w:p w14:paraId="6859239A" w14:textId="34B893F7" w:rsidR="00F51FBD" w:rsidRPr="00900CEC" w:rsidRDefault="00F51FBD" w:rsidP="00F51FBD">
      <w:pPr>
        <w:autoSpaceDE w:val="0"/>
        <w:autoSpaceDN w:val="0"/>
        <w:adjustRightInd w:val="0"/>
        <w:spacing w:line="240" w:lineRule="auto"/>
        <w:rPr>
          <w:szCs w:val="22"/>
          <w:lang w:val="lt-LT"/>
        </w:rPr>
      </w:pPr>
      <w:r w:rsidRPr="00900CEC">
        <w:rPr>
          <w:szCs w:val="22"/>
          <w:lang w:val="lt-LT"/>
        </w:rPr>
        <w:t xml:space="preserve">Klinikinių tyrimų duomenimis, ibuprofenas (ypač vartojamas didelėmis dozėmis (2400 mg per parą) gali </w:t>
      </w:r>
      <w:r>
        <w:rPr>
          <w:szCs w:val="22"/>
          <w:lang w:val="lt-LT"/>
        </w:rPr>
        <w:t>šiek tiek padidinti</w:t>
      </w:r>
      <w:r w:rsidRPr="00900CEC">
        <w:rPr>
          <w:szCs w:val="22"/>
          <w:lang w:val="lt-LT"/>
        </w:rPr>
        <w:t xml:space="preserve"> arterijų trombozės reiškinių (pvz., miokardo infarkto ir insulto) rizik</w:t>
      </w:r>
      <w:r>
        <w:rPr>
          <w:szCs w:val="22"/>
          <w:lang w:val="lt-LT"/>
        </w:rPr>
        <w:t>ą</w:t>
      </w:r>
      <w:r w:rsidRPr="00900CEC">
        <w:rPr>
          <w:szCs w:val="22"/>
          <w:lang w:val="lt-LT"/>
        </w:rPr>
        <w:t xml:space="preserve"> (žr. 4.4</w:t>
      </w:r>
      <w:r w:rsidR="006F1B5C">
        <w:rPr>
          <w:szCs w:val="22"/>
          <w:lang w:val="lt-LT"/>
        </w:rPr>
        <w:t> </w:t>
      </w:r>
      <w:r w:rsidRPr="00900CEC">
        <w:rPr>
          <w:szCs w:val="22"/>
          <w:lang w:val="lt-LT"/>
        </w:rPr>
        <w:t>skyrių).</w:t>
      </w:r>
    </w:p>
    <w:p w14:paraId="3EB7B50B" w14:textId="77777777" w:rsidR="00F51FBD" w:rsidRDefault="00F51FBD" w:rsidP="00F51FBD">
      <w:pPr>
        <w:autoSpaceDE w:val="0"/>
        <w:autoSpaceDN w:val="0"/>
        <w:adjustRightInd w:val="0"/>
        <w:spacing w:line="240" w:lineRule="auto"/>
        <w:rPr>
          <w:szCs w:val="22"/>
          <w:lang w:val="lt-LT"/>
        </w:rPr>
      </w:pPr>
    </w:p>
    <w:p w14:paraId="28A948A1" w14:textId="281133B6" w:rsidR="00F51FBD" w:rsidRDefault="00F51FBD" w:rsidP="00F51FBD">
      <w:pPr>
        <w:autoSpaceDE w:val="0"/>
        <w:autoSpaceDN w:val="0"/>
        <w:adjustRightInd w:val="0"/>
        <w:spacing w:line="240" w:lineRule="auto"/>
        <w:rPr>
          <w:szCs w:val="22"/>
          <w:lang w:val="lt-LT"/>
        </w:rPr>
      </w:pPr>
      <w:r w:rsidRPr="00115462">
        <w:rPr>
          <w:szCs w:val="22"/>
          <w:lang w:val="lt-LT"/>
        </w:rPr>
        <w:t xml:space="preserve">Padidėjęs anijoninis tarpas esant </w:t>
      </w:r>
      <w:proofErr w:type="spellStart"/>
      <w:r w:rsidRPr="00115462">
        <w:rPr>
          <w:szCs w:val="22"/>
          <w:lang w:val="lt-LT"/>
        </w:rPr>
        <w:t>metabolinei</w:t>
      </w:r>
      <w:proofErr w:type="spellEnd"/>
      <w:r w:rsidRPr="00115462">
        <w:rPr>
          <w:szCs w:val="22"/>
          <w:lang w:val="lt-LT"/>
        </w:rPr>
        <w:t xml:space="preserve"> </w:t>
      </w:r>
      <w:proofErr w:type="spellStart"/>
      <w:r w:rsidRPr="00115462">
        <w:rPr>
          <w:szCs w:val="22"/>
          <w:lang w:val="lt-LT"/>
        </w:rPr>
        <w:t>acidozei</w:t>
      </w:r>
      <w:proofErr w:type="spellEnd"/>
      <w:r>
        <w:rPr>
          <w:szCs w:val="22"/>
          <w:lang w:val="lt-LT"/>
        </w:rPr>
        <w:t>: p</w:t>
      </w:r>
      <w:r w:rsidRPr="00115462">
        <w:rPr>
          <w:szCs w:val="22"/>
          <w:lang w:val="lt-LT"/>
        </w:rPr>
        <w:t xml:space="preserve">acientams, kuriems nustatyta rizikos veiksnių vartojant </w:t>
      </w:r>
      <w:proofErr w:type="spellStart"/>
      <w:r w:rsidRPr="00115462">
        <w:rPr>
          <w:szCs w:val="22"/>
          <w:lang w:val="lt-LT"/>
        </w:rPr>
        <w:t>paracetamolį</w:t>
      </w:r>
      <w:proofErr w:type="spellEnd"/>
      <w:r w:rsidRPr="00115462">
        <w:rPr>
          <w:szCs w:val="22"/>
          <w:lang w:val="lt-LT"/>
        </w:rPr>
        <w:t xml:space="preserve">, nustatyta </w:t>
      </w:r>
      <w:proofErr w:type="spellStart"/>
      <w:r w:rsidRPr="00115462">
        <w:rPr>
          <w:szCs w:val="22"/>
          <w:lang w:val="lt-LT"/>
        </w:rPr>
        <w:t>piroglutamato</w:t>
      </w:r>
      <w:proofErr w:type="spellEnd"/>
      <w:r w:rsidRPr="00115462">
        <w:rPr>
          <w:szCs w:val="22"/>
          <w:lang w:val="lt-LT"/>
        </w:rPr>
        <w:t xml:space="preserve"> </w:t>
      </w:r>
      <w:proofErr w:type="spellStart"/>
      <w:r w:rsidRPr="00115462">
        <w:rPr>
          <w:szCs w:val="22"/>
          <w:lang w:val="lt-LT"/>
        </w:rPr>
        <w:t>acidozės</w:t>
      </w:r>
      <w:proofErr w:type="spellEnd"/>
      <w:r w:rsidRPr="00115462">
        <w:rPr>
          <w:szCs w:val="22"/>
          <w:lang w:val="lt-LT"/>
        </w:rPr>
        <w:t xml:space="preserve"> sukeliamo padidėjusio anijoninio tarpo esant </w:t>
      </w:r>
      <w:proofErr w:type="spellStart"/>
      <w:r w:rsidRPr="00115462">
        <w:rPr>
          <w:szCs w:val="22"/>
          <w:lang w:val="lt-LT"/>
        </w:rPr>
        <w:t>metabolinei</w:t>
      </w:r>
      <w:proofErr w:type="spellEnd"/>
      <w:r w:rsidRPr="00115462">
        <w:rPr>
          <w:szCs w:val="22"/>
          <w:lang w:val="lt-LT"/>
        </w:rPr>
        <w:t xml:space="preserve"> </w:t>
      </w:r>
      <w:proofErr w:type="spellStart"/>
      <w:r w:rsidRPr="00115462">
        <w:rPr>
          <w:szCs w:val="22"/>
          <w:lang w:val="lt-LT"/>
        </w:rPr>
        <w:t>acidozei</w:t>
      </w:r>
      <w:proofErr w:type="spellEnd"/>
      <w:r w:rsidRPr="00115462">
        <w:rPr>
          <w:szCs w:val="22"/>
          <w:lang w:val="lt-LT"/>
        </w:rPr>
        <w:t xml:space="preserve"> atvejų (žr. 4.4</w:t>
      </w:r>
      <w:r w:rsidR="006F1B5C">
        <w:rPr>
          <w:szCs w:val="22"/>
          <w:lang w:val="lt-LT"/>
        </w:rPr>
        <w:t> </w:t>
      </w:r>
      <w:r w:rsidRPr="00115462">
        <w:rPr>
          <w:szCs w:val="22"/>
          <w:lang w:val="lt-LT"/>
        </w:rPr>
        <w:t xml:space="preserve">skyrių). </w:t>
      </w:r>
      <w:proofErr w:type="spellStart"/>
      <w:r w:rsidRPr="00115462">
        <w:rPr>
          <w:szCs w:val="22"/>
          <w:lang w:val="lt-LT"/>
        </w:rPr>
        <w:t>Piroglutamato</w:t>
      </w:r>
      <w:proofErr w:type="spellEnd"/>
      <w:r w:rsidRPr="00115462">
        <w:rPr>
          <w:szCs w:val="22"/>
          <w:lang w:val="lt-LT"/>
        </w:rPr>
        <w:t xml:space="preserve"> </w:t>
      </w:r>
      <w:proofErr w:type="spellStart"/>
      <w:r w:rsidRPr="00115462">
        <w:rPr>
          <w:szCs w:val="22"/>
          <w:lang w:val="lt-LT"/>
        </w:rPr>
        <w:t>acidozė</w:t>
      </w:r>
      <w:proofErr w:type="spellEnd"/>
      <w:r w:rsidRPr="00115462">
        <w:rPr>
          <w:szCs w:val="22"/>
          <w:lang w:val="lt-LT"/>
        </w:rPr>
        <w:t xml:space="preserve"> šiems pacientams gali pasireikšti dėl sumažėjusio </w:t>
      </w:r>
      <w:proofErr w:type="spellStart"/>
      <w:r w:rsidRPr="00115462">
        <w:rPr>
          <w:szCs w:val="22"/>
          <w:lang w:val="lt-LT"/>
        </w:rPr>
        <w:t>glutationo</w:t>
      </w:r>
      <w:proofErr w:type="spellEnd"/>
      <w:r w:rsidRPr="00115462">
        <w:rPr>
          <w:szCs w:val="22"/>
          <w:lang w:val="lt-LT"/>
        </w:rPr>
        <w:t xml:space="preserve"> kiekio.</w:t>
      </w:r>
    </w:p>
    <w:p w14:paraId="015415F8" w14:textId="77777777" w:rsidR="00F51FBD" w:rsidRPr="00900CEC" w:rsidRDefault="00F51FBD" w:rsidP="00F51FBD">
      <w:pPr>
        <w:autoSpaceDE w:val="0"/>
        <w:autoSpaceDN w:val="0"/>
        <w:adjustRightInd w:val="0"/>
        <w:spacing w:line="240" w:lineRule="auto"/>
        <w:rPr>
          <w:szCs w:val="22"/>
          <w:lang w:val="lt-LT"/>
        </w:rPr>
      </w:pPr>
    </w:p>
    <w:p w14:paraId="11DB7788" w14:textId="77777777" w:rsidR="00F51FBD" w:rsidRPr="00900CEC" w:rsidRDefault="00F51FBD" w:rsidP="00F51FBD">
      <w:pPr>
        <w:autoSpaceDE w:val="0"/>
        <w:autoSpaceDN w:val="0"/>
        <w:adjustRightInd w:val="0"/>
        <w:spacing w:line="240" w:lineRule="auto"/>
        <w:rPr>
          <w:szCs w:val="22"/>
          <w:u w:val="single"/>
          <w:lang w:val="lt-LT"/>
        </w:rPr>
      </w:pPr>
      <w:r w:rsidRPr="00900CEC">
        <w:rPr>
          <w:szCs w:val="22"/>
          <w:u w:val="single"/>
          <w:lang w:val="lt-LT"/>
        </w:rPr>
        <w:t>Pranešimas apie įtariamas nepageidaujamas reakcijas</w:t>
      </w:r>
    </w:p>
    <w:p w14:paraId="2B8544DF" w14:textId="77777777" w:rsidR="00F51FBD" w:rsidRDefault="00F51FBD" w:rsidP="00F51FBD">
      <w:pPr>
        <w:spacing w:line="240" w:lineRule="auto"/>
        <w:rPr>
          <w:szCs w:val="22"/>
          <w:lang w:val="pt-PT" w:eastAsia="lt-LT"/>
        </w:rPr>
      </w:pPr>
      <w:r w:rsidRPr="00482544">
        <w:rPr>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482544">
        <w:rPr>
          <w:szCs w:val="22"/>
          <w:lang w:val="pt-PT" w:eastAsia="lt-LT"/>
        </w:rPr>
        <w:lastRenderedPageBreak/>
        <w:t xml:space="preserve">užpildę ir pateikę pranešimo formą Valstybinės vaistų kontrolės tarnybos prie Lietuvos Respublikos sveikatos apsaugos ministerijos tinklalapyje </w:t>
      </w:r>
      <w:r w:rsidRPr="00482544">
        <w:rPr>
          <w:color w:val="0000EE"/>
          <w:szCs w:val="22"/>
          <w:u w:val="single"/>
          <w:lang w:val="pt-PT" w:eastAsia="lt-LT"/>
        </w:rPr>
        <w:t>https://vvkt.lrv.lt/lt/</w:t>
      </w:r>
      <w:r w:rsidRPr="00482544">
        <w:rPr>
          <w:szCs w:val="22"/>
          <w:lang w:val="pt-PT" w:eastAsia="lt-LT"/>
        </w:rPr>
        <w:t xml:space="preserve"> nurodytais būdais.</w:t>
      </w:r>
    </w:p>
    <w:p w14:paraId="32AFE149" w14:textId="77777777" w:rsidR="00F51FBD" w:rsidRPr="00900CEC" w:rsidRDefault="00F51FBD" w:rsidP="00F51FBD">
      <w:pPr>
        <w:spacing w:line="240" w:lineRule="auto"/>
        <w:rPr>
          <w:szCs w:val="22"/>
          <w:lang w:val="lt-LT"/>
        </w:rPr>
      </w:pPr>
    </w:p>
    <w:p w14:paraId="20628D8B" w14:textId="77777777" w:rsidR="00F51FBD" w:rsidRPr="00900CEC" w:rsidRDefault="00F51FBD" w:rsidP="00F51FBD">
      <w:pPr>
        <w:pStyle w:val="Antrat4"/>
        <w:spacing w:line="240" w:lineRule="auto"/>
        <w:jc w:val="left"/>
        <w:rPr>
          <w:rFonts w:ascii="Times New Roman" w:hAnsi="Times New Roman"/>
          <w:sz w:val="22"/>
          <w:szCs w:val="22"/>
          <w:lang w:val="lt-LT"/>
        </w:rPr>
      </w:pPr>
      <w:r w:rsidRPr="00900CEC">
        <w:rPr>
          <w:rFonts w:ascii="Times New Roman" w:hAnsi="Times New Roman"/>
          <w:sz w:val="22"/>
          <w:szCs w:val="22"/>
          <w:lang w:val="lt-LT"/>
        </w:rPr>
        <w:t>4.9</w:t>
      </w:r>
      <w:r w:rsidRPr="00900CEC">
        <w:rPr>
          <w:rFonts w:ascii="Times New Roman" w:hAnsi="Times New Roman"/>
          <w:sz w:val="22"/>
          <w:szCs w:val="22"/>
          <w:lang w:val="lt-LT"/>
        </w:rPr>
        <w:tab/>
        <w:t>Perdozavimas</w:t>
      </w:r>
    </w:p>
    <w:p w14:paraId="7FDCCB6C" w14:textId="77777777" w:rsidR="00F51FBD" w:rsidRPr="00900CEC" w:rsidRDefault="00F51FBD" w:rsidP="00F51FBD">
      <w:pPr>
        <w:spacing w:line="240" w:lineRule="auto"/>
        <w:rPr>
          <w:szCs w:val="22"/>
          <w:lang w:val="lt-LT"/>
        </w:rPr>
      </w:pPr>
    </w:p>
    <w:p w14:paraId="5474E016" w14:textId="77777777" w:rsidR="00F51FBD" w:rsidRPr="00900CEC" w:rsidRDefault="00F51FBD" w:rsidP="00F51FBD">
      <w:pPr>
        <w:pStyle w:val="Antrat3"/>
        <w:spacing w:before="0" w:after="0" w:line="240" w:lineRule="auto"/>
        <w:rPr>
          <w:rFonts w:ascii="Times New Roman" w:hAnsi="Times New Roman"/>
          <w:b w:val="0"/>
          <w:bCs w:val="0"/>
          <w:iCs/>
          <w:sz w:val="22"/>
          <w:szCs w:val="22"/>
          <w:u w:val="single"/>
          <w:lang w:val="lt-LT"/>
        </w:rPr>
      </w:pPr>
      <w:r w:rsidRPr="00900CEC">
        <w:rPr>
          <w:rFonts w:ascii="Times New Roman" w:hAnsi="Times New Roman"/>
          <w:b w:val="0"/>
          <w:bCs w:val="0"/>
          <w:iCs/>
          <w:sz w:val="22"/>
          <w:szCs w:val="22"/>
          <w:u w:val="single"/>
          <w:lang w:val="lt-LT"/>
        </w:rPr>
        <w:t>Simptomai</w:t>
      </w:r>
    </w:p>
    <w:p w14:paraId="22C5992A" w14:textId="77777777" w:rsidR="00F51FBD" w:rsidRPr="00900CEC" w:rsidRDefault="00F51FBD" w:rsidP="00F51FBD">
      <w:pPr>
        <w:spacing w:line="240" w:lineRule="auto"/>
        <w:rPr>
          <w:bCs/>
          <w:szCs w:val="22"/>
          <w:u w:val="single"/>
          <w:lang w:val="lt-LT"/>
        </w:rPr>
      </w:pPr>
    </w:p>
    <w:p w14:paraId="1191ACB0" w14:textId="77777777" w:rsidR="00F51FBD" w:rsidRPr="00900CEC" w:rsidRDefault="00F51FBD" w:rsidP="00F51FBD">
      <w:pPr>
        <w:spacing w:line="240" w:lineRule="auto"/>
        <w:rPr>
          <w:i/>
          <w:iCs/>
          <w:szCs w:val="22"/>
          <w:lang w:val="lt-LT"/>
        </w:rPr>
      </w:pPr>
      <w:r w:rsidRPr="00900CEC">
        <w:rPr>
          <w:bCs/>
          <w:i/>
          <w:iCs/>
          <w:szCs w:val="22"/>
          <w:lang w:val="lt-LT"/>
        </w:rPr>
        <w:t>Paracetamolis</w:t>
      </w:r>
    </w:p>
    <w:p w14:paraId="1C9A99E8" w14:textId="77777777" w:rsidR="00F51FBD" w:rsidRPr="00900CEC" w:rsidRDefault="00F51FBD" w:rsidP="00F51FBD">
      <w:pPr>
        <w:spacing w:line="240" w:lineRule="auto"/>
        <w:rPr>
          <w:szCs w:val="22"/>
          <w:lang w:val="lt-LT"/>
        </w:rPr>
      </w:pPr>
      <w:r w:rsidRPr="00900CEC">
        <w:rPr>
          <w:szCs w:val="22"/>
          <w:lang w:val="lt-LT"/>
        </w:rPr>
        <w:t xml:space="preserve">Perdozuotas </w:t>
      </w:r>
      <w:proofErr w:type="spellStart"/>
      <w:r w:rsidRPr="00900CEC">
        <w:rPr>
          <w:szCs w:val="22"/>
          <w:lang w:val="lt-LT"/>
        </w:rPr>
        <w:t>paracetamolis</w:t>
      </w:r>
      <w:proofErr w:type="spellEnd"/>
      <w:r w:rsidRPr="00900CEC">
        <w:rPr>
          <w:szCs w:val="22"/>
          <w:lang w:val="lt-LT"/>
        </w:rPr>
        <w:t xml:space="preserve"> gali pažeisti kepenis ir net sukelti jų nepakankamumą. Paracetamolio perdozavimo simptomai per pirmąsias 24 val. yra blyškumas, pykinimas, vėmimas, anoreksija ir pilvo skausmas. Kepenų pažeidimas gali pasireikšti praėjus 12</w:t>
      </w:r>
      <w:r w:rsidRPr="00900CEC">
        <w:rPr>
          <w:szCs w:val="22"/>
          <w:lang w:val="lt-LT"/>
        </w:rPr>
        <w:noBreakHyphen/>
        <w:t xml:space="preserve">48 val. po perdozavimo. Gali sutrikti gliukozės metabolizmas ir pasireikšti metabolinė acidozė. Sunkiai apsinuodijus dėl kepenų nepakankamumo gali pasireikšti encefalopatija, koma ir ištikti mirtis. Net nesant sunkaus kepenų pažeidimo gali išsivystyti ūminis inkstų nepakankamumas su ūmine kanalėlių nekroze. Užfiksuota širdies aritmijų. Suaugusiesiems kepenų pažeidimas susidarius per dideliam toksiško metabolito kiekiui gali pasireikšti pavartojus 10 g ar daugiau paracetamolio. </w:t>
      </w:r>
    </w:p>
    <w:p w14:paraId="720F1512" w14:textId="77777777" w:rsidR="00F51FBD" w:rsidRPr="00900CEC" w:rsidRDefault="00F51FBD" w:rsidP="00F51FBD">
      <w:pPr>
        <w:spacing w:line="240" w:lineRule="auto"/>
        <w:rPr>
          <w:szCs w:val="22"/>
          <w:lang w:val="lt-LT"/>
        </w:rPr>
      </w:pPr>
    </w:p>
    <w:p w14:paraId="47A851CB" w14:textId="77777777" w:rsidR="00F51FBD" w:rsidRPr="00900CEC" w:rsidRDefault="00F51FBD" w:rsidP="00F51FBD">
      <w:pPr>
        <w:spacing w:line="240" w:lineRule="auto"/>
        <w:rPr>
          <w:i/>
          <w:iCs/>
          <w:szCs w:val="22"/>
          <w:lang w:val="lt-LT"/>
        </w:rPr>
      </w:pPr>
      <w:r w:rsidRPr="00900CEC">
        <w:rPr>
          <w:bCs/>
          <w:i/>
          <w:iCs/>
          <w:szCs w:val="22"/>
          <w:u w:val="single"/>
          <w:lang w:val="lt-LT"/>
        </w:rPr>
        <w:t>Ibuprofenas</w:t>
      </w:r>
    </w:p>
    <w:p w14:paraId="1F56B523" w14:textId="77777777" w:rsidR="00F51FBD" w:rsidRPr="00900CEC" w:rsidRDefault="00F51FBD" w:rsidP="00F51FBD">
      <w:pPr>
        <w:spacing w:line="240" w:lineRule="auto"/>
        <w:rPr>
          <w:szCs w:val="22"/>
          <w:lang w:val="lt-LT"/>
        </w:rPr>
      </w:pPr>
      <w:r w:rsidRPr="00900CEC">
        <w:rPr>
          <w:szCs w:val="22"/>
          <w:lang w:val="lt-LT"/>
        </w:rPr>
        <w:t>Simptomai yra pykinimas, pilvo skausmas ir vėmimas, svaigulys, traukuliai ir (retais atvejais) sąmonės netekimas. Galimos ibuprofeno perdozavimo klinikinės pasekmės yra centrinės nervų sistemos ir kvėpavimo slopinimas.</w:t>
      </w:r>
    </w:p>
    <w:p w14:paraId="5C6FB1C4" w14:textId="77777777" w:rsidR="00F51FBD" w:rsidRDefault="00F51FBD" w:rsidP="00F51FBD">
      <w:pPr>
        <w:spacing w:line="240" w:lineRule="auto"/>
        <w:rPr>
          <w:szCs w:val="22"/>
          <w:lang w:val="lt-LT"/>
        </w:rPr>
      </w:pPr>
      <w:r w:rsidRPr="00900CEC">
        <w:rPr>
          <w:szCs w:val="22"/>
          <w:lang w:val="lt-LT"/>
        </w:rPr>
        <w:t>Sunkus apsinuodijimas gali pasireikšti metaboline acidoze.</w:t>
      </w:r>
    </w:p>
    <w:p w14:paraId="440392EE" w14:textId="77777777" w:rsidR="00F51FBD" w:rsidRPr="009837F7" w:rsidRDefault="00F51FBD" w:rsidP="00F51FBD">
      <w:pPr>
        <w:spacing w:line="240" w:lineRule="auto"/>
        <w:rPr>
          <w:szCs w:val="22"/>
          <w:lang w:val="lt-LT"/>
        </w:rPr>
      </w:pPr>
      <w:r w:rsidRPr="0054580A">
        <w:rPr>
          <w:szCs w:val="22"/>
          <w:lang w:val="lt-LT"/>
        </w:rPr>
        <w:t>Ilg</w:t>
      </w:r>
      <w:r>
        <w:rPr>
          <w:szCs w:val="22"/>
          <w:lang w:val="lt-LT"/>
        </w:rPr>
        <w:t>ą laiką</w:t>
      </w:r>
      <w:r w:rsidRPr="0054580A">
        <w:rPr>
          <w:szCs w:val="22"/>
          <w:lang w:val="lt-LT"/>
        </w:rPr>
        <w:t xml:space="preserve"> vartojant didesnes nei rekomenduojama dozes arba perdozavus, gali išsivystyti inkstų kanalėlių acidozė ir hipokalemija.</w:t>
      </w:r>
    </w:p>
    <w:p w14:paraId="58288F6C" w14:textId="77777777" w:rsidR="00F51FBD" w:rsidRPr="00900CEC" w:rsidRDefault="00F51FBD" w:rsidP="00F51FBD">
      <w:pPr>
        <w:spacing w:line="240" w:lineRule="auto"/>
        <w:rPr>
          <w:szCs w:val="22"/>
          <w:lang w:val="lt-LT"/>
        </w:rPr>
      </w:pPr>
    </w:p>
    <w:p w14:paraId="27130FB5" w14:textId="77777777" w:rsidR="00F51FBD" w:rsidRPr="00900CEC" w:rsidRDefault="00F51FBD" w:rsidP="00F51FBD">
      <w:pPr>
        <w:pStyle w:val="Antrat3"/>
        <w:spacing w:before="0" w:after="0" w:line="240" w:lineRule="auto"/>
        <w:rPr>
          <w:rFonts w:ascii="Times New Roman" w:hAnsi="Times New Roman"/>
          <w:b w:val="0"/>
          <w:bCs w:val="0"/>
          <w:iCs/>
          <w:sz w:val="22"/>
          <w:szCs w:val="22"/>
          <w:u w:val="single"/>
          <w:lang w:val="lt-LT"/>
        </w:rPr>
      </w:pPr>
      <w:r w:rsidRPr="00900CEC">
        <w:rPr>
          <w:rFonts w:ascii="Times New Roman" w:hAnsi="Times New Roman"/>
          <w:b w:val="0"/>
          <w:bCs w:val="0"/>
          <w:iCs/>
          <w:sz w:val="22"/>
          <w:szCs w:val="22"/>
          <w:u w:val="single"/>
          <w:lang w:val="lt-LT"/>
        </w:rPr>
        <w:t>Gydymas</w:t>
      </w:r>
    </w:p>
    <w:p w14:paraId="214E54B1" w14:textId="77777777" w:rsidR="00F51FBD" w:rsidRPr="00900CEC" w:rsidRDefault="00F51FBD" w:rsidP="00F51FBD">
      <w:pPr>
        <w:spacing w:line="240" w:lineRule="auto"/>
        <w:rPr>
          <w:bCs/>
          <w:szCs w:val="22"/>
          <w:u w:val="single"/>
          <w:lang w:val="lt-LT"/>
        </w:rPr>
      </w:pPr>
    </w:p>
    <w:p w14:paraId="5513DE25" w14:textId="77777777" w:rsidR="00F51FBD" w:rsidRPr="00900CEC" w:rsidRDefault="00F51FBD" w:rsidP="00F51FBD">
      <w:pPr>
        <w:spacing w:line="240" w:lineRule="auto"/>
        <w:rPr>
          <w:i/>
          <w:iCs/>
          <w:szCs w:val="22"/>
          <w:lang w:val="lt-LT"/>
        </w:rPr>
      </w:pPr>
      <w:r w:rsidRPr="00900CEC">
        <w:rPr>
          <w:bCs/>
          <w:i/>
          <w:iCs/>
          <w:szCs w:val="22"/>
          <w:lang w:val="lt-LT"/>
        </w:rPr>
        <w:t>Paracetamolis</w:t>
      </w:r>
    </w:p>
    <w:p w14:paraId="763E1518" w14:textId="77777777" w:rsidR="00F51FBD" w:rsidRPr="00900CEC" w:rsidRDefault="00F51FBD" w:rsidP="00F51FBD">
      <w:pPr>
        <w:spacing w:line="240" w:lineRule="auto"/>
        <w:rPr>
          <w:szCs w:val="22"/>
          <w:lang w:val="lt-LT"/>
        </w:rPr>
      </w:pPr>
      <w:r w:rsidRPr="00900CEC">
        <w:rPr>
          <w:szCs w:val="22"/>
          <w:lang w:val="lt-LT"/>
        </w:rPr>
        <w:t xml:space="preserve">Perdozavus paracetamolio, ypatingai svarbu skubiai pradėti gydyti (net jeigu aiškių simptomų nėra), nes kyla kepenų pažeidimo pasireiškimo po kelių valandų ar net dienų, pavojus. Patartina nedelsiant gydyti visus pacientus, išgėrusius bent 7,5 g paracetamolio per paskutines 4 val. Reikia įvertinti būtinybę išplauti skrandį. Būtina kiek įmanoma greičiau skirti specifinio priešnuodžio nuo kepenų pažeidimo, pvz., </w:t>
      </w:r>
      <w:proofErr w:type="spellStart"/>
      <w:r w:rsidRPr="00900CEC">
        <w:rPr>
          <w:szCs w:val="22"/>
          <w:lang w:val="lt-LT"/>
        </w:rPr>
        <w:t>acetilcisteino</w:t>
      </w:r>
      <w:proofErr w:type="spellEnd"/>
      <w:r w:rsidRPr="00900CEC">
        <w:rPr>
          <w:szCs w:val="22"/>
          <w:lang w:val="lt-LT"/>
        </w:rPr>
        <w:t xml:space="preserve"> į veną arba </w:t>
      </w:r>
      <w:proofErr w:type="spellStart"/>
      <w:r w:rsidRPr="00900CEC">
        <w:rPr>
          <w:szCs w:val="22"/>
          <w:lang w:val="lt-LT"/>
        </w:rPr>
        <w:t>metionino</w:t>
      </w:r>
      <w:proofErr w:type="spellEnd"/>
      <w:r w:rsidRPr="00900CEC">
        <w:rPr>
          <w:szCs w:val="22"/>
          <w:lang w:val="lt-LT"/>
        </w:rPr>
        <w:t xml:space="preserve"> per burną.</w:t>
      </w:r>
    </w:p>
    <w:p w14:paraId="46BC29E3" w14:textId="77777777" w:rsidR="00F51FBD" w:rsidRPr="00900CEC" w:rsidRDefault="00F51FBD" w:rsidP="00F51FBD">
      <w:pPr>
        <w:spacing w:line="240" w:lineRule="auto"/>
        <w:rPr>
          <w:szCs w:val="22"/>
          <w:lang w:val="lt-LT"/>
        </w:rPr>
      </w:pPr>
    </w:p>
    <w:p w14:paraId="3B9FC028" w14:textId="77777777" w:rsidR="00F51FBD" w:rsidRPr="00900CEC" w:rsidRDefault="00F51FBD" w:rsidP="00F51FBD">
      <w:pPr>
        <w:spacing w:line="240" w:lineRule="auto"/>
        <w:rPr>
          <w:szCs w:val="22"/>
          <w:lang w:val="lt-LT"/>
        </w:rPr>
      </w:pPr>
      <w:proofErr w:type="spellStart"/>
      <w:r w:rsidRPr="00900CEC">
        <w:rPr>
          <w:szCs w:val="22"/>
          <w:lang w:val="lt-LT"/>
        </w:rPr>
        <w:t>Acetilcisteinas</w:t>
      </w:r>
      <w:proofErr w:type="spellEnd"/>
      <w:r w:rsidRPr="00900CEC">
        <w:rPr>
          <w:szCs w:val="22"/>
          <w:lang w:val="lt-LT"/>
        </w:rPr>
        <w:t xml:space="preserve"> būna veiksmingiausias, kai pavartojamas per pirmąsias 8 val. po perdozavimo. Jei vartojamas praėjus 8</w:t>
      </w:r>
      <w:r w:rsidRPr="00900CEC">
        <w:rPr>
          <w:szCs w:val="22"/>
          <w:lang w:val="lt-LT"/>
        </w:rPr>
        <w:noBreakHyphen/>
        <w:t xml:space="preserve">16 val., jo poveikis būna vis silpnesnis. Manyta, kad pradėjus daugiau kaip 15 val. po perdozavimo pradėtas gydymas yra neveiksmingas ir galbūt gali padidinti encefalopatijos dėl kepenų pažeidimo riziką, tačiau dabar įrodyta, kad vėlyvas vartojimas yra saugus. Ištyrus pacientus, pradėtus gydyti praėjus iki 36 val. po perdozavimo galima manyti, kad palankus poveikis gali pasireikšti ir pradėjus vartoti </w:t>
      </w:r>
      <w:proofErr w:type="spellStart"/>
      <w:r w:rsidRPr="00900CEC">
        <w:rPr>
          <w:szCs w:val="22"/>
          <w:lang w:val="lt-LT"/>
        </w:rPr>
        <w:t>acetilcisteiną</w:t>
      </w:r>
      <w:proofErr w:type="spellEnd"/>
      <w:r w:rsidRPr="00900CEC">
        <w:rPr>
          <w:szCs w:val="22"/>
          <w:lang w:val="lt-LT"/>
        </w:rPr>
        <w:t xml:space="preserve"> po daugiau kaip 15 val. Be to, į veną leidžiamas </w:t>
      </w:r>
      <w:proofErr w:type="spellStart"/>
      <w:r w:rsidRPr="00900CEC">
        <w:rPr>
          <w:szCs w:val="22"/>
          <w:lang w:val="lt-LT"/>
        </w:rPr>
        <w:t>acetilcisteinas</w:t>
      </w:r>
      <w:proofErr w:type="spellEnd"/>
      <w:r w:rsidRPr="00900CEC">
        <w:rPr>
          <w:szCs w:val="22"/>
          <w:lang w:val="lt-LT"/>
        </w:rPr>
        <w:t xml:space="preserve"> sumažina sergamumą ir mirštamumą pacientų, jau ištiktų žaibinio kepenų nepakankamumo.</w:t>
      </w:r>
    </w:p>
    <w:p w14:paraId="7A9B9E70" w14:textId="77777777" w:rsidR="00F51FBD" w:rsidRPr="00900CEC" w:rsidRDefault="00F51FBD" w:rsidP="00F51FBD">
      <w:pPr>
        <w:spacing w:line="240" w:lineRule="auto"/>
        <w:rPr>
          <w:szCs w:val="22"/>
          <w:lang w:val="lt-LT"/>
        </w:rPr>
      </w:pPr>
    </w:p>
    <w:p w14:paraId="3F1A1BB5" w14:textId="220E1C1C" w:rsidR="00F51FBD" w:rsidRPr="00900CEC" w:rsidRDefault="00F51FBD" w:rsidP="00F51FBD">
      <w:pPr>
        <w:spacing w:line="240" w:lineRule="auto"/>
        <w:rPr>
          <w:szCs w:val="22"/>
          <w:lang w:val="lt-LT"/>
        </w:rPr>
      </w:pPr>
      <w:proofErr w:type="spellStart"/>
      <w:r w:rsidRPr="00900CEC">
        <w:rPr>
          <w:szCs w:val="22"/>
          <w:lang w:val="lt-LT"/>
        </w:rPr>
        <w:t>Acetilcisteino</w:t>
      </w:r>
      <w:proofErr w:type="spellEnd"/>
      <w:r w:rsidRPr="00900CEC">
        <w:rPr>
          <w:szCs w:val="22"/>
          <w:lang w:val="lt-LT"/>
        </w:rPr>
        <w:t xml:space="preserve"> leidžiama į veną: iš pradžių per 15 min. – 150 mg/kg, ištirpinto 200</w:t>
      </w:r>
      <w:r w:rsidR="00A9213F">
        <w:rPr>
          <w:szCs w:val="22"/>
          <w:lang w:val="lt-LT"/>
        </w:rPr>
        <w:t> </w:t>
      </w:r>
      <w:r w:rsidRPr="00900CEC">
        <w:rPr>
          <w:szCs w:val="22"/>
          <w:lang w:val="lt-LT"/>
        </w:rPr>
        <w:t xml:space="preserve">ml 5 % gliukozės; paskui per 4 val. į veną </w:t>
      </w:r>
      <w:proofErr w:type="spellStart"/>
      <w:r w:rsidRPr="00900CEC">
        <w:rPr>
          <w:szCs w:val="22"/>
          <w:lang w:val="lt-LT"/>
        </w:rPr>
        <w:t>infuzuojama</w:t>
      </w:r>
      <w:proofErr w:type="spellEnd"/>
      <w:r w:rsidRPr="00900CEC">
        <w:rPr>
          <w:szCs w:val="22"/>
          <w:lang w:val="lt-LT"/>
        </w:rPr>
        <w:t xml:space="preserve"> 50 mg/kg, ištirpinto 500</w:t>
      </w:r>
      <w:r w:rsidR="00A9213F">
        <w:rPr>
          <w:szCs w:val="22"/>
          <w:lang w:val="lt-LT"/>
        </w:rPr>
        <w:t> </w:t>
      </w:r>
      <w:r w:rsidRPr="00900CEC">
        <w:rPr>
          <w:szCs w:val="22"/>
          <w:lang w:val="lt-LT"/>
        </w:rPr>
        <w:t xml:space="preserve">ml 5 % gliukozės; vėliau per 16 val. </w:t>
      </w:r>
      <w:proofErr w:type="spellStart"/>
      <w:r w:rsidRPr="00900CEC">
        <w:rPr>
          <w:szCs w:val="22"/>
          <w:lang w:val="lt-LT"/>
        </w:rPr>
        <w:t>infuzuojama</w:t>
      </w:r>
      <w:proofErr w:type="spellEnd"/>
      <w:r w:rsidRPr="00900CEC">
        <w:rPr>
          <w:szCs w:val="22"/>
          <w:lang w:val="lt-LT"/>
        </w:rPr>
        <w:t xml:space="preserve"> 100 mg/kg, ištirpinto viename litre 5 % gliukozės. Į veną leidžiamų skysčių tūrį vaikams reikia koreguoti.</w:t>
      </w:r>
    </w:p>
    <w:p w14:paraId="67A5D3AE" w14:textId="77777777" w:rsidR="00F51FBD" w:rsidRPr="00900CEC" w:rsidRDefault="00F51FBD" w:rsidP="00F51FBD">
      <w:pPr>
        <w:spacing w:line="240" w:lineRule="auto"/>
        <w:rPr>
          <w:szCs w:val="22"/>
          <w:lang w:val="lt-LT"/>
        </w:rPr>
      </w:pPr>
    </w:p>
    <w:p w14:paraId="5FB6ADC0" w14:textId="77777777" w:rsidR="00F51FBD" w:rsidRPr="00900CEC" w:rsidRDefault="00F51FBD" w:rsidP="00F51FBD">
      <w:pPr>
        <w:spacing w:line="240" w:lineRule="auto"/>
        <w:rPr>
          <w:szCs w:val="22"/>
          <w:lang w:val="lt-LT"/>
        </w:rPr>
      </w:pPr>
      <w:proofErr w:type="spellStart"/>
      <w:r w:rsidRPr="00900CEC">
        <w:rPr>
          <w:szCs w:val="22"/>
          <w:lang w:val="lt-LT"/>
        </w:rPr>
        <w:t>Metioninas</w:t>
      </w:r>
      <w:proofErr w:type="spellEnd"/>
      <w:r w:rsidRPr="00900CEC">
        <w:rPr>
          <w:szCs w:val="22"/>
          <w:lang w:val="lt-LT"/>
        </w:rPr>
        <w:t xml:space="preserve"> vartojamas per burną po 2,5 g kas 4 val. (suminė dozė – 10 g). Gydymą </w:t>
      </w:r>
      <w:proofErr w:type="spellStart"/>
      <w:r w:rsidRPr="00900CEC">
        <w:rPr>
          <w:szCs w:val="22"/>
          <w:lang w:val="lt-LT"/>
        </w:rPr>
        <w:t>metioninu</w:t>
      </w:r>
      <w:proofErr w:type="spellEnd"/>
      <w:r w:rsidRPr="00900CEC">
        <w:rPr>
          <w:szCs w:val="22"/>
          <w:lang w:val="lt-LT"/>
        </w:rPr>
        <w:t xml:space="preserve"> reikia pradėti per 10 val. po paracetamolio perdozavimo, nes kitaip jis būtų neveiksmingas ir galėtų apsukinti kepenų pažeidimą.</w:t>
      </w:r>
    </w:p>
    <w:p w14:paraId="7E347C08" w14:textId="77777777" w:rsidR="00F51FBD" w:rsidRPr="00900CEC" w:rsidRDefault="00F51FBD" w:rsidP="00F51FBD">
      <w:pPr>
        <w:spacing w:line="240" w:lineRule="auto"/>
        <w:rPr>
          <w:szCs w:val="22"/>
          <w:lang w:val="lt-LT"/>
        </w:rPr>
      </w:pPr>
    </w:p>
    <w:p w14:paraId="3E874494" w14:textId="77777777" w:rsidR="00F51FBD" w:rsidRPr="00900CEC" w:rsidRDefault="00F51FBD" w:rsidP="00F51FBD">
      <w:pPr>
        <w:spacing w:line="240" w:lineRule="auto"/>
        <w:rPr>
          <w:szCs w:val="22"/>
          <w:lang w:val="lt-LT"/>
        </w:rPr>
      </w:pPr>
      <w:r w:rsidRPr="00900CEC">
        <w:rPr>
          <w:szCs w:val="22"/>
          <w:lang w:val="lt-LT"/>
        </w:rPr>
        <w:t>Sunkių simptomų gali nepasireikšti 4</w:t>
      </w:r>
      <w:r w:rsidRPr="00900CEC">
        <w:rPr>
          <w:szCs w:val="22"/>
          <w:lang w:val="lt-LT"/>
        </w:rPr>
        <w:noBreakHyphen/>
        <w:t>5 dienas po perdozavimo, todėl pacientą reikia ilgai atidžiai stebėti.</w:t>
      </w:r>
    </w:p>
    <w:p w14:paraId="665EBD67" w14:textId="77777777" w:rsidR="00F51FBD" w:rsidRPr="00900CEC" w:rsidRDefault="00F51FBD" w:rsidP="00F51FBD">
      <w:pPr>
        <w:spacing w:line="240" w:lineRule="auto"/>
        <w:rPr>
          <w:szCs w:val="22"/>
          <w:lang w:val="lt-LT"/>
        </w:rPr>
      </w:pPr>
    </w:p>
    <w:p w14:paraId="5B94F7E0" w14:textId="77777777" w:rsidR="00F51FBD" w:rsidRPr="00900CEC" w:rsidRDefault="00F51FBD" w:rsidP="00F51FBD">
      <w:pPr>
        <w:spacing w:line="240" w:lineRule="auto"/>
        <w:rPr>
          <w:szCs w:val="22"/>
          <w:lang w:val="lt-LT"/>
        </w:rPr>
      </w:pPr>
      <w:r w:rsidRPr="00900CEC">
        <w:rPr>
          <w:bCs/>
          <w:szCs w:val="22"/>
          <w:u w:val="single"/>
          <w:lang w:val="lt-LT"/>
        </w:rPr>
        <w:t>Ibuprofenas</w:t>
      </w:r>
    </w:p>
    <w:p w14:paraId="7CF635F2" w14:textId="77777777" w:rsidR="00F51FBD" w:rsidRPr="00900CEC" w:rsidRDefault="00F51FBD" w:rsidP="00F51FBD">
      <w:pPr>
        <w:spacing w:line="240" w:lineRule="auto"/>
        <w:rPr>
          <w:szCs w:val="22"/>
          <w:lang w:val="lt-LT"/>
        </w:rPr>
      </w:pPr>
      <w:r w:rsidRPr="00900CEC">
        <w:rPr>
          <w:szCs w:val="22"/>
          <w:lang w:val="lt-LT"/>
        </w:rPr>
        <w:lastRenderedPageBreak/>
        <w:t>Gydymas simptominis ir palaikomasis, o tarp gydymo priemonių turi būti kvėpavimo takų praeinamumo palaikymas bei širdies ir gyvybinių funkcijų stebėjimas, kol stabilizuosis paciento būklė. Plauti skrandį rekomenduojama tik per pirmąsias 60 min. po gyvybei pavojingo perdozavimo. Ibuprofenas yra rūgštinis ir išskiriamas su šlapimu, todėl teoriškai turėtų būti naudinga skirti šarminių medžiagų ir skatinti diurezę. Greta palaikomųjų priemonių per burną vartojama aktyvinta anglis gali padėti sumažinti ibuprofeno absorbciją ir reabsorbciją.</w:t>
      </w:r>
    </w:p>
    <w:p w14:paraId="0C80827F" w14:textId="77777777" w:rsidR="00F51FBD" w:rsidRPr="00900CEC" w:rsidRDefault="00F51FBD" w:rsidP="00F51FBD">
      <w:pPr>
        <w:spacing w:line="240" w:lineRule="auto"/>
        <w:rPr>
          <w:szCs w:val="22"/>
          <w:lang w:val="lt-LT"/>
        </w:rPr>
      </w:pPr>
    </w:p>
    <w:p w14:paraId="391B0619" w14:textId="77777777" w:rsidR="00F51FBD" w:rsidRPr="00900CEC" w:rsidRDefault="00F51FBD" w:rsidP="00F51FBD">
      <w:pPr>
        <w:spacing w:line="240" w:lineRule="auto"/>
        <w:rPr>
          <w:szCs w:val="22"/>
          <w:lang w:val="lt-LT"/>
        </w:rPr>
      </w:pPr>
    </w:p>
    <w:p w14:paraId="5CC5BD41" w14:textId="77777777" w:rsidR="00F51FBD" w:rsidRPr="00900CEC" w:rsidRDefault="00F51FBD" w:rsidP="00F51FBD">
      <w:pPr>
        <w:pStyle w:val="Antrat3"/>
        <w:spacing w:before="0" w:after="0" w:line="240" w:lineRule="auto"/>
        <w:rPr>
          <w:rFonts w:ascii="Times New Roman" w:hAnsi="Times New Roman"/>
          <w:sz w:val="22"/>
          <w:szCs w:val="22"/>
          <w:lang w:val="lt-LT"/>
        </w:rPr>
      </w:pPr>
      <w:r w:rsidRPr="00900CEC">
        <w:rPr>
          <w:rFonts w:ascii="Times New Roman" w:hAnsi="Times New Roman"/>
          <w:sz w:val="22"/>
          <w:szCs w:val="22"/>
          <w:lang w:val="lt-LT"/>
        </w:rPr>
        <w:t>5.</w:t>
      </w:r>
      <w:r w:rsidRPr="00900CEC">
        <w:rPr>
          <w:rFonts w:ascii="Times New Roman" w:hAnsi="Times New Roman"/>
          <w:sz w:val="22"/>
          <w:szCs w:val="22"/>
          <w:lang w:val="lt-LT"/>
        </w:rPr>
        <w:tab/>
        <w:t>FARMAKOLOGINĖS SAVYBĖS</w:t>
      </w:r>
    </w:p>
    <w:p w14:paraId="28FA4E17" w14:textId="77777777" w:rsidR="00F51FBD" w:rsidRPr="00900CEC" w:rsidRDefault="00F51FBD" w:rsidP="00F51FBD">
      <w:pPr>
        <w:spacing w:line="240" w:lineRule="auto"/>
        <w:rPr>
          <w:szCs w:val="22"/>
          <w:lang w:val="lt-LT"/>
        </w:rPr>
      </w:pPr>
    </w:p>
    <w:p w14:paraId="25929C47" w14:textId="77777777" w:rsidR="00F51FBD" w:rsidRPr="00900CEC" w:rsidRDefault="00F51FBD" w:rsidP="00F51FBD">
      <w:pPr>
        <w:pStyle w:val="Antrat4"/>
        <w:spacing w:line="240" w:lineRule="auto"/>
        <w:jc w:val="left"/>
        <w:rPr>
          <w:rFonts w:ascii="Times New Roman" w:hAnsi="Times New Roman"/>
          <w:sz w:val="22"/>
          <w:szCs w:val="22"/>
          <w:lang w:val="lt-LT"/>
        </w:rPr>
      </w:pPr>
      <w:r w:rsidRPr="00900CEC">
        <w:rPr>
          <w:rFonts w:ascii="Times New Roman" w:hAnsi="Times New Roman"/>
          <w:sz w:val="22"/>
          <w:szCs w:val="22"/>
          <w:lang w:val="lt-LT"/>
        </w:rPr>
        <w:t>5.1</w:t>
      </w:r>
      <w:r w:rsidRPr="00900CEC">
        <w:rPr>
          <w:rFonts w:ascii="Times New Roman" w:hAnsi="Times New Roman"/>
          <w:bCs w:val="0"/>
          <w:sz w:val="22"/>
          <w:szCs w:val="22"/>
          <w:lang w:val="lt-LT"/>
        </w:rPr>
        <w:t xml:space="preserve"> </w:t>
      </w:r>
      <w:r w:rsidRPr="00900CEC">
        <w:rPr>
          <w:rFonts w:ascii="Times New Roman" w:hAnsi="Times New Roman"/>
          <w:sz w:val="22"/>
          <w:szCs w:val="22"/>
          <w:lang w:val="lt-LT"/>
        </w:rPr>
        <w:tab/>
        <w:t>Farmakodinaminės savybės</w:t>
      </w:r>
    </w:p>
    <w:p w14:paraId="0482140E" w14:textId="77777777" w:rsidR="00F51FBD" w:rsidRPr="00900CEC" w:rsidRDefault="00F51FBD" w:rsidP="00F51FBD">
      <w:pPr>
        <w:spacing w:line="240" w:lineRule="auto"/>
        <w:rPr>
          <w:szCs w:val="22"/>
          <w:lang w:val="lt-LT"/>
        </w:rPr>
      </w:pPr>
    </w:p>
    <w:p w14:paraId="0D4822C6" w14:textId="77777777" w:rsidR="00F51FBD" w:rsidRPr="00900CEC" w:rsidRDefault="00F51FBD" w:rsidP="00F51FBD">
      <w:pPr>
        <w:spacing w:line="240" w:lineRule="auto"/>
        <w:rPr>
          <w:i/>
          <w:szCs w:val="22"/>
          <w:lang w:val="lt-LT"/>
        </w:rPr>
      </w:pPr>
      <w:r w:rsidRPr="00900CEC">
        <w:rPr>
          <w:szCs w:val="22"/>
          <w:lang w:val="lt-LT"/>
        </w:rPr>
        <w:t xml:space="preserve">Farmakoterapinė grupė – kiti analgetikai ir antipiretikai, </w:t>
      </w:r>
      <w:proofErr w:type="spellStart"/>
      <w:r w:rsidRPr="00900CEC">
        <w:rPr>
          <w:szCs w:val="22"/>
          <w:lang w:val="lt-LT"/>
        </w:rPr>
        <w:t>anilidai</w:t>
      </w:r>
      <w:proofErr w:type="spellEnd"/>
      <w:r w:rsidRPr="00900CEC">
        <w:rPr>
          <w:szCs w:val="22"/>
          <w:lang w:val="lt-LT"/>
        </w:rPr>
        <w:t>, ATC kodas – N02BE51.</w:t>
      </w:r>
    </w:p>
    <w:p w14:paraId="236AB68F" w14:textId="77777777" w:rsidR="00F51FBD" w:rsidRPr="00900CEC" w:rsidRDefault="00F51FBD" w:rsidP="00F51FBD">
      <w:pPr>
        <w:spacing w:line="240" w:lineRule="auto"/>
        <w:rPr>
          <w:szCs w:val="22"/>
          <w:lang w:val="lt-LT"/>
        </w:rPr>
      </w:pPr>
    </w:p>
    <w:p w14:paraId="4FEA615E" w14:textId="77777777" w:rsidR="00F51FBD" w:rsidRPr="00900CEC" w:rsidRDefault="00F51FBD" w:rsidP="00F51FBD">
      <w:pPr>
        <w:pStyle w:val="Antrat"/>
        <w:spacing w:before="0" w:after="0"/>
        <w:rPr>
          <w:rFonts w:ascii="Times New Roman" w:hAnsi="Times New Roman" w:cs="Times New Roman"/>
          <w:i w:val="0"/>
          <w:szCs w:val="22"/>
          <w:u w:val="single"/>
          <w:lang w:val="lt-LT"/>
        </w:rPr>
      </w:pPr>
      <w:r w:rsidRPr="00900CEC">
        <w:rPr>
          <w:rFonts w:ascii="Times New Roman" w:hAnsi="Times New Roman" w:cs="Times New Roman"/>
          <w:i w:val="0"/>
          <w:szCs w:val="22"/>
          <w:u w:val="single"/>
          <w:lang w:val="lt-LT"/>
        </w:rPr>
        <w:t>Veikimo mechanizmas</w:t>
      </w:r>
    </w:p>
    <w:p w14:paraId="6DA62FAF" w14:textId="77777777" w:rsidR="00F51FBD" w:rsidRPr="00900CEC" w:rsidRDefault="00F51FBD" w:rsidP="00F51FBD">
      <w:pPr>
        <w:spacing w:line="240" w:lineRule="auto"/>
        <w:rPr>
          <w:szCs w:val="22"/>
          <w:lang w:val="lt-LT"/>
        </w:rPr>
      </w:pPr>
      <w:proofErr w:type="spellStart"/>
      <w:r w:rsidRPr="00900CEC">
        <w:rPr>
          <w:szCs w:val="22"/>
          <w:lang w:val="lt-LT"/>
        </w:rPr>
        <w:t>Paracetamolio</w:t>
      </w:r>
      <w:proofErr w:type="spellEnd"/>
      <w:r w:rsidRPr="00900CEC">
        <w:rPr>
          <w:szCs w:val="22"/>
          <w:lang w:val="lt-LT"/>
        </w:rPr>
        <w:t xml:space="preserve"> </w:t>
      </w:r>
      <w:proofErr w:type="spellStart"/>
      <w:r w:rsidRPr="00900CEC">
        <w:rPr>
          <w:szCs w:val="22"/>
          <w:lang w:val="lt-LT"/>
        </w:rPr>
        <w:t>analgezinio</w:t>
      </w:r>
      <w:proofErr w:type="spellEnd"/>
      <w:r w:rsidRPr="00900CEC">
        <w:rPr>
          <w:szCs w:val="22"/>
          <w:lang w:val="lt-LT"/>
        </w:rPr>
        <w:t xml:space="preserve"> poveikio vieta ir mechanizmas tiksliai nenustatyti, tačiau manoma, kad </w:t>
      </w:r>
      <w:proofErr w:type="spellStart"/>
      <w:r w:rsidRPr="00900CEC">
        <w:rPr>
          <w:szCs w:val="22"/>
          <w:lang w:val="lt-LT"/>
        </w:rPr>
        <w:t>analgezija</w:t>
      </w:r>
      <w:proofErr w:type="spellEnd"/>
      <w:r w:rsidRPr="00900CEC">
        <w:rPr>
          <w:szCs w:val="22"/>
          <w:lang w:val="lt-LT"/>
        </w:rPr>
        <w:t xml:space="preserve"> priklauso nuo skausmo slenksčio padidėjimo. Galimas mechanizmas yra azoto oksido </w:t>
      </w:r>
      <w:proofErr w:type="spellStart"/>
      <w:r>
        <w:rPr>
          <w:szCs w:val="22"/>
          <w:lang w:val="lt-LT"/>
        </w:rPr>
        <w:t>patofiziologinio</w:t>
      </w:r>
      <w:proofErr w:type="spellEnd"/>
      <w:r>
        <w:rPr>
          <w:szCs w:val="22"/>
          <w:lang w:val="lt-LT"/>
        </w:rPr>
        <w:t xml:space="preserve"> </w:t>
      </w:r>
      <w:r w:rsidRPr="00900CEC">
        <w:rPr>
          <w:szCs w:val="22"/>
          <w:lang w:val="lt-LT"/>
        </w:rPr>
        <w:t>kelio slopinimas, perduodamas per įvairių nervų sistemos mediatorių (pvz., N-</w:t>
      </w:r>
      <w:proofErr w:type="spellStart"/>
      <w:r w:rsidRPr="00900CEC">
        <w:rPr>
          <w:szCs w:val="22"/>
          <w:lang w:val="lt-LT"/>
        </w:rPr>
        <w:t>metil</w:t>
      </w:r>
      <w:proofErr w:type="spellEnd"/>
      <w:r w:rsidRPr="00900CEC">
        <w:rPr>
          <w:szCs w:val="22"/>
          <w:lang w:val="lt-LT"/>
        </w:rPr>
        <w:t>-D-</w:t>
      </w:r>
      <w:proofErr w:type="spellStart"/>
      <w:r w:rsidRPr="00900CEC">
        <w:rPr>
          <w:szCs w:val="22"/>
          <w:lang w:val="lt-LT"/>
        </w:rPr>
        <w:t>aspartato</w:t>
      </w:r>
      <w:proofErr w:type="spellEnd"/>
      <w:r w:rsidRPr="00900CEC">
        <w:rPr>
          <w:szCs w:val="22"/>
          <w:lang w:val="lt-LT"/>
        </w:rPr>
        <w:t>, P substancijos) receptorius.</w:t>
      </w:r>
    </w:p>
    <w:p w14:paraId="1B8032EE" w14:textId="77777777" w:rsidR="00F51FBD" w:rsidRPr="00900CEC" w:rsidRDefault="00F51FBD" w:rsidP="00F51FBD">
      <w:pPr>
        <w:spacing w:line="240" w:lineRule="auto"/>
        <w:rPr>
          <w:szCs w:val="22"/>
          <w:lang w:val="lt-LT"/>
        </w:rPr>
      </w:pPr>
    </w:p>
    <w:p w14:paraId="202E8CBC" w14:textId="77777777" w:rsidR="00F51FBD" w:rsidRPr="00900CEC" w:rsidRDefault="00F51FBD" w:rsidP="00F51FBD">
      <w:pPr>
        <w:tabs>
          <w:tab w:val="clear" w:pos="567"/>
        </w:tabs>
        <w:spacing w:line="240" w:lineRule="auto"/>
        <w:rPr>
          <w:color w:val="000000"/>
          <w:szCs w:val="22"/>
          <w:lang w:val="lt-LT"/>
        </w:rPr>
      </w:pPr>
      <w:proofErr w:type="spellStart"/>
      <w:r w:rsidRPr="00900CEC">
        <w:rPr>
          <w:color w:val="000000"/>
          <w:szCs w:val="22"/>
          <w:lang w:val="lt-LT"/>
        </w:rPr>
        <w:t>Ibuprofenas</w:t>
      </w:r>
      <w:proofErr w:type="spellEnd"/>
      <w:r w:rsidRPr="00900CEC">
        <w:rPr>
          <w:color w:val="000000"/>
          <w:szCs w:val="22"/>
          <w:lang w:val="lt-LT"/>
        </w:rPr>
        <w:t xml:space="preserve"> yra </w:t>
      </w:r>
      <w:proofErr w:type="spellStart"/>
      <w:r w:rsidRPr="00900CEC">
        <w:rPr>
          <w:color w:val="000000"/>
          <w:szCs w:val="22"/>
          <w:lang w:val="lt-LT"/>
        </w:rPr>
        <w:t>propiono</w:t>
      </w:r>
      <w:proofErr w:type="spellEnd"/>
      <w:r w:rsidRPr="00900CEC">
        <w:rPr>
          <w:color w:val="000000"/>
          <w:szCs w:val="22"/>
          <w:lang w:val="lt-LT"/>
        </w:rPr>
        <w:t xml:space="preserve"> rūgšties darinys, kuris malšina skausmą, mažina uždegimą ir karščiavimą. Jo kaip NVNU terapinį poveikį nulemia fermento ciklooksigenazės slopinimas, dėl kurio sintezuojama mažiau prostaglandinų. </w:t>
      </w:r>
    </w:p>
    <w:p w14:paraId="34D9CB95" w14:textId="77777777" w:rsidR="00F51FBD" w:rsidRPr="00900CEC" w:rsidRDefault="00F51FBD" w:rsidP="00F51FBD">
      <w:pPr>
        <w:spacing w:line="240" w:lineRule="auto"/>
        <w:rPr>
          <w:color w:val="000000"/>
          <w:szCs w:val="22"/>
          <w:lang w:val="lt-LT"/>
        </w:rPr>
      </w:pPr>
    </w:p>
    <w:p w14:paraId="2263F151" w14:textId="125924D5" w:rsidR="00F51FBD" w:rsidRPr="00900CEC" w:rsidRDefault="00F51FBD" w:rsidP="00F51FBD">
      <w:pPr>
        <w:spacing w:line="240" w:lineRule="auto"/>
        <w:rPr>
          <w:b/>
          <w:bCs/>
          <w:szCs w:val="22"/>
          <w:lang w:val="lt-LT"/>
        </w:rPr>
      </w:pPr>
      <w:r w:rsidRPr="00900CEC">
        <w:rPr>
          <w:color w:val="000000"/>
          <w:szCs w:val="22"/>
          <w:lang w:val="lt-LT"/>
        </w:rPr>
        <w:t xml:space="preserve">Eksperimentų duomenimis, kartu vartojamas ibuprofenas gali konkurenciniu būdu slopinti mažų acetilsalicilo rūgšties dozių poveikį trombocitų </w:t>
      </w:r>
      <w:proofErr w:type="spellStart"/>
      <w:r w:rsidRPr="00900CEC">
        <w:rPr>
          <w:color w:val="000000"/>
          <w:szCs w:val="22"/>
          <w:lang w:val="lt-LT"/>
        </w:rPr>
        <w:t>agregacijai</w:t>
      </w:r>
      <w:proofErr w:type="spellEnd"/>
      <w:r w:rsidRPr="00900CEC">
        <w:rPr>
          <w:color w:val="000000"/>
          <w:szCs w:val="22"/>
          <w:lang w:val="lt-LT"/>
        </w:rPr>
        <w:t xml:space="preserve">. Kai kurių farmakodinamikos tyrimų duomenimis, pavartojus vienkartinę 400 mg ibuprofeno dozę per paskutines 8 val. iki greito atpalaidavimo acetilsalicilo rūgšties 81 mg dozės arba per 30 min. po jos, susilpnėjo </w:t>
      </w:r>
      <w:proofErr w:type="spellStart"/>
      <w:r w:rsidRPr="00900CEC">
        <w:rPr>
          <w:color w:val="000000"/>
          <w:szCs w:val="22"/>
          <w:lang w:val="lt-LT"/>
        </w:rPr>
        <w:t>acetilsalicilo</w:t>
      </w:r>
      <w:proofErr w:type="spellEnd"/>
      <w:r w:rsidRPr="00900CEC">
        <w:rPr>
          <w:color w:val="000000"/>
          <w:szCs w:val="22"/>
          <w:lang w:val="lt-LT"/>
        </w:rPr>
        <w:t xml:space="preserve"> rūgšties poveikis </w:t>
      </w:r>
      <w:proofErr w:type="spellStart"/>
      <w:r w:rsidRPr="00900CEC">
        <w:rPr>
          <w:color w:val="000000"/>
          <w:szCs w:val="22"/>
          <w:lang w:val="lt-LT"/>
        </w:rPr>
        <w:t>tromboksano</w:t>
      </w:r>
      <w:proofErr w:type="spellEnd"/>
      <w:r w:rsidRPr="00900CEC">
        <w:rPr>
          <w:color w:val="000000"/>
          <w:szCs w:val="22"/>
          <w:lang w:val="lt-LT"/>
        </w:rPr>
        <w:t xml:space="preserve"> sintezei ir trombocitų </w:t>
      </w:r>
      <w:proofErr w:type="spellStart"/>
      <w:r w:rsidRPr="00900CEC">
        <w:rPr>
          <w:color w:val="000000"/>
          <w:szCs w:val="22"/>
          <w:lang w:val="lt-LT"/>
        </w:rPr>
        <w:t>agregacijai</w:t>
      </w:r>
      <w:proofErr w:type="spellEnd"/>
      <w:r w:rsidRPr="00900CEC">
        <w:rPr>
          <w:color w:val="000000"/>
          <w:szCs w:val="22"/>
          <w:lang w:val="lt-LT"/>
        </w:rPr>
        <w:t xml:space="preserve">. Nors šių duomenų </w:t>
      </w:r>
      <w:proofErr w:type="spellStart"/>
      <w:r w:rsidRPr="00900CEC">
        <w:rPr>
          <w:color w:val="000000"/>
          <w:szCs w:val="22"/>
          <w:lang w:val="lt-LT"/>
        </w:rPr>
        <w:t>ekstrapoliavimas</w:t>
      </w:r>
      <w:proofErr w:type="spellEnd"/>
      <w:r w:rsidRPr="00900CEC">
        <w:rPr>
          <w:color w:val="000000"/>
          <w:szCs w:val="22"/>
          <w:lang w:val="lt-LT"/>
        </w:rPr>
        <w:t xml:space="preserve"> į klinikines sąlygas yra abejotinas, tačiau negalima atmesti galimybės, kad ilgai ir reguliariai vartojamas ibuprofenas gali susilpninti apsauginį mažų acetilsalicilo rūgšties dozių poveikį širdžiai. </w:t>
      </w:r>
      <w:proofErr w:type="spellStart"/>
      <w:r w:rsidRPr="00900CEC">
        <w:rPr>
          <w:color w:val="000000"/>
          <w:szCs w:val="22"/>
          <w:lang w:val="lt-LT"/>
        </w:rPr>
        <w:t>Ibuprofeną</w:t>
      </w:r>
      <w:proofErr w:type="spellEnd"/>
      <w:r w:rsidRPr="00900CEC">
        <w:rPr>
          <w:color w:val="000000"/>
          <w:szCs w:val="22"/>
          <w:lang w:val="lt-LT"/>
        </w:rPr>
        <w:t xml:space="preserve"> vartojant kartais kliniškai reikšmingo poveikio nereikėtų tikėtis (žr. 4.5</w:t>
      </w:r>
      <w:r w:rsidR="00A9213F">
        <w:rPr>
          <w:color w:val="000000"/>
          <w:szCs w:val="22"/>
          <w:lang w:val="lt-LT"/>
        </w:rPr>
        <w:t> </w:t>
      </w:r>
      <w:r w:rsidRPr="00900CEC">
        <w:rPr>
          <w:color w:val="000000"/>
          <w:szCs w:val="22"/>
          <w:lang w:val="lt-LT"/>
        </w:rPr>
        <w:t xml:space="preserve">skyrių). </w:t>
      </w:r>
    </w:p>
    <w:p w14:paraId="6F2D7043" w14:textId="77777777" w:rsidR="00F51FBD" w:rsidRPr="00900CEC" w:rsidRDefault="00F51FBD" w:rsidP="00F51FBD">
      <w:pPr>
        <w:spacing w:line="240" w:lineRule="auto"/>
        <w:rPr>
          <w:i/>
          <w:szCs w:val="22"/>
          <w:lang w:val="lt-LT"/>
        </w:rPr>
      </w:pPr>
    </w:p>
    <w:p w14:paraId="3D38B140" w14:textId="77777777" w:rsidR="00F51FBD" w:rsidRPr="00900CEC" w:rsidRDefault="00F51FBD" w:rsidP="00F51FBD">
      <w:pPr>
        <w:keepNext/>
        <w:spacing w:line="240" w:lineRule="auto"/>
        <w:rPr>
          <w:i/>
          <w:szCs w:val="22"/>
          <w:lang w:val="lt-LT"/>
        </w:rPr>
      </w:pPr>
      <w:r w:rsidRPr="00900CEC">
        <w:rPr>
          <w:i/>
          <w:szCs w:val="22"/>
          <w:lang w:val="lt-LT"/>
        </w:rPr>
        <w:t>Klinikiniai tyrimai</w:t>
      </w:r>
    </w:p>
    <w:p w14:paraId="42F4C848" w14:textId="2F0EDA39" w:rsidR="00F51FBD" w:rsidRPr="00900CEC" w:rsidRDefault="00F51FBD" w:rsidP="00F51FBD">
      <w:pPr>
        <w:keepNext/>
        <w:spacing w:line="240" w:lineRule="auto"/>
        <w:rPr>
          <w:iCs/>
          <w:szCs w:val="22"/>
          <w:lang w:val="lt-LT"/>
        </w:rPr>
      </w:pPr>
      <w:r w:rsidRPr="00900CEC">
        <w:rPr>
          <w:iCs/>
          <w:szCs w:val="22"/>
          <w:lang w:val="lt-LT"/>
        </w:rPr>
        <w:t xml:space="preserve">Į </w:t>
      </w:r>
      <w:proofErr w:type="spellStart"/>
      <w:r w:rsidR="006A24B2">
        <w:rPr>
          <w:iCs/>
          <w:szCs w:val="22"/>
          <w:lang w:val="lt-LT"/>
        </w:rPr>
        <w:t>Paracetamol</w:t>
      </w:r>
      <w:proofErr w:type="spellEnd"/>
      <w:r w:rsidR="006A24B2">
        <w:rPr>
          <w:iCs/>
          <w:szCs w:val="22"/>
          <w:lang w:val="lt-LT"/>
        </w:rPr>
        <w:t>/</w:t>
      </w:r>
      <w:proofErr w:type="spellStart"/>
      <w:r w:rsidR="006A24B2">
        <w:rPr>
          <w:iCs/>
          <w:szCs w:val="22"/>
          <w:lang w:val="lt-LT"/>
        </w:rPr>
        <w:t>Ibuprofen</w:t>
      </w:r>
      <w:proofErr w:type="spellEnd"/>
      <w:r w:rsidR="006A24B2">
        <w:rPr>
          <w:iCs/>
          <w:szCs w:val="22"/>
          <w:lang w:val="lt-LT"/>
        </w:rPr>
        <w:t xml:space="preserve"> AFT </w:t>
      </w:r>
      <w:proofErr w:type="spellStart"/>
      <w:r w:rsidR="006A24B2">
        <w:rPr>
          <w:iCs/>
          <w:szCs w:val="22"/>
          <w:lang w:val="lt-LT"/>
        </w:rPr>
        <w:t>Pharmaceuticals</w:t>
      </w:r>
      <w:proofErr w:type="spellEnd"/>
      <w:r>
        <w:rPr>
          <w:iCs/>
          <w:szCs w:val="22"/>
          <w:lang w:val="lt-LT"/>
        </w:rPr>
        <w:t xml:space="preserve"> </w:t>
      </w:r>
      <w:r w:rsidRPr="00900CEC">
        <w:rPr>
          <w:iCs/>
          <w:szCs w:val="22"/>
          <w:lang w:val="lt-LT"/>
        </w:rPr>
        <w:t>klinikinius tyrimus nebuvo įtraukti 65</w:t>
      </w:r>
      <w:r w:rsidR="00A9213F">
        <w:rPr>
          <w:iCs/>
          <w:szCs w:val="22"/>
          <w:lang w:val="lt-LT"/>
        </w:rPr>
        <w:t> </w:t>
      </w:r>
      <w:r w:rsidRPr="00900CEC">
        <w:rPr>
          <w:iCs/>
          <w:szCs w:val="22"/>
          <w:lang w:val="lt-LT"/>
        </w:rPr>
        <w:t>metų ir vyresni tiriamieji, siekiant nustatyti, ar jie skirtingai reaguoja nei jaunesni asmenys.</w:t>
      </w:r>
    </w:p>
    <w:p w14:paraId="43B43870" w14:textId="77777777" w:rsidR="00F51FBD" w:rsidRPr="00900CEC" w:rsidRDefault="00F51FBD" w:rsidP="00F51FBD">
      <w:pPr>
        <w:spacing w:line="240" w:lineRule="auto"/>
        <w:rPr>
          <w:iCs/>
          <w:szCs w:val="22"/>
          <w:lang w:val="lt-LT"/>
        </w:rPr>
      </w:pPr>
    </w:p>
    <w:p w14:paraId="73E6090F" w14:textId="4F9757EB" w:rsidR="00F51FBD" w:rsidRPr="00900CEC" w:rsidRDefault="00F51FBD" w:rsidP="00F51FBD">
      <w:pPr>
        <w:spacing w:line="240" w:lineRule="auto"/>
        <w:rPr>
          <w:iCs/>
          <w:szCs w:val="22"/>
          <w:lang w:val="lt-LT"/>
        </w:rPr>
      </w:pPr>
      <w:r w:rsidRPr="00900CEC">
        <w:rPr>
          <w:iCs/>
          <w:szCs w:val="22"/>
          <w:lang w:val="lt-LT"/>
        </w:rPr>
        <w:t>III</w:t>
      </w:r>
      <w:r w:rsidR="00A9213F">
        <w:rPr>
          <w:iCs/>
          <w:szCs w:val="22"/>
          <w:lang w:val="lt-LT"/>
        </w:rPr>
        <w:t> </w:t>
      </w:r>
      <w:r w:rsidRPr="00900CEC">
        <w:rPr>
          <w:iCs/>
          <w:szCs w:val="22"/>
          <w:lang w:val="lt-LT"/>
        </w:rPr>
        <w:t>fazės veiksmingumo tyrimo, kuriame dalyvavo 276</w:t>
      </w:r>
      <w:r w:rsidR="00A9213F">
        <w:rPr>
          <w:iCs/>
          <w:szCs w:val="22"/>
          <w:lang w:val="lt-LT"/>
        </w:rPr>
        <w:t> </w:t>
      </w:r>
      <w:r w:rsidRPr="00900CEC">
        <w:rPr>
          <w:iCs/>
          <w:szCs w:val="22"/>
          <w:lang w:val="lt-LT"/>
        </w:rPr>
        <w:t xml:space="preserve">pacientai, kuriems po </w:t>
      </w:r>
      <w:proofErr w:type="spellStart"/>
      <w:r w:rsidRPr="00900CEC">
        <w:rPr>
          <w:iCs/>
          <w:szCs w:val="22"/>
          <w:lang w:val="lt-LT"/>
        </w:rPr>
        <w:t>bunionektomijos</w:t>
      </w:r>
      <w:proofErr w:type="spellEnd"/>
      <w:r w:rsidRPr="00900CEC">
        <w:rPr>
          <w:iCs/>
          <w:szCs w:val="22"/>
          <w:lang w:val="lt-LT"/>
        </w:rPr>
        <w:t xml:space="preserve"> operacijos buvo lengvas ar vidutinio stiprumo skausmas, metu </w:t>
      </w:r>
      <w:proofErr w:type="spellStart"/>
      <w:r w:rsidR="006A24B2">
        <w:rPr>
          <w:iCs/>
          <w:szCs w:val="22"/>
          <w:lang w:val="lt-LT"/>
        </w:rPr>
        <w:t>Paracetamol</w:t>
      </w:r>
      <w:proofErr w:type="spellEnd"/>
      <w:r w:rsidR="006A24B2">
        <w:rPr>
          <w:iCs/>
          <w:szCs w:val="22"/>
          <w:lang w:val="lt-LT"/>
        </w:rPr>
        <w:t>/</w:t>
      </w:r>
      <w:proofErr w:type="spellStart"/>
      <w:r w:rsidR="006A24B2">
        <w:rPr>
          <w:iCs/>
          <w:szCs w:val="22"/>
          <w:lang w:val="lt-LT"/>
        </w:rPr>
        <w:t>Ibuprofen</w:t>
      </w:r>
      <w:proofErr w:type="spellEnd"/>
      <w:r w:rsidR="006A24B2">
        <w:rPr>
          <w:iCs/>
          <w:szCs w:val="22"/>
          <w:lang w:val="lt-LT"/>
        </w:rPr>
        <w:t xml:space="preserve"> AFT </w:t>
      </w:r>
      <w:proofErr w:type="spellStart"/>
      <w:r w:rsidR="006A24B2">
        <w:rPr>
          <w:iCs/>
          <w:szCs w:val="22"/>
          <w:lang w:val="lt-LT"/>
        </w:rPr>
        <w:t>Pharmaceuticals</w:t>
      </w:r>
      <w:proofErr w:type="spellEnd"/>
      <w:r>
        <w:rPr>
          <w:iCs/>
          <w:szCs w:val="22"/>
          <w:lang w:val="lt-LT"/>
        </w:rPr>
        <w:t xml:space="preserve"> </w:t>
      </w:r>
      <w:r w:rsidRPr="00900CEC">
        <w:rPr>
          <w:iCs/>
          <w:szCs w:val="22"/>
          <w:lang w:val="lt-LT"/>
        </w:rPr>
        <w:t>skausmo malšinamasis poveikis buvo stipresnis, palyginti su placebu ar lyginamųjų vien tik paracetamolio ar ibuprofeno dozių.</w:t>
      </w:r>
    </w:p>
    <w:p w14:paraId="5AF685A0" w14:textId="77777777" w:rsidR="00F51FBD" w:rsidRPr="00900CEC" w:rsidRDefault="00F51FBD" w:rsidP="00F51FBD">
      <w:pPr>
        <w:spacing w:line="240" w:lineRule="auto"/>
        <w:rPr>
          <w:iCs/>
          <w:szCs w:val="22"/>
          <w:lang w:val="lt-LT"/>
        </w:rPr>
      </w:pPr>
    </w:p>
    <w:p w14:paraId="3E712AA9" w14:textId="2808CF32" w:rsidR="00F51FBD" w:rsidRPr="00900CEC" w:rsidRDefault="00F51FBD" w:rsidP="00F51FBD">
      <w:pPr>
        <w:spacing w:line="240" w:lineRule="auto"/>
        <w:rPr>
          <w:iCs/>
          <w:szCs w:val="22"/>
          <w:lang w:val="lt-LT"/>
        </w:rPr>
      </w:pPr>
      <w:r w:rsidRPr="00900CEC">
        <w:rPr>
          <w:iCs/>
          <w:szCs w:val="22"/>
          <w:lang w:val="lt-LT"/>
        </w:rPr>
        <w:t>Pagal laiką koreguojamo suminio skausmo intensyvumo skirtumo (SSIS) (0–48</w:t>
      </w:r>
      <w:r w:rsidR="00A9213F">
        <w:rPr>
          <w:iCs/>
          <w:szCs w:val="22"/>
          <w:lang w:val="lt-LT"/>
        </w:rPr>
        <w:t> </w:t>
      </w:r>
      <w:r w:rsidRPr="00900CEC">
        <w:rPr>
          <w:iCs/>
          <w:szCs w:val="22"/>
          <w:lang w:val="lt-LT"/>
        </w:rPr>
        <w:t xml:space="preserve">val.) analizė parodė, kad </w:t>
      </w:r>
      <w:proofErr w:type="spellStart"/>
      <w:r w:rsidR="006A24B2">
        <w:rPr>
          <w:iCs/>
          <w:szCs w:val="22"/>
          <w:lang w:val="lt-LT"/>
        </w:rPr>
        <w:t>Paracetamol</w:t>
      </w:r>
      <w:proofErr w:type="spellEnd"/>
      <w:r w:rsidR="006A24B2">
        <w:rPr>
          <w:iCs/>
          <w:szCs w:val="22"/>
          <w:lang w:val="lt-LT"/>
        </w:rPr>
        <w:t>/</w:t>
      </w:r>
      <w:proofErr w:type="spellStart"/>
      <w:r w:rsidR="006A24B2">
        <w:rPr>
          <w:iCs/>
          <w:szCs w:val="22"/>
          <w:lang w:val="lt-LT"/>
        </w:rPr>
        <w:t>Ibuprofen</w:t>
      </w:r>
      <w:proofErr w:type="spellEnd"/>
      <w:r w:rsidR="006A24B2">
        <w:rPr>
          <w:iCs/>
          <w:szCs w:val="22"/>
          <w:lang w:val="lt-LT"/>
        </w:rPr>
        <w:t xml:space="preserve"> AFT </w:t>
      </w:r>
      <w:proofErr w:type="spellStart"/>
      <w:r w:rsidR="006A24B2">
        <w:rPr>
          <w:iCs/>
          <w:szCs w:val="22"/>
          <w:lang w:val="lt-LT"/>
        </w:rPr>
        <w:t>Pharmaceuticals</w:t>
      </w:r>
      <w:proofErr w:type="spellEnd"/>
      <w:r>
        <w:rPr>
          <w:iCs/>
          <w:szCs w:val="22"/>
          <w:lang w:val="lt-LT"/>
        </w:rPr>
        <w:t xml:space="preserve"> </w:t>
      </w:r>
      <w:r w:rsidRPr="00900CEC">
        <w:rPr>
          <w:iCs/>
          <w:szCs w:val="22"/>
          <w:lang w:val="lt-LT"/>
        </w:rPr>
        <w:t>(vidurkis</w:t>
      </w:r>
      <w:r w:rsidR="000552C5">
        <w:rPr>
          <w:iCs/>
          <w:szCs w:val="22"/>
          <w:lang w:val="lt-LT"/>
        </w:rPr>
        <w:t> </w:t>
      </w:r>
      <w:r w:rsidRPr="00900CEC">
        <w:rPr>
          <w:iCs/>
          <w:szCs w:val="22"/>
          <w:lang w:val="lt-LT"/>
        </w:rPr>
        <w:t>=</w:t>
      </w:r>
      <w:r w:rsidR="000552C5">
        <w:rPr>
          <w:iCs/>
          <w:szCs w:val="22"/>
          <w:lang w:val="lt-LT"/>
        </w:rPr>
        <w:t> </w:t>
      </w:r>
      <w:r w:rsidRPr="00900CEC">
        <w:rPr>
          <w:iCs/>
          <w:szCs w:val="22"/>
          <w:lang w:val="lt-LT"/>
        </w:rPr>
        <w:t xml:space="preserve">23,41, </w:t>
      </w:r>
      <w:r>
        <w:rPr>
          <w:iCs/>
          <w:szCs w:val="22"/>
          <w:lang w:val="lt-LT"/>
        </w:rPr>
        <w:t>SP</w:t>
      </w:r>
      <w:r w:rsidR="000552C5">
        <w:rPr>
          <w:iCs/>
          <w:szCs w:val="22"/>
          <w:lang w:val="lt-LT"/>
        </w:rPr>
        <w:t> </w:t>
      </w:r>
      <w:r w:rsidRPr="00900CEC">
        <w:rPr>
          <w:iCs/>
          <w:szCs w:val="22"/>
          <w:lang w:val="lt-LT"/>
        </w:rPr>
        <w:t>=</w:t>
      </w:r>
      <w:r w:rsidR="000552C5">
        <w:rPr>
          <w:iCs/>
          <w:szCs w:val="22"/>
          <w:lang w:val="lt-LT"/>
        </w:rPr>
        <w:t> </w:t>
      </w:r>
      <w:r w:rsidRPr="00900CEC">
        <w:rPr>
          <w:iCs/>
          <w:szCs w:val="22"/>
          <w:lang w:val="lt-LT"/>
        </w:rPr>
        <w:t>2,50) užtikrino efektyvesnį skausmo malšinimą nei placebas (vidurkis</w:t>
      </w:r>
      <w:r w:rsidR="000552C5">
        <w:rPr>
          <w:iCs/>
          <w:szCs w:val="22"/>
          <w:lang w:val="lt-LT"/>
        </w:rPr>
        <w:t> </w:t>
      </w:r>
      <w:r w:rsidRPr="00900CEC">
        <w:rPr>
          <w:iCs/>
          <w:szCs w:val="22"/>
          <w:lang w:val="lt-LT"/>
        </w:rPr>
        <w:t>=</w:t>
      </w:r>
      <w:r w:rsidR="000552C5">
        <w:rPr>
          <w:iCs/>
          <w:szCs w:val="22"/>
          <w:lang w:val="lt-LT"/>
        </w:rPr>
        <w:t> </w:t>
      </w:r>
      <w:r w:rsidRPr="00900CEC">
        <w:rPr>
          <w:iCs/>
          <w:szCs w:val="22"/>
          <w:lang w:val="lt-LT"/>
        </w:rPr>
        <w:t>-1,30, SE</w:t>
      </w:r>
      <w:r w:rsidR="000552C5">
        <w:rPr>
          <w:iCs/>
          <w:szCs w:val="22"/>
          <w:lang w:val="lt-LT"/>
        </w:rPr>
        <w:t> </w:t>
      </w:r>
      <w:r w:rsidRPr="00900CEC">
        <w:rPr>
          <w:iCs/>
          <w:szCs w:val="22"/>
          <w:lang w:val="lt-LT"/>
        </w:rPr>
        <w:t>=</w:t>
      </w:r>
      <w:r w:rsidR="000552C5">
        <w:rPr>
          <w:iCs/>
          <w:szCs w:val="22"/>
          <w:lang w:val="lt-LT"/>
        </w:rPr>
        <w:t> </w:t>
      </w:r>
      <w:r w:rsidRPr="00900CEC">
        <w:rPr>
          <w:iCs/>
          <w:szCs w:val="22"/>
          <w:lang w:val="lt-LT"/>
        </w:rPr>
        <w:t xml:space="preserve">3,07), </w:t>
      </w:r>
      <w:proofErr w:type="spellStart"/>
      <w:r w:rsidRPr="00900CEC">
        <w:rPr>
          <w:iCs/>
          <w:szCs w:val="22"/>
          <w:lang w:val="lt-LT"/>
        </w:rPr>
        <w:t>paracetamolis</w:t>
      </w:r>
      <w:proofErr w:type="spellEnd"/>
      <w:r w:rsidRPr="00900CEC">
        <w:rPr>
          <w:iCs/>
          <w:szCs w:val="22"/>
          <w:lang w:val="lt-LT"/>
        </w:rPr>
        <w:t xml:space="preserve"> (vidurkis</w:t>
      </w:r>
      <w:r w:rsidR="000552C5">
        <w:rPr>
          <w:iCs/>
          <w:szCs w:val="22"/>
          <w:lang w:val="lt-LT"/>
        </w:rPr>
        <w:t> </w:t>
      </w:r>
      <w:r w:rsidRPr="00900CEC">
        <w:rPr>
          <w:iCs/>
          <w:szCs w:val="22"/>
          <w:lang w:val="lt-LT"/>
        </w:rPr>
        <w:t>=</w:t>
      </w:r>
      <w:r w:rsidR="000552C5">
        <w:rPr>
          <w:iCs/>
          <w:szCs w:val="22"/>
          <w:lang w:val="lt-LT"/>
        </w:rPr>
        <w:t> </w:t>
      </w:r>
      <w:r w:rsidRPr="00900CEC">
        <w:rPr>
          <w:iCs/>
          <w:szCs w:val="22"/>
          <w:lang w:val="lt-LT"/>
        </w:rPr>
        <w:t xml:space="preserve">10,42, </w:t>
      </w:r>
      <w:r>
        <w:rPr>
          <w:iCs/>
          <w:szCs w:val="22"/>
          <w:lang w:val="lt-LT"/>
        </w:rPr>
        <w:t>SP</w:t>
      </w:r>
      <w:r w:rsidR="000552C5">
        <w:rPr>
          <w:iCs/>
          <w:szCs w:val="22"/>
          <w:lang w:val="lt-LT"/>
        </w:rPr>
        <w:t> </w:t>
      </w:r>
      <w:r w:rsidRPr="00900CEC">
        <w:rPr>
          <w:iCs/>
          <w:szCs w:val="22"/>
          <w:lang w:val="lt-LT"/>
        </w:rPr>
        <w:t>=</w:t>
      </w:r>
      <w:r w:rsidR="000552C5">
        <w:rPr>
          <w:iCs/>
          <w:szCs w:val="22"/>
          <w:lang w:val="lt-LT"/>
        </w:rPr>
        <w:t> </w:t>
      </w:r>
      <w:r w:rsidRPr="00900CEC">
        <w:rPr>
          <w:iCs/>
          <w:szCs w:val="22"/>
          <w:lang w:val="lt-LT"/>
        </w:rPr>
        <w:t>2,50) arba ibuprofenas (vidurkis</w:t>
      </w:r>
      <w:r w:rsidR="000552C5">
        <w:rPr>
          <w:iCs/>
          <w:szCs w:val="22"/>
          <w:lang w:val="lt-LT"/>
        </w:rPr>
        <w:t> </w:t>
      </w:r>
      <w:r w:rsidRPr="00900CEC">
        <w:rPr>
          <w:iCs/>
          <w:szCs w:val="22"/>
          <w:lang w:val="lt-LT"/>
        </w:rPr>
        <w:t>=</w:t>
      </w:r>
      <w:r w:rsidR="000552C5">
        <w:rPr>
          <w:iCs/>
          <w:szCs w:val="22"/>
          <w:lang w:val="lt-LT"/>
        </w:rPr>
        <w:t> </w:t>
      </w:r>
      <w:r w:rsidRPr="00900CEC">
        <w:rPr>
          <w:iCs/>
          <w:szCs w:val="22"/>
          <w:lang w:val="lt-LT"/>
        </w:rPr>
        <w:t xml:space="preserve">9,51, </w:t>
      </w:r>
      <w:r>
        <w:rPr>
          <w:iCs/>
          <w:szCs w:val="22"/>
          <w:lang w:val="lt-LT"/>
        </w:rPr>
        <w:t>SP</w:t>
      </w:r>
      <w:r w:rsidR="000552C5">
        <w:rPr>
          <w:iCs/>
          <w:szCs w:val="22"/>
          <w:lang w:val="lt-LT"/>
        </w:rPr>
        <w:t> </w:t>
      </w:r>
      <w:r w:rsidRPr="00900CEC">
        <w:rPr>
          <w:iCs/>
          <w:szCs w:val="22"/>
          <w:lang w:val="lt-LT"/>
        </w:rPr>
        <w:t>=</w:t>
      </w:r>
      <w:r w:rsidR="000552C5">
        <w:rPr>
          <w:iCs/>
          <w:szCs w:val="22"/>
          <w:lang w:val="lt-LT"/>
        </w:rPr>
        <w:t> </w:t>
      </w:r>
      <w:r w:rsidRPr="00900CEC">
        <w:rPr>
          <w:iCs/>
          <w:szCs w:val="22"/>
          <w:lang w:val="lt-LT"/>
        </w:rPr>
        <w:t>2,49), esant aukštam statistinio reikšmingumo lygiui (p &lt; 0,001).</w:t>
      </w:r>
    </w:p>
    <w:p w14:paraId="167E5F94" w14:textId="77777777" w:rsidR="00F51FBD" w:rsidRPr="00900CEC" w:rsidRDefault="00F51FBD" w:rsidP="00F51FBD">
      <w:pPr>
        <w:spacing w:line="240" w:lineRule="auto"/>
        <w:rPr>
          <w:i/>
          <w:szCs w:val="22"/>
          <w:lang w:val="lt-LT"/>
        </w:rPr>
      </w:pPr>
    </w:p>
    <w:p w14:paraId="09255D80" w14:textId="5333A597" w:rsidR="00F51FBD" w:rsidRPr="00900CEC" w:rsidRDefault="00F51FBD" w:rsidP="00F51FBD">
      <w:pPr>
        <w:spacing w:line="240" w:lineRule="auto"/>
        <w:rPr>
          <w:b/>
          <w:szCs w:val="22"/>
          <w:lang w:val="lt-LT"/>
        </w:rPr>
      </w:pPr>
      <w:r>
        <w:rPr>
          <w:b/>
          <w:szCs w:val="22"/>
          <w:lang w:val="lt-LT"/>
        </w:rPr>
        <w:t>1</w:t>
      </w:r>
      <w:r w:rsidR="000552C5">
        <w:rPr>
          <w:b/>
          <w:szCs w:val="22"/>
          <w:lang w:val="lt-LT"/>
        </w:rPr>
        <w:t> </w:t>
      </w:r>
      <w:r w:rsidRPr="00900CEC">
        <w:rPr>
          <w:b/>
          <w:szCs w:val="22"/>
          <w:lang w:val="lt-LT"/>
        </w:rPr>
        <w:t>lentelė. Pagal laiką koreguojamo SSIS (0-48</w:t>
      </w:r>
      <w:r w:rsidR="000552C5">
        <w:rPr>
          <w:b/>
          <w:szCs w:val="22"/>
          <w:lang w:val="lt-LT"/>
        </w:rPr>
        <w:t> </w:t>
      </w:r>
      <w:r w:rsidRPr="00900CEC">
        <w:rPr>
          <w:b/>
          <w:szCs w:val="22"/>
          <w:lang w:val="lt-LT"/>
        </w:rPr>
        <w:t>val.) duomenų santrauka pagal gydymo grupes.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960"/>
        <w:gridCol w:w="2891"/>
        <w:gridCol w:w="1523"/>
        <w:gridCol w:w="1276"/>
        <w:gridCol w:w="1559"/>
      </w:tblGrid>
      <w:tr w:rsidR="00F51FBD" w:rsidRPr="00900CEC" w14:paraId="4E6E9885" w14:textId="77777777" w:rsidTr="00F12D19">
        <w:trPr>
          <w:trHeight w:val="278"/>
          <w:tblHeader/>
        </w:trPr>
        <w:tc>
          <w:tcPr>
            <w:tcW w:w="1960" w:type="dxa"/>
            <w:vMerge w:val="restart"/>
            <w:shd w:val="clear" w:color="auto" w:fill="EEEEEE"/>
            <w:hideMark/>
          </w:tcPr>
          <w:p w14:paraId="7980BBD5" w14:textId="77777777" w:rsidR="00F51FBD" w:rsidRPr="00900CEC" w:rsidRDefault="00F51FBD" w:rsidP="00163471">
            <w:pPr>
              <w:spacing w:line="240" w:lineRule="auto"/>
              <w:rPr>
                <w:b/>
                <w:szCs w:val="22"/>
                <w:lang w:val="lt-LT"/>
              </w:rPr>
            </w:pPr>
          </w:p>
        </w:tc>
        <w:tc>
          <w:tcPr>
            <w:tcW w:w="2891" w:type="dxa"/>
            <w:shd w:val="clear" w:color="auto" w:fill="EEEEEE"/>
            <w:hideMark/>
          </w:tcPr>
          <w:p w14:paraId="45673FFA" w14:textId="177D62F1" w:rsidR="00F51FBD" w:rsidRPr="00900CEC" w:rsidRDefault="006F5942" w:rsidP="006F5942">
            <w:pPr>
              <w:spacing w:line="240" w:lineRule="auto"/>
              <w:jc w:val="center"/>
              <w:rPr>
                <w:b/>
                <w:szCs w:val="22"/>
                <w:lang w:val="lt-LT"/>
              </w:rPr>
            </w:pPr>
            <w:r w:rsidRPr="006F5942">
              <w:rPr>
                <w:b/>
                <w:szCs w:val="22"/>
                <w:lang w:val="en-IE"/>
              </w:rPr>
              <w:t>Paracetamol/Ibuprofen AFT Pharmaceuticals</w:t>
            </w:r>
          </w:p>
        </w:tc>
        <w:tc>
          <w:tcPr>
            <w:tcW w:w="1523" w:type="dxa"/>
            <w:shd w:val="clear" w:color="auto" w:fill="EEEEEE"/>
            <w:hideMark/>
          </w:tcPr>
          <w:p w14:paraId="250E2EB7" w14:textId="77777777" w:rsidR="00F51FBD" w:rsidRPr="00900CEC" w:rsidRDefault="00F51FBD" w:rsidP="00163471">
            <w:pPr>
              <w:spacing w:line="240" w:lineRule="auto"/>
              <w:jc w:val="center"/>
              <w:rPr>
                <w:b/>
                <w:szCs w:val="22"/>
                <w:lang w:val="lt-LT"/>
              </w:rPr>
            </w:pPr>
            <w:r w:rsidRPr="00900CEC">
              <w:rPr>
                <w:b/>
                <w:szCs w:val="22"/>
                <w:lang w:val="lt-LT"/>
              </w:rPr>
              <w:t>Ibuprofenas</w:t>
            </w:r>
          </w:p>
        </w:tc>
        <w:tc>
          <w:tcPr>
            <w:tcW w:w="1276" w:type="dxa"/>
            <w:shd w:val="clear" w:color="auto" w:fill="EEEEEE"/>
            <w:hideMark/>
          </w:tcPr>
          <w:p w14:paraId="2C22F49A" w14:textId="77777777" w:rsidR="00F51FBD" w:rsidRPr="00900CEC" w:rsidRDefault="00F51FBD" w:rsidP="00163471">
            <w:pPr>
              <w:spacing w:line="240" w:lineRule="auto"/>
              <w:jc w:val="center"/>
              <w:rPr>
                <w:b/>
                <w:szCs w:val="22"/>
                <w:lang w:val="lt-LT"/>
              </w:rPr>
            </w:pPr>
            <w:r w:rsidRPr="00900CEC">
              <w:rPr>
                <w:b/>
                <w:szCs w:val="22"/>
                <w:lang w:val="lt-LT"/>
              </w:rPr>
              <w:t>Paracetamolis</w:t>
            </w:r>
          </w:p>
        </w:tc>
        <w:tc>
          <w:tcPr>
            <w:tcW w:w="1559" w:type="dxa"/>
            <w:shd w:val="clear" w:color="auto" w:fill="EEEEEE"/>
            <w:hideMark/>
          </w:tcPr>
          <w:p w14:paraId="540E94C8" w14:textId="77777777" w:rsidR="00F51FBD" w:rsidRPr="00900CEC" w:rsidRDefault="00F51FBD" w:rsidP="00163471">
            <w:pPr>
              <w:spacing w:line="240" w:lineRule="auto"/>
              <w:jc w:val="center"/>
              <w:rPr>
                <w:b/>
                <w:szCs w:val="22"/>
                <w:lang w:val="lt-LT"/>
              </w:rPr>
            </w:pPr>
            <w:r w:rsidRPr="00900CEC">
              <w:rPr>
                <w:b/>
                <w:szCs w:val="22"/>
                <w:lang w:val="lt-LT"/>
              </w:rPr>
              <w:t>Placebas</w:t>
            </w:r>
          </w:p>
        </w:tc>
      </w:tr>
      <w:tr w:rsidR="00F51FBD" w:rsidRPr="00900CEC" w14:paraId="7C5898B5" w14:textId="77777777" w:rsidTr="00F12D19">
        <w:trPr>
          <w:trHeight w:val="293"/>
          <w:tblHeader/>
        </w:trPr>
        <w:tc>
          <w:tcPr>
            <w:tcW w:w="1960" w:type="dxa"/>
            <w:vMerge/>
            <w:vAlign w:val="center"/>
            <w:hideMark/>
          </w:tcPr>
          <w:p w14:paraId="03DDF452" w14:textId="77777777" w:rsidR="00F51FBD" w:rsidRPr="00900CEC" w:rsidRDefault="00F51FBD" w:rsidP="00163471">
            <w:pPr>
              <w:spacing w:line="240" w:lineRule="auto"/>
              <w:rPr>
                <w:szCs w:val="22"/>
                <w:lang w:val="lt-LT"/>
              </w:rPr>
            </w:pPr>
          </w:p>
        </w:tc>
        <w:tc>
          <w:tcPr>
            <w:tcW w:w="2891" w:type="dxa"/>
            <w:shd w:val="clear" w:color="auto" w:fill="EEEEEE"/>
            <w:hideMark/>
          </w:tcPr>
          <w:p w14:paraId="74F2A4A2" w14:textId="77777777" w:rsidR="00F51FBD" w:rsidRPr="00900CEC" w:rsidRDefault="00F51FBD" w:rsidP="00163471">
            <w:pPr>
              <w:spacing w:line="240" w:lineRule="auto"/>
              <w:jc w:val="center"/>
              <w:rPr>
                <w:b/>
                <w:szCs w:val="22"/>
                <w:lang w:val="lt-LT"/>
              </w:rPr>
            </w:pPr>
            <w:r w:rsidRPr="00900CEC">
              <w:rPr>
                <w:b/>
                <w:szCs w:val="22"/>
                <w:lang w:val="lt-LT"/>
              </w:rPr>
              <w:t>N = 75</w:t>
            </w:r>
          </w:p>
        </w:tc>
        <w:tc>
          <w:tcPr>
            <w:tcW w:w="1523" w:type="dxa"/>
            <w:shd w:val="clear" w:color="auto" w:fill="EEEEEE"/>
            <w:hideMark/>
          </w:tcPr>
          <w:p w14:paraId="1BA2D98F" w14:textId="77777777" w:rsidR="00F51FBD" w:rsidRPr="00900CEC" w:rsidRDefault="00F51FBD" w:rsidP="00163471">
            <w:pPr>
              <w:spacing w:line="240" w:lineRule="auto"/>
              <w:jc w:val="center"/>
              <w:rPr>
                <w:b/>
                <w:szCs w:val="22"/>
                <w:lang w:val="lt-LT"/>
              </w:rPr>
            </w:pPr>
            <w:r w:rsidRPr="00900CEC">
              <w:rPr>
                <w:b/>
                <w:szCs w:val="22"/>
                <w:lang w:val="lt-LT"/>
              </w:rPr>
              <w:t>N = 76</w:t>
            </w:r>
          </w:p>
        </w:tc>
        <w:tc>
          <w:tcPr>
            <w:tcW w:w="1276" w:type="dxa"/>
            <w:shd w:val="clear" w:color="auto" w:fill="EEEEEE"/>
            <w:hideMark/>
          </w:tcPr>
          <w:p w14:paraId="5180FC6B" w14:textId="77777777" w:rsidR="00F51FBD" w:rsidRPr="00900CEC" w:rsidRDefault="00F51FBD" w:rsidP="00163471">
            <w:pPr>
              <w:spacing w:line="240" w:lineRule="auto"/>
              <w:jc w:val="center"/>
              <w:rPr>
                <w:b/>
                <w:szCs w:val="22"/>
                <w:lang w:val="lt-LT"/>
              </w:rPr>
            </w:pPr>
            <w:r w:rsidRPr="00900CEC">
              <w:rPr>
                <w:b/>
                <w:szCs w:val="22"/>
                <w:lang w:val="lt-LT"/>
              </w:rPr>
              <w:t>N = 75</w:t>
            </w:r>
          </w:p>
        </w:tc>
        <w:tc>
          <w:tcPr>
            <w:tcW w:w="1559" w:type="dxa"/>
            <w:shd w:val="clear" w:color="auto" w:fill="EEEEEE"/>
            <w:hideMark/>
          </w:tcPr>
          <w:p w14:paraId="5C607AEC" w14:textId="77777777" w:rsidR="00F51FBD" w:rsidRPr="00900CEC" w:rsidRDefault="00F51FBD" w:rsidP="00163471">
            <w:pPr>
              <w:spacing w:line="240" w:lineRule="auto"/>
              <w:jc w:val="center"/>
              <w:rPr>
                <w:b/>
                <w:szCs w:val="22"/>
                <w:lang w:val="lt-LT"/>
              </w:rPr>
            </w:pPr>
            <w:r w:rsidRPr="00900CEC">
              <w:rPr>
                <w:b/>
                <w:szCs w:val="22"/>
                <w:lang w:val="lt-LT"/>
              </w:rPr>
              <w:t>N = 50</w:t>
            </w:r>
          </w:p>
        </w:tc>
      </w:tr>
      <w:tr w:rsidR="00F51FBD" w:rsidRPr="00900CEC" w14:paraId="7F4AD700" w14:textId="77777777" w:rsidTr="00F12D19">
        <w:trPr>
          <w:trHeight w:val="278"/>
        </w:trPr>
        <w:tc>
          <w:tcPr>
            <w:tcW w:w="1960" w:type="dxa"/>
            <w:hideMark/>
          </w:tcPr>
          <w:p w14:paraId="6DE743F3" w14:textId="77777777" w:rsidR="00F51FBD" w:rsidRPr="00900CEC" w:rsidRDefault="00F51FBD" w:rsidP="00163471">
            <w:pPr>
              <w:spacing w:line="240" w:lineRule="auto"/>
              <w:rPr>
                <w:szCs w:val="22"/>
                <w:lang w:val="lt-LT"/>
              </w:rPr>
            </w:pPr>
            <w:r w:rsidRPr="00900CEC">
              <w:rPr>
                <w:szCs w:val="22"/>
                <w:lang w:val="lt-LT"/>
              </w:rPr>
              <w:t>N</w:t>
            </w:r>
          </w:p>
        </w:tc>
        <w:tc>
          <w:tcPr>
            <w:tcW w:w="2891" w:type="dxa"/>
            <w:hideMark/>
          </w:tcPr>
          <w:p w14:paraId="5C26A634" w14:textId="77777777" w:rsidR="00F51FBD" w:rsidRPr="00900CEC" w:rsidRDefault="00F51FBD" w:rsidP="00163471">
            <w:pPr>
              <w:spacing w:line="240" w:lineRule="auto"/>
              <w:jc w:val="center"/>
              <w:rPr>
                <w:szCs w:val="22"/>
                <w:lang w:val="lt-LT"/>
              </w:rPr>
            </w:pPr>
            <w:r w:rsidRPr="00900CEC">
              <w:rPr>
                <w:szCs w:val="22"/>
                <w:lang w:val="lt-LT"/>
              </w:rPr>
              <w:t>75</w:t>
            </w:r>
          </w:p>
        </w:tc>
        <w:tc>
          <w:tcPr>
            <w:tcW w:w="1523" w:type="dxa"/>
            <w:hideMark/>
          </w:tcPr>
          <w:p w14:paraId="51C30C81" w14:textId="77777777" w:rsidR="00F51FBD" w:rsidRPr="00900CEC" w:rsidRDefault="00F51FBD" w:rsidP="00163471">
            <w:pPr>
              <w:spacing w:line="240" w:lineRule="auto"/>
              <w:jc w:val="center"/>
              <w:rPr>
                <w:szCs w:val="22"/>
                <w:lang w:val="lt-LT"/>
              </w:rPr>
            </w:pPr>
            <w:r w:rsidRPr="00900CEC">
              <w:rPr>
                <w:szCs w:val="22"/>
                <w:lang w:val="lt-LT"/>
              </w:rPr>
              <w:t>76</w:t>
            </w:r>
          </w:p>
        </w:tc>
        <w:tc>
          <w:tcPr>
            <w:tcW w:w="1276" w:type="dxa"/>
            <w:hideMark/>
          </w:tcPr>
          <w:p w14:paraId="42C3951E" w14:textId="77777777" w:rsidR="00F51FBD" w:rsidRPr="00900CEC" w:rsidRDefault="00F51FBD" w:rsidP="00163471">
            <w:pPr>
              <w:spacing w:line="240" w:lineRule="auto"/>
              <w:jc w:val="center"/>
              <w:rPr>
                <w:szCs w:val="22"/>
                <w:lang w:val="lt-LT"/>
              </w:rPr>
            </w:pPr>
            <w:r w:rsidRPr="00900CEC">
              <w:rPr>
                <w:szCs w:val="22"/>
                <w:lang w:val="lt-LT"/>
              </w:rPr>
              <w:t>75</w:t>
            </w:r>
          </w:p>
        </w:tc>
        <w:tc>
          <w:tcPr>
            <w:tcW w:w="1559" w:type="dxa"/>
            <w:hideMark/>
          </w:tcPr>
          <w:p w14:paraId="643C7B16" w14:textId="77777777" w:rsidR="00F51FBD" w:rsidRPr="00900CEC" w:rsidRDefault="00F51FBD" w:rsidP="00163471">
            <w:pPr>
              <w:spacing w:line="240" w:lineRule="auto"/>
              <w:jc w:val="center"/>
              <w:rPr>
                <w:szCs w:val="22"/>
                <w:lang w:val="lt-LT"/>
              </w:rPr>
            </w:pPr>
            <w:r w:rsidRPr="00900CEC">
              <w:rPr>
                <w:szCs w:val="22"/>
                <w:lang w:val="lt-LT"/>
              </w:rPr>
              <w:t>50</w:t>
            </w:r>
          </w:p>
        </w:tc>
      </w:tr>
      <w:tr w:rsidR="00F51FBD" w:rsidRPr="00900CEC" w14:paraId="1F4536FE" w14:textId="77777777" w:rsidTr="00F12D19">
        <w:trPr>
          <w:trHeight w:val="278"/>
        </w:trPr>
        <w:tc>
          <w:tcPr>
            <w:tcW w:w="1960" w:type="dxa"/>
            <w:hideMark/>
          </w:tcPr>
          <w:p w14:paraId="75271D4C" w14:textId="77777777" w:rsidR="00F51FBD" w:rsidRPr="00900CEC" w:rsidRDefault="00F51FBD" w:rsidP="00163471">
            <w:pPr>
              <w:spacing w:line="240" w:lineRule="auto"/>
              <w:rPr>
                <w:szCs w:val="22"/>
                <w:lang w:val="lt-LT"/>
              </w:rPr>
            </w:pPr>
            <w:r w:rsidRPr="00900CEC">
              <w:rPr>
                <w:szCs w:val="22"/>
                <w:lang w:val="lt-LT"/>
              </w:rPr>
              <w:t>Vidurkis (</w:t>
            </w:r>
            <w:r>
              <w:rPr>
                <w:szCs w:val="22"/>
                <w:lang w:val="lt-LT"/>
              </w:rPr>
              <w:t>SP</w:t>
            </w:r>
            <w:r w:rsidRPr="00900CEC">
              <w:rPr>
                <w:szCs w:val="22"/>
                <w:lang w:val="lt-LT"/>
              </w:rPr>
              <w:t>)</w:t>
            </w:r>
          </w:p>
        </w:tc>
        <w:tc>
          <w:tcPr>
            <w:tcW w:w="2891" w:type="dxa"/>
            <w:hideMark/>
          </w:tcPr>
          <w:p w14:paraId="789BE803" w14:textId="77777777" w:rsidR="00F51FBD" w:rsidRPr="00900CEC" w:rsidRDefault="00F51FBD" w:rsidP="00163471">
            <w:pPr>
              <w:spacing w:line="240" w:lineRule="auto"/>
              <w:jc w:val="center"/>
              <w:rPr>
                <w:szCs w:val="22"/>
                <w:lang w:val="lt-LT"/>
              </w:rPr>
            </w:pPr>
            <w:r w:rsidRPr="00900CEC">
              <w:rPr>
                <w:szCs w:val="22"/>
                <w:lang w:val="lt-LT"/>
              </w:rPr>
              <w:t>23,41 (2,89)</w:t>
            </w:r>
          </w:p>
        </w:tc>
        <w:tc>
          <w:tcPr>
            <w:tcW w:w="1523" w:type="dxa"/>
            <w:hideMark/>
          </w:tcPr>
          <w:p w14:paraId="1020C197" w14:textId="77777777" w:rsidR="00F51FBD" w:rsidRPr="00900CEC" w:rsidRDefault="00F51FBD" w:rsidP="00163471">
            <w:pPr>
              <w:spacing w:line="240" w:lineRule="auto"/>
              <w:jc w:val="center"/>
              <w:rPr>
                <w:szCs w:val="22"/>
                <w:lang w:val="lt-LT"/>
              </w:rPr>
            </w:pPr>
            <w:r w:rsidRPr="00900CEC">
              <w:rPr>
                <w:szCs w:val="22"/>
                <w:lang w:val="lt-LT"/>
              </w:rPr>
              <w:t>9,51 (2,53)</w:t>
            </w:r>
          </w:p>
        </w:tc>
        <w:tc>
          <w:tcPr>
            <w:tcW w:w="1276" w:type="dxa"/>
            <w:hideMark/>
          </w:tcPr>
          <w:p w14:paraId="53AF7321" w14:textId="77777777" w:rsidR="00F51FBD" w:rsidRPr="00900CEC" w:rsidRDefault="00F51FBD" w:rsidP="00163471">
            <w:pPr>
              <w:spacing w:line="240" w:lineRule="auto"/>
              <w:jc w:val="center"/>
              <w:rPr>
                <w:szCs w:val="22"/>
                <w:lang w:val="lt-LT"/>
              </w:rPr>
            </w:pPr>
            <w:r w:rsidRPr="00900CEC">
              <w:rPr>
                <w:szCs w:val="22"/>
                <w:lang w:val="lt-LT"/>
              </w:rPr>
              <w:t>10,42 (2,49)</w:t>
            </w:r>
          </w:p>
        </w:tc>
        <w:tc>
          <w:tcPr>
            <w:tcW w:w="1559" w:type="dxa"/>
            <w:hideMark/>
          </w:tcPr>
          <w:p w14:paraId="0CE09873" w14:textId="77777777" w:rsidR="00F51FBD" w:rsidRPr="00900CEC" w:rsidRDefault="00F51FBD" w:rsidP="00163471">
            <w:pPr>
              <w:spacing w:line="240" w:lineRule="auto"/>
              <w:jc w:val="center"/>
              <w:rPr>
                <w:szCs w:val="22"/>
                <w:lang w:val="lt-LT"/>
              </w:rPr>
            </w:pPr>
            <w:r w:rsidRPr="00900CEC">
              <w:rPr>
                <w:szCs w:val="22"/>
                <w:lang w:val="lt-LT"/>
              </w:rPr>
              <w:t>-1,30 (2,08)</w:t>
            </w:r>
          </w:p>
        </w:tc>
      </w:tr>
      <w:tr w:rsidR="00F51FBD" w:rsidRPr="00900CEC" w14:paraId="6DD021CF" w14:textId="77777777" w:rsidTr="00F12D19">
        <w:trPr>
          <w:trHeight w:val="278"/>
        </w:trPr>
        <w:tc>
          <w:tcPr>
            <w:tcW w:w="1960" w:type="dxa"/>
            <w:hideMark/>
          </w:tcPr>
          <w:p w14:paraId="3D5B5F21" w14:textId="77777777" w:rsidR="00F51FBD" w:rsidRPr="00900CEC" w:rsidRDefault="00F51FBD" w:rsidP="00163471">
            <w:pPr>
              <w:spacing w:line="240" w:lineRule="auto"/>
              <w:rPr>
                <w:szCs w:val="22"/>
                <w:lang w:val="lt-LT"/>
              </w:rPr>
            </w:pPr>
            <w:r w:rsidRPr="00900CEC">
              <w:rPr>
                <w:szCs w:val="22"/>
                <w:lang w:val="lt-LT"/>
              </w:rPr>
              <w:t>Mediana</w:t>
            </w:r>
          </w:p>
        </w:tc>
        <w:tc>
          <w:tcPr>
            <w:tcW w:w="2891" w:type="dxa"/>
            <w:hideMark/>
          </w:tcPr>
          <w:p w14:paraId="755D38F2" w14:textId="77777777" w:rsidR="00F51FBD" w:rsidRPr="00900CEC" w:rsidRDefault="00F51FBD" w:rsidP="00163471">
            <w:pPr>
              <w:spacing w:line="240" w:lineRule="auto"/>
              <w:jc w:val="center"/>
              <w:rPr>
                <w:szCs w:val="22"/>
                <w:lang w:val="lt-LT"/>
              </w:rPr>
            </w:pPr>
            <w:r w:rsidRPr="00900CEC">
              <w:rPr>
                <w:szCs w:val="22"/>
                <w:lang w:val="lt-LT"/>
              </w:rPr>
              <w:t>23,10</w:t>
            </w:r>
          </w:p>
        </w:tc>
        <w:tc>
          <w:tcPr>
            <w:tcW w:w="1523" w:type="dxa"/>
            <w:hideMark/>
          </w:tcPr>
          <w:p w14:paraId="145E9274" w14:textId="77777777" w:rsidR="00F51FBD" w:rsidRPr="00900CEC" w:rsidRDefault="00F51FBD" w:rsidP="00163471">
            <w:pPr>
              <w:spacing w:line="240" w:lineRule="auto"/>
              <w:jc w:val="center"/>
              <w:rPr>
                <w:szCs w:val="22"/>
                <w:lang w:val="lt-LT"/>
              </w:rPr>
            </w:pPr>
            <w:r w:rsidRPr="00900CEC">
              <w:rPr>
                <w:szCs w:val="22"/>
                <w:lang w:val="lt-LT"/>
              </w:rPr>
              <w:t>5,40</w:t>
            </w:r>
          </w:p>
        </w:tc>
        <w:tc>
          <w:tcPr>
            <w:tcW w:w="1276" w:type="dxa"/>
            <w:hideMark/>
          </w:tcPr>
          <w:p w14:paraId="0B252D68" w14:textId="77777777" w:rsidR="00F51FBD" w:rsidRPr="00900CEC" w:rsidRDefault="00F51FBD" w:rsidP="00163471">
            <w:pPr>
              <w:spacing w:line="240" w:lineRule="auto"/>
              <w:jc w:val="center"/>
              <w:rPr>
                <w:szCs w:val="22"/>
                <w:lang w:val="lt-LT"/>
              </w:rPr>
            </w:pPr>
            <w:r w:rsidRPr="00900CEC">
              <w:rPr>
                <w:szCs w:val="22"/>
                <w:lang w:val="lt-LT"/>
              </w:rPr>
              <w:t>3,45</w:t>
            </w:r>
          </w:p>
        </w:tc>
        <w:tc>
          <w:tcPr>
            <w:tcW w:w="1559" w:type="dxa"/>
            <w:hideMark/>
          </w:tcPr>
          <w:p w14:paraId="2C4BAA47" w14:textId="77777777" w:rsidR="00F51FBD" w:rsidRPr="00900CEC" w:rsidRDefault="00F51FBD" w:rsidP="00163471">
            <w:pPr>
              <w:spacing w:line="240" w:lineRule="auto"/>
              <w:jc w:val="center"/>
              <w:rPr>
                <w:szCs w:val="22"/>
                <w:lang w:val="lt-LT"/>
              </w:rPr>
            </w:pPr>
            <w:r w:rsidRPr="00900CEC">
              <w:rPr>
                <w:szCs w:val="22"/>
                <w:lang w:val="lt-LT"/>
              </w:rPr>
              <w:t>-4,00</w:t>
            </w:r>
          </w:p>
        </w:tc>
      </w:tr>
      <w:tr w:rsidR="00F51FBD" w:rsidRPr="00900CEC" w14:paraId="4250F560" w14:textId="77777777" w:rsidTr="00F12D19">
        <w:trPr>
          <w:trHeight w:val="262"/>
        </w:trPr>
        <w:tc>
          <w:tcPr>
            <w:tcW w:w="1960" w:type="dxa"/>
            <w:hideMark/>
          </w:tcPr>
          <w:p w14:paraId="64ADEEFE" w14:textId="77777777" w:rsidR="00F51FBD" w:rsidRPr="00900CEC" w:rsidRDefault="00F51FBD" w:rsidP="00163471">
            <w:pPr>
              <w:spacing w:line="240" w:lineRule="auto"/>
              <w:rPr>
                <w:szCs w:val="22"/>
                <w:lang w:val="lt-LT"/>
              </w:rPr>
            </w:pPr>
            <w:r w:rsidRPr="00900CEC">
              <w:rPr>
                <w:szCs w:val="22"/>
                <w:lang w:val="lt-LT"/>
              </w:rPr>
              <w:lastRenderedPageBreak/>
              <w:t>Min.; </w:t>
            </w:r>
            <w:proofErr w:type="spellStart"/>
            <w:r w:rsidRPr="00900CEC">
              <w:rPr>
                <w:szCs w:val="22"/>
                <w:lang w:val="lt-LT"/>
              </w:rPr>
              <w:t>Maks</w:t>
            </w:r>
            <w:proofErr w:type="spellEnd"/>
            <w:r w:rsidRPr="00900CEC">
              <w:rPr>
                <w:szCs w:val="22"/>
                <w:lang w:val="lt-LT"/>
              </w:rPr>
              <w:t>.</w:t>
            </w:r>
          </w:p>
        </w:tc>
        <w:tc>
          <w:tcPr>
            <w:tcW w:w="2891" w:type="dxa"/>
            <w:hideMark/>
          </w:tcPr>
          <w:p w14:paraId="7FB67C95" w14:textId="77777777" w:rsidR="00F51FBD" w:rsidRPr="00900CEC" w:rsidRDefault="00F51FBD" w:rsidP="00163471">
            <w:pPr>
              <w:spacing w:line="240" w:lineRule="auto"/>
              <w:jc w:val="center"/>
              <w:rPr>
                <w:szCs w:val="22"/>
                <w:lang w:val="lt-LT"/>
              </w:rPr>
            </w:pPr>
            <w:r w:rsidRPr="00900CEC">
              <w:rPr>
                <w:szCs w:val="22"/>
                <w:lang w:val="lt-LT"/>
              </w:rPr>
              <w:t>-34,08 ; 74,17</w:t>
            </w:r>
          </w:p>
        </w:tc>
        <w:tc>
          <w:tcPr>
            <w:tcW w:w="1523" w:type="dxa"/>
            <w:hideMark/>
          </w:tcPr>
          <w:p w14:paraId="16D65911" w14:textId="77777777" w:rsidR="00F51FBD" w:rsidRPr="00900CEC" w:rsidRDefault="00F51FBD" w:rsidP="00163471">
            <w:pPr>
              <w:spacing w:line="240" w:lineRule="auto"/>
              <w:jc w:val="center"/>
              <w:rPr>
                <w:szCs w:val="22"/>
                <w:lang w:val="lt-LT"/>
              </w:rPr>
            </w:pPr>
            <w:r w:rsidRPr="00900CEC">
              <w:rPr>
                <w:szCs w:val="22"/>
                <w:lang w:val="lt-LT"/>
              </w:rPr>
              <w:t>-30,68 ; 79,98</w:t>
            </w:r>
          </w:p>
        </w:tc>
        <w:tc>
          <w:tcPr>
            <w:tcW w:w="1276" w:type="dxa"/>
            <w:hideMark/>
          </w:tcPr>
          <w:p w14:paraId="38239B3F" w14:textId="77777777" w:rsidR="00F51FBD" w:rsidRPr="00900CEC" w:rsidRDefault="00F51FBD" w:rsidP="00163471">
            <w:pPr>
              <w:spacing w:line="240" w:lineRule="auto"/>
              <w:jc w:val="center"/>
              <w:rPr>
                <w:szCs w:val="22"/>
                <w:lang w:val="lt-LT"/>
              </w:rPr>
            </w:pPr>
            <w:r w:rsidRPr="00900CEC">
              <w:rPr>
                <w:szCs w:val="22"/>
                <w:lang w:val="lt-LT"/>
              </w:rPr>
              <w:t>-26,78 ; 65,43</w:t>
            </w:r>
          </w:p>
        </w:tc>
        <w:tc>
          <w:tcPr>
            <w:tcW w:w="1559" w:type="dxa"/>
            <w:hideMark/>
          </w:tcPr>
          <w:p w14:paraId="490790F5" w14:textId="77777777" w:rsidR="00F51FBD" w:rsidRPr="00900CEC" w:rsidRDefault="00F51FBD" w:rsidP="00163471">
            <w:pPr>
              <w:spacing w:line="240" w:lineRule="auto"/>
              <w:jc w:val="center"/>
              <w:rPr>
                <w:szCs w:val="22"/>
                <w:lang w:val="lt-LT"/>
              </w:rPr>
            </w:pPr>
            <w:r w:rsidRPr="00900CEC">
              <w:rPr>
                <w:szCs w:val="22"/>
                <w:lang w:val="lt-LT"/>
              </w:rPr>
              <w:t>-22,42 ; 47,50</w:t>
            </w:r>
          </w:p>
        </w:tc>
      </w:tr>
      <w:tr w:rsidR="00F51FBD" w:rsidRPr="00900CEC" w14:paraId="08D627AA" w14:textId="77777777" w:rsidTr="00F12D19">
        <w:trPr>
          <w:trHeight w:val="278"/>
        </w:trPr>
        <w:tc>
          <w:tcPr>
            <w:tcW w:w="1960" w:type="dxa"/>
            <w:hideMark/>
          </w:tcPr>
          <w:p w14:paraId="36E22CB5" w14:textId="77777777" w:rsidR="00F51FBD" w:rsidRPr="00900CEC" w:rsidRDefault="00F51FBD" w:rsidP="00163471">
            <w:pPr>
              <w:spacing w:line="240" w:lineRule="auto"/>
              <w:rPr>
                <w:szCs w:val="22"/>
                <w:lang w:val="lt-LT"/>
              </w:rPr>
            </w:pPr>
            <w:r w:rsidRPr="00900CEC">
              <w:rPr>
                <w:szCs w:val="22"/>
                <w:lang w:val="lt-LT"/>
              </w:rPr>
              <w:t>Vidutinis įvertis (</w:t>
            </w:r>
            <w:r>
              <w:rPr>
                <w:szCs w:val="22"/>
                <w:lang w:val="lt-LT"/>
              </w:rPr>
              <w:t>SP</w:t>
            </w:r>
            <w:r w:rsidRPr="00900CEC">
              <w:rPr>
                <w:szCs w:val="22"/>
                <w:lang w:val="lt-LT"/>
              </w:rPr>
              <w:t>)</w:t>
            </w:r>
          </w:p>
        </w:tc>
        <w:tc>
          <w:tcPr>
            <w:tcW w:w="2891" w:type="dxa"/>
            <w:hideMark/>
          </w:tcPr>
          <w:p w14:paraId="1DD9E483" w14:textId="77777777" w:rsidR="00F51FBD" w:rsidRPr="00900CEC" w:rsidRDefault="00F51FBD" w:rsidP="00163471">
            <w:pPr>
              <w:spacing w:line="240" w:lineRule="auto"/>
              <w:jc w:val="center"/>
              <w:rPr>
                <w:szCs w:val="22"/>
                <w:lang w:val="lt-LT"/>
              </w:rPr>
            </w:pPr>
            <w:r w:rsidRPr="00900CEC">
              <w:rPr>
                <w:szCs w:val="22"/>
                <w:lang w:val="lt-LT"/>
              </w:rPr>
              <w:t>23,41 (2,50)</w:t>
            </w:r>
          </w:p>
        </w:tc>
        <w:tc>
          <w:tcPr>
            <w:tcW w:w="1523" w:type="dxa"/>
            <w:hideMark/>
          </w:tcPr>
          <w:p w14:paraId="4B203760" w14:textId="77777777" w:rsidR="00F51FBD" w:rsidRPr="00900CEC" w:rsidRDefault="00F51FBD" w:rsidP="00163471">
            <w:pPr>
              <w:spacing w:line="240" w:lineRule="auto"/>
              <w:jc w:val="center"/>
              <w:rPr>
                <w:szCs w:val="22"/>
                <w:lang w:val="lt-LT"/>
              </w:rPr>
            </w:pPr>
            <w:r w:rsidRPr="00900CEC">
              <w:rPr>
                <w:szCs w:val="22"/>
                <w:lang w:val="lt-LT"/>
              </w:rPr>
              <w:t>9,51 (2,49)</w:t>
            </w:r>
          </w:p>
        </w:tc>
        <w:tc>
          <w:tcPr>
            <w:tcW w:w="1276" w:type="dxa"/>
            <w:hideMark/>
          </w:tcPr>
          <w:p w14:paraId="2DF94A26" w14:textId="77777777" w:rsidR="00F51FBD" w:rsidRPr="00900CEC" w:rsidRDefault="00F51FBD" w:rsidP="00163471">
            <w:pPr>
              <w:spacing w:line="240" w:lineRule="auto"/>
              <w:jc w:val="center"/>
              <w:rPr>
                <w:szCs w:val="22"/>
                <w:lang w:val="lt-LT"/>
              </w:rPr>
            </w:pPr>
            <w:r w:rsidRPr="00900CEC">
              <w:rPr>
                <w:szCs w:val="22"/>
                <w:lang w:val="lt-LT"/>
              </w:rPr>
              <w:t>10,42 (2,50)</w:t>
            </w:r>
          </w:p>
        </w:tc>
        <w:tc>
          <w:tcPr>
            <w:tcW w:w="1559" w:type="dxa"/>
            <w:hideMark/>
          </w:tcPr>
          <w:p w14:paraId="4F9E5956" w14:textId="77777777" w:rsidR="00F51FBD" w:rsidRPr="00900CEC" w:rsidRDefault="00F51FBD" w:rsidP="00163471">
            <w:pPr>
              <w:spacing w:line="240" w:lineRule="auto"/>
              <w:jc w:val="center"/>
              <w:rPr>
                <w:szCs w:val="22"/>
                <w:lang w:val="lt-LT"/>
              </w:rPr>
            </w:pPr>
            <w:r w:rsidRPr="00900CEC">
              <w:rPr>
                <w:szCs w:val="22"/>
                <w:lang w:val="lt-LT"/>
              </w:rPr>
              <w:t>-1,30 (3,07)</w:t>
            </w:r>
          </w:p>
        </w:tc>
      </w:tr>
      <w:tr w:rsidR="00F51FBD" w:rsidRPr="00900CEC" w14:paraId="0FAD08C9" w14:textId="77777777" w:rsidTr="00F12D19">
        <w:trPr>
          <w:trHeight w:val="278"/>
        </w:trPr>
        <w:tc>
          <w:tcPr>
            <w:tcW w:w="1960" w:type="dxa"/>
            <w:hideMark/>
          </w:tcPr>
          <w:p w14:paraId="1ABC5C0F" w14:textId="77777777" w:rsidR="00F51FBD" w:rsidRPr="00900CEC" w:rsidRDefault="00F51FBD" w:rsidP="00163471">
            <w:pPr>
              <w:spacing w:line="240" w:lineRule="auto"/>
              <w:rPr>
                <w:szCs w:val="22"/>
                <w:lang w:val="lt-LT"/>
              </w:rPr>
            </w:pPr>
            <w:r w:rsidRPr="00900CEC">
              <w:rPr>
                <w:szCs w:val="22"/>
                <w:lang w:val="lt-LT"/>
              </w:rPr>
              <w:t xml:space="preserve">95 % </w:t>
            </w:r>
            <w:proofErr w:type="spellStart"/>
            <w:r w:rsidRPr="00900CEC">
              <w:rPr>
                <w:szCs w:val="22"/>
                <w:lang w:val="lt-LT"/>
              </w:rPr>
              <w:t>pasikliautinasis</w:t>
            </w:r>
            <w:proofErr w:type="spellEnd"/>
            <w:r w:rsidRPr="00900CEC">
              <w:rPr>
                <w:szCs w:val="22"/>
                <w:lang w:val="lt-LT"/>
              </w:rPr>
              <w:t xml:space="preserve"> intervalas</w:t>
            </w:r>
          </w:p>
        </w:tc>
        <w:tc>
          <w:tcPr>
            <w:tcW w:w="2891" w:type="dxa"/>
            <w:hideMark/>
          </w:tcPr>
          <w:p w14:paraId="472460DF" w14:textId="77777777" w:rsidR="00F51FBD" w:rsidRPr="00900CEC" w:rsidRDefault="00F51FBD" w:rsidP="00163471">
            <w:pPr>
              <w:spacing w:line="240" w:lineRule="auto"/>
              <w:jc w:val="center"/>
              <w:rPr>
                <w:szCs w:val="22"/>
                <w:lang w:val="lt-LT"/>
              </w:rPr>
            </w:pPr>
            <w:r w:rsidRPr="00900CEC">
              <w:rPr>
                <w:szCs w:val="22"/>
                <w:lang w:val="lt-LT"/>
              </w:rPr>
              <w:t>18,48 ; 28,34</w:t>
            </w:r>
          </w:p>
        </w:tc>
        <w:tc>
          <w:tcPr>
            <w:tcW w:w="1523" w:type="dxa"/>
            <w:hideMark/>
          </w:tcPr>
          <w:p w14:paraId="59A53868" w14:textId="77777777" w:rsidR="00F51FBD" w:rsidRPr="00900CEC" w:rsidRDefault="00F51FBD" w:rsidP="00163471">
            <w:pPr>
              <w:spacing w:line="240" w:lineRule="auto"/>
              <w:jc w:val="center"/>
              <w:rPr>
                <w:szCs w:val="22"/>
                <w:lang w:val="lt-LT"/>
              </w:rPr>
            </w:pPr>
            <w:r w:rsidRPr="00900CEC">
              <w:rPr>
                <w:szCs w:val="22"/>
                <w:lang w:val="lt-LT"/>
              </w:rPr>
              <w:t>4,61 ; 14,40</w:t>
            </w:r>
          </w:p>
        </w:tc>
        <w:tc>
          <w:tcPr>
            <w:tcW w:w="1276" w:type="dxa"/>
            <w:hideMark/>
          </w:tcPr>
          <w:p w14:paraId="3271CF1D" w14:textId="77777777" w:rsidR="00F51FBD" w:rsidRPr="00900CEC" w:rsidRDefault="00F51FBD" w:rsidP="00163471">
            <w:pPr>
              <w:spacing w:line="240" w:lineRule="auto"/>
              <w:jc w:val="center"/>
              <w:rPr>
                <w:szCs w:val="22"/>
                <w:lang w:val="lt-LT"/>
              </w:rPr>
            </w:pPr>
            <w:r w:rsidRPr="00900CEC">
              <w:rPr>
                <w:szCs w:val="22"/>
                <w:lang w:val="lt-LT"/>
              </w:rPr>
              <w:t>5,49 ; 15,35</w:t>
            </w:r>
          </w:p>
        </w:tc>
        <w:tc>
          <w:tcPr>
            <w:tcW w:w="1559" w:type="dxa"/>
            <w:hideMark/>
          </w:tcPr>
          <w:p w14:paraId="53236380" w14:textId="77777777" w:rsidR="00F51FBD" w:rsidRPr="00900CEC" w:rsidRDefault="00F51FBD" w:rsidP="00163471">
            <w:pPr>
              <w:spacing w:line="240" w:lineRule="auto"/>
              <w:jc w:val="center"/>
              <w:rPr>
                <w:szCs w:val="22"/>
                <w:lang w:val="lt-LT"/>
              </w:rPr>
            </w:pPr>
            <w:r w:rsidRPr="00900CEC">
              <w:rPr>
                <w:szCs w:val="22"/>
                <w:lang w:val="lt-LT"/>
              </w:rPr>
              <w:t>-7,33 ; 4,74</w:t>
            </w:r>
          </w:p>
        </w:tc>
      </w:tr>
      <w:tr w:rsidR="00F51FBD" w:rsidRPr="00900CEC" w14:paraId="56EA4B25" w14:textId="77777777" w:rsidTr="00F12D19">
        <w:trPr>
          <w:trHeight w:val="278"/>
        </w:trPr>
        <w:tc>
          <w:tcPr>
            <w:tcW w:w="1960" w:type="dxa"/>
            <w:hideMark/>
          </w:tcPr>
          <w:p w14:paraId="7C36ADFB" w14:textId="77777777" w:rsidR="00F51FBD" w:rsidRPr="00900CEC" w:rsidRDefault="00F51FBD" w:rsidP="00163471">
            <w:pPr>
              <w:spacing w:line="240" w:lineRule="auto"/>
              <w:rPr>
                <w:szCs w:val="22"/>
                <w:lang w:val="lt-LT"/>
              </w:rPr>
            </w:pPr>
            <w:r w:rsidRPr="00900CEC">
              <w:rPr>
                <w:szCs w:val="22"/>
                <w:lang w:val="lt-LT"/>
              </w:rPr>
              <w:t>Skirtumo įvertis (</w:t>
            </w:r>
            <w:r>
              <w:rPr>
                <w:szCs w:val="22"/>
                <w:lang w:val="lt-LT"/>
              </w:rPr>
              <w:t>SP</w:t>
            </w:r>
            <w:r w:rsidRPr="00900CEC">
              <w:rPr>
                <w:szCs w:val="22"/>
                <w:lang w:val="lt-LT"/>
              </w:rPr>
              <w:t>)</w:t>
            </w:r>
          </w:p>
        </w:tc>
        <w:tc>
          <w:tcPr>
            <w:tcW w:w="2891" w:type="dxa"/>
            <w:hideMark/>
          </w:tcPr>
          <w:p w14:paraId="58BD6168" w14:textId="77777777" w:rsidR="00F51FBD" w:rsidRPr="00900CEC" w:rsidRDefault="00F51FBD" w:rsidP="00163471">
            <w:pPr>
              <w:spacing w:line="240" w:lineRule="auto"/>
              <w:jc w:val="center"/>
              <w:rPr>
                <w:szCs w:val="22"/>
                <w:lang w:val="lt-LT"/>
              </w:rPr>
            </w:pPr>
            <w:r w:rsidRPr="00900CEC">
              <w:rPr>
                <w:szCs w:val="22"/>
                <w:lang w:val="lt-LT"/>
              </w:rPr>
              <w:t>-</w:t>
            </w:r>
          </w:p>
        </w:tc>
        <w:tc>
          <w:tcPr>
            <w:tcW w:w="1523" w:type="dxa"/>
            <w:hideMark/>
          </w:tcPr>
          <w:p w14:paraId="744EA9EC" w14:textId="77777777" w:rsidR="00F51FBD" w:rsidRPr="00900CEC" w:rsidRDefault="00F51FBD" w:rsidP="00163471">
            <w:pPr>
              <w:spacing w:line="240" w:lineRule="auto"/>
              <w:jc w:val="center"/>
              <w:rPr>
                <w:szCs w:val="22"/>
                <w:lang w:val="lt-LT"/>
              </w:rPr>
            </w:pPr>
            <w:r w:rsidRPr="00900CEC">
              <w:rPr>
                <w:szCs w:val="22"/>
                <w:lang w:val="lt-LT"/>
              </w:rPr>
              <w:t>13,90 (3,53)</w:t>
            </w:r>
          </w:p>
        </w:tc>
        <w:tc>
          <w:tcPr>
            <w:tcW w:w="1276" w:type="dxa"/>
            <w:hideMark/>
          </w:tcPr>
          <w:p w14:paraId="08D9A618" w14:textId="77777777" w:rsidR="00F51FBD" w:rsidRPr="00900CEC" w:rsidRDefault="00F51FBD" w:rsidP="00163471">
            <w:pPr>
              <w:spacing w:line="240" w:lineRule="auto"/>
              <w:jc w:val="center"/>
              <w:rPr>
                <w:szCs w:val="22"/>
                <w:lang w:val="lt-LT"/>
              </w:rPr>
            </w:pPr>
            <w:r w:rsidRPr="00900CEC">
              <w:rPr>
                <w:szCs w:val="22"/>
                <w:lang w:val="lt-LT"/>
              </w:rPr>
              <w:t>12,99 (3,54)</w:t>
            </w:r>
          </w:p>
        </w:tc>
        <w:tc>
          <w:tcPr>
            <w:tcW w:w="1559" w:type="dxa"/>
            <w:hideMark/>
          </w:tcPr>
          <w:p w14:paraId="20C594CD" w14:textId="77777777" w:rsidR="00F51FBD" w:rsidRPr="00900CEC" w:rsidRDefault="00F51FBD" w:rsidP="00163471">
            <w:pPr>
              <w:spacing w:line="240" w:lineRule="auto"/>
              <w:jc w:val="center"/>
              <w:rPr>
                <w:szCs w:val="22"/>
                <w:lang w:val="lt-LT"/>
              </w:rPr>
            </w:pPr>
            <w:r w:rsidRPr="00900CEC">
              <w:rPr>
                <w:szCs w:val="22"/>
                <w:lang w:val="lt-LT"/>
              </w:rPr>
              <w:t>24,71 (3,96)</w:t>
            </w:r>
          </w:p>
        </w:tc>
      </w:tr>
      <w:tr w:rsidR="00F51FBD" w:rsidRPr="00900CEC" w14:paraId="03529F1F" w14:textId="77777777" w:rsidTr="00F12D19">
        <w:trPr>
          <w:trHeight w:val="278"/>
        </w:trPr>
        <w:tc>
          <w:tcPr>
            <w:tcW w:w="1960" w:type="dxa"/>
            <w:hideMark/>
          </w:tcPr>
          <w:p w14:paraId="7551C000" w14:textId="77777777" w:rsidR="00F51FBD" w:rsidRPr="00900CEC" w:rsidRDefault="00F51FBD" w:rsidP="00163471">
            <w:pPr>
              <w:spacing w:line="240" w:lineRule="auto"/>
              <w:rPr>
                <w:szCs w:val="22"/>
                <w:lang w:val="lt-LT"/>
              </w:rPr>
            </w:pPr>
            <w:r w:rsidRPr="00900CEC">
              <w:rPr>
                <w:szCs w:val="22"/>
                <w:lang w:val="lt-LT"/>
              </w:rPr>
              <w:t xml:space="preserve">95 % </w:t>
            </w:r>
            <w:proofErr w:type="spellStart"/>
            <w:r w:rsidRPr="00900CEC">
              <w:rPr>
                <w:szCs w:val="22"/>
                <w:lang w:val="lt-LT"/>
              </w:rPr>
              <w:t>pasikliautinasis</w:t>
            </w:r>
            <w:proofErr w:type="spellEnd"/>
            <w:r w:rsidRPr="00900CEC">
              <w:rPr>
                <w:szCs w:val="22"/>
                <w:lang w:val="lt-LT"/>
              </w:rPr>
              <w:t xml:space="preserve"> intervalas</w:t>
            </w:r>
          </w:p>
        </w:tc>
        <w:tc>
          <w:tcPr>
            <w:tcW w:w="2891" w:type="dxa"/>
            <w:hideMark/>
          </w:tcPr>
          <w:p w14:paraId="5C3FBFFA" w14:textId="77777777" w:rsidR="00F51FBD" w:rsidRPr="00900CEC" w:rsidRDefault="00F51FBD" w:rsidP="00163471">
            <w:pPr>
              <w:spacing w:line="240" w:lineRule="auto"/>
              <w:jc w:val="center"/>
              <w:rPr>
                <w:szCs w:val="22"/>
                <w:lang w:val="lt-LT"/>
              </w:rPr>
            </w:pPr>
            <w:r w:rsidRPr="00900CEC">
              <w:rPr>
                <w:szCs w:val="22"/>
                <w:lang w:val="lt-LT"/>
              </w:rPr>
              <w:t>-</w:t>
            </w:r>
          </w:p>
        </w:tc>
        <w:tc>
          <w:tcPr>
            <w:tcW w:w="1523" w:type="dxa"/>
            <w:hideMark/>
          </w:tcPr>
          <w:p w14:paraId="14B4BCF4" w14:textId="77777777" w:rsidR="00F51FBD" w:rsidRPr="00900CEC" w:rsidRDefault="00F51FBD" w:rsidP="00163471">
            <w:pPr>
              <w:spacing w:line="240" w:lineRule="auto"/>
              <w:jc w:val="center"/>
              <w:rPr>
                <w:szCs w:val="22"/>
                <w:lang w:val="lt-LT"/>
              </w:rPr>
            </w:pPr>
            <w:r w:rsidRPr="00900CEC">
              <w:rPr>
                <w:szCs w:val="22"/>
                <w:lang w:val="lt-LT"/>
              </w:rPr>
              <w:t>6,95 ; 20,85</w:t>
            </w:r>
          </w:p>
        </w:tc>
        <w:tc>
          <w:tcPr>
            <w:tcW w:w="1276" w:type="dxa"/>
            <w:hideMark/>
          </w:tcPr>
          <w:p w14:paraId="74C19C07" w14:textId="77777777" w:rsidR="00F51FBD" w:rsidRPr="00900CEC" w:rsidRDefault="00F51FBD" w:rsidP="00163471">
            <w:pPr>
              <w:spacing w:line="240" w:lineRule="auto"/>
              <w:jc w:val="center"/>
              <w:rPr>
                <w:szCs w:val="22"/>
                <w:lang w:val="lt-LT"/>
              </w:rPr>
            </w:pPr>
            <w:r w:rsidRPr="00900CEC">
              <w:rPr>
                <w:szCs w:val="22"/>
                <w:lang w:val="lt-LT"/>
              </w:rPr>
              <w:t>6,02 ; 19,96</w:t>
            </w:r>
          </w:p>
        </w:tc>
        <w:tc>
          <w:tcPr>
            <w:tcW w:w="1559" w:type="dxa"/>
            <w:hideMark/>
          </w:tcPr>
          <w:p w14:paraId="428BAC02" w14:textId="77777777" w:rsidR="00F51FBD" w:rsidRPr="00900CEC" w:rsidRDefault="00F51FBD" w:rsidP="00163471">
            <w:pPr>
              <w:spacing w:line="240" w:lineRule="auto"/>
              <w:jc w:val="center"/>
              <w:rPr>
                <w:szCs w:val="22"/>
                <w:lang w:val="lt-LT"/>
              </w:rPr>
            </w:pPr>
            <w:r w:rsidRPr="00900CEC">
              <w:rPr>
                <w:szCs w:val="22"/>
                <w:lang w:val="lt-LT"/>
              </w:rPr>
              <w:t>16,92 ; 32,50</w:t>
            </w:r>
          </w:p>
        </w:tc>
      </w:tr>
      <w:tr w:rsidR="00F51FBD" w:rsidRPr="00900CEC" w14:paraId="7B195F8C" w14:textId="77777777" w:rsidTr="00F12D19">
        <w:trPr>
          <w:trHeight w:val="262"/>
        </w:trPr>
        <w:tc>
          <w:tcPr>
            <w:tcW w:w="1960" w:type="dxa"/>
            <w:hideMark/>
          </w:tcPr>
          <w:p w14:paraId="13AF2C4D" w14:textId="77777777" w:rsidR="00F51FBD" w:rsidRPr="00900CEC" w:rsidRDefault="00F51FBD" w:rsidP="00163471">
            <w:pPr>
              <w:spacing w:line="240" w:lineRule="auto"/>
              <w:rPr>
                <w:szCs w:val="22"/>
                <w:lang w:val="lt-LT"/>
              </w:rPr>
            </w:pPr>
            <w:r w:rsidRPr="00900CEC">
              <w:rPr>
                <w:szCs w:val="22"/>
                <w:lang w:val="lt-LT"/>
              </w:rPr>
              <w:t>p-vertė</w:t>
            </w:r>
          </w:p>
        </w:tc>
        <w:tc>
          <w:tcPr>
            <w:tcW w:w="2891" w:type="dxa"/>
            <w:hideMark/>
          </w:tcPr>
          <w:p w14:paraId="424336C1" w14:textId="77777777" w:rsidR="00F51FBD" w:rsidRPr="00900CEC" w:rsidRDefault="00F51FBD" w:rsidP="00163471">
            <w:pPr>
              <w:spacing w:line="240" w:lineRule="auto"/>
              <w:jc w:val="center"/>
              <w:rPr>
                <w:szCs w:val="22"/>
                <w:lang w:val="lt-LT"/>
              </w:rPr>
            </w:pPr>
            <w:r w:rsidRPr="00900CEC">
              <w:rPr>
                <w:szCs w:val="22"/>
                <w:lang w:val="lt-LT"/>
              </w:rPr>
              <w:t>-</w:t>
            </w:r>
          </w:p>
        </w:tc>
        <w:tc>
          <w:tcPr>
            <w:tcW w:w="1523" w:type="dxa"/>
            <w:hideMark/>
          </w:tcPr>
          <w:p w14:paraId="27985E1C" w14:textId="77777777" w:rsidR="00F51FBD" w:rsidRPr="00900CEC" w:rsidRDefault="00F51FBD" w:rsidP="00163471">
            <w:pPr>
              <w:spacing w:line="240" w:lineRule="auto"/>
              <w:jc w:val="center"/>
              <w:rPr>
                <w:szCs w:val="22"/>
                <w:lang w:val="lt-LT"/>
              </w:rPr>
            </w:pPr>
            <w:r w:rsidRPr="00900CEC">
              <w:rPr>
                <w:szCs w:val="22"/>
                <w:lang w:val="lt-LT"/>
              </w:rPr>
              <w:t>&lt; 0,001</w:t>
            </w:r>
          </w:p>
        </w:tc>
        <w:tc>
          <w:tcPr>
            <w:tcW w:w="1276" w:type="dxa"/>
            <w:hideMark/>
          </w:tcPr>
          <w:p w14:paraId="1B5F2367" w14:textId="77777777" w:rsidR="00F51FBD" w:rsidRPr="00900CEC" w:rsidRDefault="00F51FBD" w:rsidP="00163471">
            <w:pPr>
              <w:spacing w:line="240" w:lineRule="auto"/>
              <w:jc w:val="center"/>
              <w:rPr>
                <w:szCs w:val="22"/>
                <w:lang w:val="lt-LT"/>
              </w:rPr>
            </w:pPr>
            <w:r w:rsidRPr="00900CEC">
              <w:rPr>
                <w:szCs w:val="22"/>
                <w:lang w:val="lt-LT"/>
              </w:rPr>
              <w:t>&lt; 0,001</w:t>
            </w:r>
          </w:p>
        </w:tc>
        <w:tc>
          <w:tcPr>
            <w:tcW w:w="1559" w:type="dxa"/>
            <w:hideMark/>
          </w:tcPr>
          <w:p w14:paraId="2BDDE7FB" w14:textId="77777777" w:rsidR="00F51FBD" w:rsidRPr="00900CEC" w:rsidRDefault="00F51FBD" w:rsidP="00163471">
            <w:pPr>
              <w:spacing w:line="240" w:lineRule="auto"/>
              <w:jc w:val="center"/>
              <w:rPr>
                <w:szCs w:val="22"/>
                <w:lang w:val="lt-LT"/>
              </w:rPr>
            </w:pPr>
            <w:r w:rsidRPr="00900CEC">
              <w:rPr>
                <w:szCs w:val="22"/>
                <w:lang w:val="lt-LT"/>
              </w:rPr>
              <w:t>&lt; 0,001</w:t>
            </w:r>
          </w:p>
        </w:tc>
      </w:tr>
    </w:tbl>
    <w:p w14:paraId="1773761F" w14:textId="77777777" w:rsidR="00F51FBD" w:rsidRPr="00900CEC" w:rsidRDefault="00F51FBD" w:rsidP="00F51FBD">
      <w:pPr>
        <w:spacing w:line="240" w:lineRule="auto"/>
        <w:rPr>
          <w:szCs w:val="22"/>
          <w:lang w:val="lt-LT"/>
        </w:rPr>
      </w:pPr>
    </w:p>
    <w:p w14:paraId="43874B45" w14:textId="77777777" w:rsidR="00F51FBD" w:rsidRPr="00900CEC" w:rsidRDefault="00F51FBD" w:rsidP="00F51FBD">
      <w:pPr>
        <w:spacing w:line="240" w:lineRule="auto"/>
        <w:rPr>
          <w:sz w:val="20"/>
          <w:lang w:val="lt-LT"/>
        </w:rPr>
      </w:pPr>
      <w:r>
        <w:rPr>
          <w:sz w:val="20"/>
          <w:lang w:val="lt-LT"/>
        </w:rPr>
        <w:t>SP</w:t>
      </w:r>
      <w:r w:rsidRPr="00900CEC">
        <w:rPr>
          <w:sz w:val="20"/>
          <w:lang w:val="lt-LT"/>
        </w:rPr>
        <w:t xml:space="preserve"> – standartinė </w:t>
      </w:r>
      <w:r>
        <w:rPr>
          <w:sz w:val="20"/>
          <w:lang w:val="lt-LT"/>
        </w:rPr>
        <w:t>pa</w:t>
      </w:r>
      <w:r w:rsidRPr="00900CEC">
        <w:rPr>
          <w:sz w:val="20"/>
          <w:lang w:val="lt-LT"/>
        </w:rPr>
        <w:t>klaida</w:t>
      </w:r>
    </w:p>
    <w:p w14:paraId="385F5EE6" w14:textId="77777777" w:rsidR="00F51FBD" w:rsidRPr="00900CEC" w:rsidRDefault="00F51FBD" w:rsidP="00F51FBD">
      <w:pPr>
        <w:spacing w:line="240" w:lineRule="auto"/>
        <w:rPr>
          <w:szCs w:val="22"/>
          <w:lang w:val="lt-LT"/>
        </w:rPr>
      </w:pPr>
    </w:p>
    <w:p w14:paraId="3DC8664F" w14:textId="40498613" w:rsidR="00F51FBD" w:rsidRDefault="00F51FBD" w:rsidP="00F51FBD">
      <w:pPr>
        <w:keepNext/>
        <w:spacing w:line="240" w:lineRule="auto"/>
        <w:rPr>
          <w:b/>
          <w:szCs w:val="22"/>
          <w:lang w:val="lt-LT"/>
        </w:rPr>
      </w:pPr>
      <w:r w:rsidRPr="00900CEC">
        <w:rPr>
          <w:b/>
          <w:szCs w:val="22"/>
          <w:lang w:val="lt-LT"/>
        </w:rPr>
        <w:fldChar w:fldCharType="begin"/>
      </w:r>
      <w:r w:rsidRPr="00900CEC">
        <w:rPr>
          <w:b/>
          <w:szCs w:val="22"/>
          <w:lang w:val="lt-LT"/>
        </w:rPr>
        <w:instrText xml:space="preserve"> SEQ Figure \* ARABIC </w:instrText>
      </w:r>
      <w:r w:rsidRPr="00900CEC">
        <w:rPr>
          <w:b/>
          <w:szCs w:val="22"/>
          <w:lang w:val="lt-LT"/>
        </w:rPr>
        <w:fldChar w:fldCharType="separate"/>
      </w:r>
      <w:r>
        <w:rPr>
          <w:b/>
          <w:noProof/>
          <w:szCs w:val="22"/>
          <w:lang w:val="lt-LT"/>
        </w:rPr>
        <w:t>1</w:t>
      </w:r>
      <w:r w:rsidRPr="00900CEC">
        <w:rPr>
          <w:szCs w:val="22"/>
          <w:lang w:val="lt-LT"/>
        </w:rPr>
        <w:fldChar w:fldCharType="end"/>
      </w:r>
      <w:r w:rsidR="008134D8">
        <w:rPr>
          <w:b/>
          <w:szCs w:val="22"/>
          <w:lang w:val="lt-LT"/>
        </w:rPr>
        <w:t> </w:t>
      </w:r>
      <w:r w:rsidRPr="00900CEC">
        <w:rPr>
          <w:b/>
          <w:szCs w:val="22"/>
          <w:lang w:val="lt-LT"/>
        </w:rPr>
        <w:t>pav. Pagal laiką koreguojamas SSIS</w:t>
      </w:r>
      <w:r w:rsidRPr="00900CEC">
        <w:rPr>
          <w:b/>
          <w:szCs w:val="22"/>
          <w:vertAlign w:val="subscript"/>
          <w:lang w:val="lt-LT"/>
        </w:rPr>
        <w:t>48</w:t>
      </w:r>
      <w:r w:rsidRPr="00900CEC">
        <w:rPr>
          <w:b/>
          <w:szCs w:val="22"/>
          <w:lang w:val="lt-LT"/>
        </w:rPr>
        <w:t xml:space="preserve"> iki pirmosios gelbėjamojo vaist</w:t>
      </w:r>
      <w:r w:rsidR="008134D8">
        <w:rPr>
          <w:b/>
          <w:szCs w:val="22"/>
          <w:lang w:val="lt-LT"/>
        </w:rPr>
        <w:t>ini</w:t>
      </w:r>
      <w:r w:rsidRPr="00900CEC">
        <w:rPr>
          <w:b/>
          <w:szCs w:val="22"/>
          <w:lang w:val="lt-LT"/>
        </w:rPr>
        <w:t xml:space="preserve">o </w:t>
      </w:r>
      <w:r w:rsidR="008134D8">
        <w:rPr>
          <w:b/>
          <w:szCs w:val="22"/>
          <w:lang w:val="lt-LT"/>
        </w:rPr>
        <w:t xml:space="preserve">preparato </w:t>
      </w:r>
      <w:r w:rsidRPr="00900CEC">
        <w:rPr>
          <w:b/>
          <w:szCs w:val="22"/>
          <w:lang w:val="lt-LT"/>
        </w:rPr>
        <w:t>dozės.</w:t>
      </w:r>
    </w:p>
    <w:p w14:paraId="4C09CCD9" w14:textId="77777777" w:rsidR="00F51FBD" w:rsidRDefault="00F51FBD" w:rsidP="00F51FBD">
      <w:pPr>
        <w:keepNext/>
        <w:spacing w:line="240" w:lineRule="auto"/>
        <w:rPr>
          <w:b/>
          <w:szCs w:val="22"/>
          <w:lang w:val="lt-LT"/>
        </w:rPr>
      </w:pPr>
    </w:p>
    <w:p w14:paraId="2F048D1B" w14:textId="77777777" w:rsidR="00F51FBD" w:rsidRDefault="00F51FBD" w:rsidP="00F51FBD">
      <w:pPr>
        <w:keepNext/>
        <w:spacing w:line="240" w:lineRule="auto"/>
        <w:rPr>
          <w:b/>
          <w:szCs w:val="22"/>
          <w:lang w:val="lt-LT"/>
        </w:rPr>
      </w:pPr>
      <w:r w:rsidRPr="003C5173">
        <w:rPr>
          <w:noProof/>
          <w:snapToGrid/>
          <w:szCs w:val="22"/>
          <w:lang w:val="lt-LT" w:eastAsia="lt-LT"/>
        </w:rPr>
        <mc:AlternateContent>
          <mc:Choice Requires="wpg">
            <w:drawing>
              <wp:anchor distT="0" distB="0" distL="114300" distR="114300" simplePos="0" relativeHeight="251659264" behindDoc="0" locked="0" layoutInCell="1" allowOverlap="1" wp14:anchorId="4D54123A" wp14:editId="2D4C0B18">
                <wp:simplePos x="0" y="0"/>
                <wp:positionH relativeFrom="column">
                  <wp:posOffset>4445</wp:posOffset>
                </wp:positionH>
                <wp:positionV relativeFrom="paragraph">
                  <wp:posOffset>158750</wp:posOffset>
                </wp:positionV>
                <wp:extent cx="5788025" cy="4324350"/>
                <wp:effectExtent l="0" t="0" r="3175" b="0"/>
                <wp:wrapTopAndBottom/>
                <wp:docPr id="5" name="Group 5"/>
                <wp:cNvGraphicFramePr/>
                <a:graphic xmlns:a="http://schemas.openxmlformats.org/drawingml/2006/main">
                  <a:graphicData uri="http://schemas.microsoft.com/office/word/2010/wordprocessingGroup">
                    <wpg:wgp>
                      <wpg:cNvGrpSpPr/>
                      <wpg:grpSpPr>
                        <a:xfrm>
                          <a:off x="0" y="0"/>
                          <a:ext cx="5788025" cy="4324350"/>
                          <a:chOff x="0" y="0"/>
                          <a:chExt cx="5788025" cy="4324350"/>
                        </a:xfrm>
                      </wpg:grpSpPr>
                      <wps:wsp>
                        <wps:cNvPr id="217" name="Text Box 2"/>
                        <wps:cNvSpPr txBox="1">
                          <a:spLocks noChangeArrowheads="1"/>
                        </wps:cNvSpPr>
                        <wps:spPr bwMode="auto">
                          <a:xfrm>
                            <a:off x="47625" y="4076700"/>
                            <a:ext cx="5740400" cy="247650"/>
                          </a:xfrm>
                          <a:prstGeom prst="rect">
                            <a:avLst/>
                          </a:prstGeom>
                          <a:solidFill>
                            <a:srgbClr val="FFFFFF"/>
                          </a:solidFill>
                          <a:ln w="9525">
                            <a:noFill/>
                            <a:miter lim="800000"/>
                            <a:headEnd/>
                            <a:tailEnd/>
                          </a:ln>
                        </wps:spPr>
                        <wps:txbx>
                          <w:txbxContent>
                            <w:p w14:paraId="756FF4A7" w14:textId="77777777" w:rsidR="00F51FBD" w:rsidRPr="003C5173" w:rsidRDefault="00F51FBD" w:rsidP="00F51FBD">
                              <w:pPr>
                                <w:tabs>
                                  <w:tab w:val="left" w:pos="3402"/>
                                  <w:tab w:val="left" w:pos="5103"/>
                                  <w:tab w:val="left" w:pos="7371"/>
                                </w:tabs>
                                <w:ind w:firstLine="1418"/>
                                <w:rPr>
                                  <w:rFonts w:ascii="Calibri" w:hAnsi="Calibri" w:cs="Calibri"/>
                                  <w:sz w:val="18"/>
                                </w:rPr>
                              </w:pPr>
                              <w:r w:rsidRPr="003C5173">
                                <w:rPr>
                                  <w:rFonts w:ascii="Calibri" w:hAnsi="Calibri" w:cs="Calibri"/>
                                  <w:sz w:val="18"/>
                                </w:rPr>
                                <w:t>Maxigesic®</w:t>
                              </w:r>
                              <w:r w:rsidRPr="003C5173">
                                <w:rPr>
                                  <w:rFonts w:ascii="Calibri" w:hAnsi="Calibri" w:cs="Calibri"/>
                                  <w:sz w:val="18"/>
                                </w:rPr>
                                <w:tab/>
                                <w:t>Ibuprofen</w:t>
                              </w:r>
                              <w:r>
                                <w:rPr>
                                  <w:rFonts w:ascii="Calibri" w:hAnsi="Calibri" w:cs="Calibri"/>
                                  <w:sz w:val="18"/>
                                </w:rPr>
                                <w:t>as</w:t>
                              </w:r>
                              <w:r w:rsidRPr="003C5173">
                                <w:rPr>
                                  <w:rFonts w:ascii="Calibri" w:hAnsi="Calibri" w:cs="Calibri"/>
                                  <w:sz w:val="18"/>
                                </w:rPr>
                                <w:tab/>
                                <w:t>Acetamino</w:t>
                              </w:r>
                              <w:r>
                                <w:rPr>
                                  <w:rFonts w:ascii="Calibri" w:hAnsi="Calibri" w:cs="Calibri"/>
                                  <w:sz w:val="18"/>
                                </w:rPr>
                                <w:t>f</w:t>
                              </w:r>
                              <w:r w:rsidRPr="003C5173">
                                <w:rPr>
                                  <w:rFonts w:ascii="Calibri" w:hAnsi="Calibri" w:cs="Calibri"/>
                                  <w:sz w:val="18"/>
                                </w:rPr>
                                <w:t>en</w:t>
                              </w:r>
                              <w:r>
                                <w:rPr>
                                  <w:rFonts w:ascii="Calibri" w:hAnsi="Calibri" w:cs="Calibri"/>
                                  <w:sz w:val="18"/>
                                </w:rPr>
                                <w:t>as</w:t>
                              </w:r>
                              <w:r w:rsidRPr="003C5173">
                                <w:rPr>
                                  <w:rFonts w:ascii="Calibri" w:hAnsi="Calibri" w:cs="Calibri"/>
                                  <w:sz w:val="18"/>
                                </w:rPr>
                                <w:tab/>
                                <w:t>Placeb</w:t>
                              </w:r>
                              <w:r>
                                <w:rPr>
                                  <w:rFonts w:ascii="Calibri" w:hAnsi="Calibri" w:cs="Calibri"/>
                                  <w:sz w:val="18"/>
                                </w:rPr>
                                <w:t>as</w:t>
                              </w:r>
                            </w:p>
                          </w:txbxContent>
                        </wps:txbx>
                        <wps:bodyPr rot="0" vert="horz" wrap="square" lIns="91440" tIns="45720" rIns="91440" bIns="45720" anchor="t" anchorCtr="0">
                          <a:noAutofit/>
                        </wps:bodyPr>
                      </wps:wsp>
                      <wps:wsp>
                        <wps:cNvPr id="3" name="Text Box 2"/>
                        <wps:cNvSpPr txBox="1">
                          <a:spLocks noChangeArrowheads="1"/>
                        </wps:cNvSpPr>
                        <wps:spPr bwMode="auto">
                          <a:xfrm>
                            <a:off x="1" y="47625"/>
                            <a:ext cx="362584" cy="4029075"/>
                          </a:xfrm>
                          <a:prstGeom prst="rect">
                            <a:avLst/>
                          </a:prstGeom>
                          <a:solidFill>
                            <a:srgbClr val="FFFFFF"/>
                          </a:solidFill>
                          <a:ln w="9525">
                            <a:noFill/>
                            <a:miter lim="800000"/>
                            <a:headEnd/>
                            <a:tailEnd/>
                          </a:ln>
                        </wps:spPr>
                        <wps:txbx>
                          <w:txbxContent>
                            <w:p w14:paraId="63099DE8" w14:textId="77777777" w:rsidR="00F51FBD" w:rsidRPr="003C5173" w:rsidRDefault="00F51FBD" w:rsidP="00F51FBD">
                              <w:pPr>
                                <w:tabs>
                                  <w:tab w:val="left" w:pos="3402"/>
                                  <w:tab w:val="left" w:pos="5103"/>
                                  <w:tab w:val="left" w:pos="7371"/>
                                </w:tabs>
                                <w:ind w:firstLine="1418"/>
                                <w:rPr>
                                  <w:rFonts w:ascii="Calibri" w:hAnsi="Calibri" w:cs="Calibri"/>
                                  <w:sz w:val="19"/>
                                  <w:szCs w:val="19"/>
                                </w:rPr>
                              </w:pPr>
                              <w:r w:rsidRPr="003C5173">
                                <w:rPr>
                                  <w:rFonts w:ascii="Calibri" w:hAnsi="Calibri" w:cs="Calibri"/>
                                  <w:sz w:val="18"/>
                                </w:rPr>
                                <w:t xml:space="preserve">          </w:t>
                              </w:r>
                              <w:r w:rsidRPr="003C5173">
                                <w:rPr>
                                  <w:rFonts w:ascii="Calibri" w:hAnsi="Calibri" w:cs="Calibri"/>
                                  <w:sz w:val="19"/>
                                  <w:szCs w:val="19"/>
                                  <w:lang w:val="lt-LT"/>
                                </w:rPr>
                                <w:t>Pagal laiką koreguojamas SSIS (mm)</w:t>
                              </w:r>
                            </w:p>
                          </w:txbxContent>
                        </wps:txbx>
                        <wps:bodyPr rot="0" vert="vert270" wrap="square" lIns="91440" tIns="45720" rIns="91440" bIns="45720" anchor="t" anchorCtr="0">
                          <a:noAutofit/>
                        </wps:bodyPr>
                      </wps:wsp>
                      <pic:pic xmlns:pic="http://schemas.openxmlformats.org/drawingml/2006/picture">
                        <pic:nvPicPr>
                          <pic:cNvPr id="2" name="Picture 2" descr="L:\Maxigesic\Maxigesic IV\AFT-MXIV-07\Data Management\AdClin\AdClin Reporting\15. AFT-MXIV-7 Reporting 2018-10-05-Final update\2018-10-05-AFT-MXIV-7\2018-10-05-AFT-MXIV-7\HTML Output\Figure 3.1.1.png"/>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361950" y="304800"/>
                            <a:ext cx="5426075" cy="3771900"/>
                          </a:xfrm>
                          <a:prstGeom prst="rect">
                            <a:avLst/>
                          </a:prstGeom>
                          <a:noFill/>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0" y="0"/>
                            <a:ext cx="5740400" cy="247650"/>
                          </a:xfrm>
                          <a:prstGeom prst="rect">
                            <a:avLst/>
                          </a:prstGeom>
                          <a:solidFill>
                            <a:srgbClr val="FFFFFF"/>
                          </a:solidFill>
                          <a:ln w="9525">
                            <a:noFill/>
                            <a:miter lim="800000"/>
                            <a:headEnd/>
                            <a:tailEnd/>
                          </a:ln>
                        </wps:spPr>
                        <wps:txbx>
                          <w:txbxContent>
                            <w:p w14:paraId="02FBB536" w14:textId="77777777" w:rsidR="00F51FBD" w:rsidRPr="003C5173" w:rsidRDefault="00F51FBD" w:rsidP="00F51FBD">
                              <w:pPr>
                                <w:tabs>
                                  <w:tab w:val="clear" w:pos="567"/>
                                  <w:tab w:val="left" w:pos="2977"/>
                                </w:tabs>
                                <w:ind w:firstLine="1418"/>
                                <w:rPr>
                                  <w:rFonts w:ascii="Calibri" w:hAnsi="Calibri" w:cs="Calibri"/>
                                  <w:sz w:val="20"/>
                                </w:rPr>
                              </w:pPr>
                              <w:r w:rsidRPr="003C5173">
                                <w:rPr>
                                  <w:rFonts w:ascii="Calibri" w:hAnsi="Calibri" w:cs="Calibri"/>
                                  <w:sz w:val="20"/>
                                </w:rPr>
                                <w:tab/>
                              </w:r>
                              <w:r w:rsidRPr="003C5173">
                                <w:rPr>
                                  <w:rFonts w:ascii="Calibri" w:hAnsi="Calibri" w:cs="Calibri"/>
                                  <w:bCs/>
                                  <w:sz w:val="20"/>
                                  <w:lang w:val="lt-LT"/>
                                </w:rPr>
                                <w:t>Vidutiniai įverčiai ir 95 % pasikliautinieji intervalai</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D54123A" id="Group 5" o:spid="_x0000_s1026" style="position:absolute;margin-left:.35pt;margin-top:12.5pt;width:455.75pt;height:340.5pt;z-index:251659264;mso-width-relative:margin" coordsize="57880,43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">
                <v:shapetype id="_x0000_t202" coordsize="21600,21600" o:spt="202" path="m,l,21600r21600,l21600,xe">
                  <v:stroke joinstyle="miter"/>
                  <v:path gradientshapeok="t" o:connecttype="rect"/>
                </v:shapetype>
                <v:shape id="Text Box 2" o:spid="_x0000_s1027" type="#_x0000_t202" style="position:absolute;left:476;top:40767;width:5740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756FF4A7" w14:textId="77777777" w:rsidR="00F51FBD" w:rsidRPr="003C5173" w:rsidRDefault="00F51FBD" w:rsidP="00F51FBD">
                        <w:pPr>
                          <w:tabs>
                            <w:tab w:val="left" w:pos="3402"/>
                            <w:tab w:val="left" w:pos="5103"/>
                            <w:tab w:val="left" w:pos="7371"/>
                          </w:tabs>
                          <w:ind w:firstLine="1418"/>
                          <w:rPr>
                            <w:rFonts w:ascii="Calibri" w:hAnsi="Calibri" w:cs="Calibri"/>
                            <w:sz w:val="18"/>
                          </w:rPr>
                        </w:pPr>
                        <w:r w:rsidRPr="003C5173">
                          <w:rPr>
                            <w:rFonts w:ascii="Calibri" w:hAnsi="Calibri" w:cs="Calibri"/>
                            <w:sz w:val="18"/>
                          </w:rPr>
                          <w:t>Maxigesic®</w:t>
                        </w:r>
                        <w:r w:rsidRPr="003C5173">
                          <w:rPr>
                            <w:rFonts w:ascii="Calibri" w:hAnsi="Calibri" w:cs="Calibri"/>
                            <w:sz w:val="18"/>
                          </w:rPr>
                          <w:tab/>
                          <w:t>Ibuprofen</w:t>
                        </w:r>
                        <w:r>
                          <w:rPr>
                            <w:rFonts w:ascii="Calibri" w:hAnsi="Calibri" w:cs="Calibri"/>
                            <w:sz w:val="18"/>
                          </w:rPr>
                          <w:t>as</w:t>
                        </w:r>
                        <w:r w:rsidRPr="003C5173">
                          <w:rPr>
                            <w:rFonts w:ascii="Calibri" w:hAnsi="Calibri" w:cs="Calibri"/>
                            <w:sz w:val="18"/>
                          </w:rPr>
                          <w:tab/>
                          <w:t>Acetamino</w:t>
                        </w:r>
                        <w:r>
                          <w:rPr>
                            <w:rFonts w:ascii="Calibri" w:hAnsi="Calibri" w:cs="Calibri"/>
                            <w:sz w:val="18"/>
                          </w:rPr>
                          <w:t>f</w:t>
                        </w:r>
                        <w:r w:rsidRPr="003C5173">
                          <w:rPr>
                            <w:rFonts w:ascii="Calibri" w:hAnsi="Calibri" w:cs="Calibri"/>
                            <w:sz w:val="18"/>
                          </w:rPr>
                          <w:t>en</w:t>
                        </w:r>
                        <w:r>
                          <w:rPr>
                            <w:rFonts w:ascii="Calibri" w:hAnsi="Calibri" w:cs="Calibri"/>
                            <w:sz w:val="18"/>
                          </w:rPr>
                          <w:t>as</w:t>
                        </w:r>
                        <w:r w:rsidRPr="003C5173">
                          <w:rPr>
                            <w:rFonts w:ascii="Calibri" w:hAnsi="Calibri" w:cs="Calibri"/>
                            <w:sz w:val="18"/>
                          </w:rPr>
                          <w:tab/>
                          <w:t>Placeb</w:t>
                        </w:r>
                        <w:r>
                          <w:rPr>
                            <w:rFonts w:ascii="Calibri" w:hAnsi="Calibri" w:cs="Calibri"/>
                            <w:sz w:val="18"/>
                          </w:rPr>
                          <w:t>as</w:t>
                        </w:r>
                      </w:p>
                    </w:txbxContent>
                  </v:textbox>
                </v:shape>
                <v:shape id="Text Box 2" o:spid="_x0000_s1028" type="#_x0000_t202" style="position:absolute;top:476;width:3625;height:40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" stroked="f">
                  <v:textbox style="layout-flow:vertical;mso-layout-flow-alt:bottom-to-top">
                    <w:txbxContent>
                      <w:p w14:paraId="63099DE8" w14:textId="77777777" w:rsidR="00F51FBD" w:rsidRPr="003C5173" w:rsidRDefault="00F51FBD" w:rsidP="00F51FBD">
                        <w:pPr>
                          <w:tabs>
                            <w:tab w:val="left" w:pos="3402"/>
                            <w:tab w:val="left" w:pos="5103"/>
                            <w:tab w:val="left" w:pos="7371"/>
                          </w:tabs>
                          <w:ind w:firstLine="1418"/>
                          <w:rPr>
                            <w:rFonts w:ascii="Calibri" w:hAnsi="Calibri" w:cs="Calibri"/>
                            <w:sz w:val="19"/>
                            <w:szCs w:val="19"/>
                          </w:rPr>
                        </w:pPr>
                        <w:r w:rsidRPr="003C5173">
                          <w:rPr>
                            <w:rFonts w:ascii="Calibri" w:hAnsi="Calibri" w:cs="Calibri"/>
                            <w:sz w:val="18"/>
                          </w:rPr>
                          <w:t xml:space="preserve">          </w:t>
                        </w:r>
                        <w:r w:rsidRPr="003C5173">
                          <w:rPr>
                            <w:rFonts w:ascii="Calibri" w:hAnsi="Calibri" w:cs="Calibri"/>
                            <w:sz w:val="19"/>
                            <w:szCs w:val="19"/>
                            <w:lang w:val="lt-LT"/>
                          </w:rPr>
                          <w:t>Pagal laiką koreguojamas SSIS (mm)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3619;top:3048;width:54261;height:37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">
                  <v:imagedata r:id="rId12" o:title="Figure 3.1.1"/>
                </v:shape>
                <v:shape id="Text Box 2" o:spid="_x0000_s1030" type="#_x0000_t202" style="position:absolute;width:5740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02FBB536" w14:textId="77777777" w:rsidR="00F51FBD" w:rsidRPr="003C5173" w:rsidRDefault="00F51FBD" w:rsidP="00F51FBD">
                        <w:pPr>
                          <w:tabs>
                            <w:tab w:val="clear" w:pos="567"/>
                            <w:tab w:val="left" w:pos="2977"/>
                          </w:tabs>
                          <w:ind w:firstLine="1418"/>
                          <w:rPr>
                            <w:rFonts w:ascii="Calibri" w:hAnsi="Calibri" w:cs="Calibri"/>
                            <w:sz w:val="20"/>
                          </w:rPr>
                        </w:pPr>
                        <w:r w:rsidRPr="003C5173">
                          <w:rPr>
                            <w:rFonts w:ascii="Calibri" w:hAnsi="Calibri" w:cs="Calibri"/>
                            <w:sz w:val="20"/>
                          </w:rPr>
                          <w:tab/>
                        </w:r>
                        <w:r w:rsidRPr="003C5173">
                          <w:rPr>
                            <w:rFonts w:ascii="Calibri" w:hAnsi="Calibri" w:cs="Calibri"/>
                            <w:bCs/>
                            <w:sz w:val="20"/>
                            <w:lang w:val="lt-LT"/>
                          </w:rPr>
                          <w:t>Vidutiniai įverčiai ir 95 % pasikliautinieji intervalai</w:t>
                        </w:r>
                      </w:p>
                    </w:txbxContent>
                  </v:textbox>
                </v:shape>
                <w10:wrap type="topAndBottom"/>
              </v:group>
            </w:pict>
          </mc:Fallback>
        </mc:AlternateContent>
      </w:r>
    </w:p>
    <w:p w14:paraId="5CA60A57" w14:textId="77777777" w:rsidR="00F51FBD" w:rsidRPr="00900CEC" w:rsidRDefault="00F51FBD" w:rsidP="00F51FBD">
      <w:pPr>
        <w:keepNext/>
        <w:spacing w:line="240" w:lineRule="auto"/>
        <w:rPr>
          <w:b/>
          <w:szCs w:val="22"/>
          <w:lang w:val="lt-LT"/>
        </w:rPr>
      </w:pPr>
    </w:p>
    <w:p w14:paraId="68E79B06" w14:textId="77777777" w:rsidR="00F51FBD" w:rsidRPr="00900CEC" w:rsidRDefault="00F51FBD" w:rsidP="00F51FBD">
      <w:pPr>
        <w:keepNext/>
        <w:spacing w:line="240" w:lineRule="auto"/>
        <w:rPr>
          <w:szCs w:val="22"/>
          <w:lang w:val="lt-LT"/>
        </w:rPr>
      </w:pPr>
    </w:p>
    <w:p w14:paraId="183312D8" w14:textId="77777777" w:rsidR="00F51FBD" w:rsidRPr="00900CEC" w:rsidRDefault="00F51FBD" w:rsidP="00F51FBD">
      <w:pPr>
        <w:keepNext/>
        <w:spacing w:line="240" w:lineRule="auto"/>
        <w:rPr>
          <w:szCs w:val="22"/>
          <w:lang w:val="lt-LT"/>
        </w:rPr>
      </w:pPr>
      <w:proofErr w:type="spellStart"/>
      <w:r w:rsidRPr="00900CEC">
        <w:rPr>
          <w:szCs w:val="22"/>
          <w:lang w:val="lt-LT"/>
        </w:rPr>
        <w:t>Acetaminofenas</w:t>
      </w:r>
      <w:proofErr w:type="spellEnd"/>
      <w:r w:rsidRPr="00900CEC">
        <w:rPr>
          <w:szCs w:val="22"/>
          <w:lang w:val="lt-LT"/>
        </w:rPr>
        <w:t xml:space="preserve"> = </w:t>
      </w:r>
      <w:proofErr w:type="spellStart"/>
      <w:r w:rsidRPr="00900CEC">
        <w:rPr>
          <w:szCs w:val="22"/>
          <w:lang w:val="lt-LT"/>
        </w:rPr>
        <w:t>paracetamolis</w:t>
      </w:r>
      <w:proofErr w:type="spellEnd"/>
      <w:r w:rsidRPr="00900CEC">
        <w:rPr>
          <w:szCs w:val="22"/>
          <w:lang w:val="lt-LT"/>
        </w:rPr>
        <w:t>.</w:t>
      </w:r>
    </w:p>
    <w:p w14:paraId="7A669DE4" w14:textId="77777777" w:rsidR="00F51FBD" w:rsidRPr="00900CEC" w:rsidRDefault="00F51FBD" w:rsidP="00F51FBD">
      <w:pPr>
        <w:spacing w:line="240" w:lineRule="auto"/>
        <w:rPr>
          <w:szCs w:val="22"/>
          <w:lang w:val="lt-LT"/>
        </w:rPr>
      </w:pPr>
    </w:p>
    <w:p w14:paraId="4DC42139" w14:textId="77777777" w:rsidR="00F51FBD" w:rsidRPr="00900CEC" w:rsidRDefault="00F51FBD" w:rsidP="00F51FBD">
      <w:pPr>
        <w:pStyle w:val="Antrat4"/>
        <w:spacing w:line="240" w:lineRule="auto"/>
        <w:jc w:val="left"/>
        <w:rPr>
          <w:rFonts w:ascii="Times New Roman" w:hAnsi="Times New Roman"/>
          <w:sz w:val="22"/>
          <w:szCs w:val="22"/>
          <w:lang w:val="lt-LT"/>
        </w:rPr>
      </w:pPr>
      <w:r w:rsidRPr="00900CEC">
        <w:rPr>
          <w:rFonts w:ascii="Times New Roman" w:hAnsi="Times New Roman"/>
          <w:sz w:val="22"/>
          <w:szCs w:val="22"/>
          <w:lang w:val="lt-LT"/>
        </w:rPr>
        <w:t>5.2</w:t>
      </w:r>
      <w:r w:rsidRPr="00900CEC">
        <w:rPr>
          <w:rFonts w:ascii="Times New Roman" w:hAnsi="Times New Roman"/>
          <w:sz w:val="22"/>
          <w:szCs w:val="22"/>
          <w:lang w:val="lt-LT"/>
        </w:rPr>
        <w:tab/>
        <w:t>Farmakokinetinės savybės</w:t>
      </w:r>
    </w:p>
    <w:p w14:paraId="783B6909" w14:textId="77777777" w:rsidR="00F51FBD" w:rsidRPr="00900CEC" w:rsidRDefault="00F51FBD" w:rsidP="00F51FBD">
      <w:pPr>
        <w:tabs>
          <w:tab w:val="clear" w:pos="567"/>
        </w:tabs>
        <w:spacing w:line="240" w:lineRule="auto"/>
        <w:rPr>
          <w:szCs w:val="22"/>
          <w:lang w:val="lt-LT"/>
        </w:rPr>
      </w:pPr>
    </w:p>
    <w:p w14:paraId="1A397C9A" w14:textId="77777777" w:rsidR="00F51FBD" w:rsidRPr="00900CEC" w:rsidRDefault="00F51FBD" w:rsidP="00F51FBD">
      <w:pPr>
        <w:pStyle w:val="Antrat3"/>
        <w:spacing w:before="0" w:after="0" w:line="240" w:lineRule="auto"/>
        <w:rPr>
          <w:rFonts w:ascii="Times New Roman" w:hAnsi="Times New Roman"/>
          <w:b w:val="0"/>
          <w:sz w:val="22"/>
          <w:szCs w:val="22"/>
          <w:u w:val="single"/>
          <w:lang w:val="lt-LT"/>
        </w:rPr>
      </w:pPr>
      <w:r w:rsidRPr="00900CEC">
        <w:rPr>
          <w:rFonts w:ascii="Times New Roman" w:hAnsi="Times New Roman"/>
          <w:b w:val="0"/>
          <w:sz w:val="22"/>
          <w:szCs w:val="22"/>
          <w:u w:val="single"/>
          <w:lang w:val="lt-LT"/>
        </w:rPr>
        <w:t>Absorbcija</w:t>
      </w:r>
    </w:p>
    <w:p w14:paraId="2A6DDD03" w14:textId="2C783718" w:rsidR="00F51FBD" w:rsidRPr="00900CEC" w:rsidRDefault="006A24B2" w:rsidP="00F51FBD">
      <w:pPr>
        <w:suppressLineNumbers/>
        <w:spacing w:line="240" w:lineRule="auto"/>
        <w:ind w:right="-2"/>
        <w:rPr>
          <w:szCs w:val="22"/>
          <w:lang w:val="lt-LT"/>
        </w:rPr>
      </w:pPr>
      <w:proofErr w:type="spellStart"/>
      <w:r>
        <w:rPr>
          <w:szCs w:val="22"/>
          <w:lang w:val="lt-LT"/>
        </w:rPr>
        <w:t>Paracetamol</w:t>
      </w:r>
      <w:proofErr w:type="spellEnd"/>
      <w:r>
        <w:rPr>
          <w:szCs w:val="22"/>
          <w:lang w:val="lt-LT"/>
        </w:rPr>
        <w:t>/</w:t>
      </w:r>
      <w:proofErr w:type="spellStart"/>
      <w:r>
        <w:rPr>
          <w:szCs w:val="22"/>
          <w:lang w:val="lt-LT"/>
        </w:rPr>
        <w:t>Ibuprofen</w:t>
      </w:r>
      <w:proofErr w:type="spellEnd"/>
      <w:r>
        <w:rPr>
          <w:szCs w:val="22"/>
          <w:lang w:val="lt-LT"/>
        </w:rPr>
        <w:t xml:space="preserve"> AFT </w:t>
      </w:r>
      <w:proofErr w:type="spellStart"/>
      <w:r>
        <w:rPr>
          <w:szCs w:val="22"/>
          <w:lang w:val="lt-LT"/>
        </w:rPr>
        <w:t>Pharmaceuticals</w:t>
      </w:r>
      <w:proofErr w:type="spellEnd"/>
      <w:r w:rsidR="00F51FBD" w:rsidRPr="00900CEC">
        <w:rPr>
          <w:szCs w:val="22"/>
          <w:lang w:val="lt-LT"/>
        </w:rPr>
        <w:t xml:space="preserve"> yra skiriamas kaip 15</w:t>
      </w:r>
      <w:r w:rsidR="009273D5">
        <w:rPr>
          <w:szCs w:val="22"/>
          <w:lang w:val="lt-LT"/>
        </w:rPr>
        <w:t> </w:t>
      </w:r>
      <w:r w:rsidR="00F51FBD" w:rsidRPr="00900CEC">
        <w:rPr>
          <w:szCs w:val="22"/>
          <w:lang w:val="lt-LT"/>
        </w:rPr>
        <w:t>minučių trukmės infuzija, o didžiausia kiekvieno vaist</w:t>
      </w:r>
      <w:r w:rsidR="009273D5">
        <w:rPr>
          <w:szCs w:val="22"/>
          <w:lang w:val="lt-LT"/>
        </w:rPr>
        <w:t>ini</w:t>
      </w:r>
      <w:r w:rsidR="00F51FBD" w:rsidRPr="00900CEC">
        <w:rPr>
          <w:szCs w:val="22"/>
          <w:lang w:val="lt-LT"/>
        </w:rPr>
        <w:t xml:space="preserve">o </w:t>
      </w:r>
      <w:r w:rsidR="009273D5">
        <w:rPr>
          <w:szCs w:val="22"/>
          <w:lang w:val="lt-LT"/>
        </w:rPr>
        <w:t xml:space="preserve">preparato </w:t>
      </w:r>
      <w:r w:rsidR="00F51FBD" w:rsidRPr="00900CEC">
        <w:rPr>
          <w:szCs w:val="22"/>
          <w:lang w:val="lt-LT"/>
        </w:rPr>
        <w:t xml:space="preserve">koncentracija plazmoje susidaro infuzijos pabaigoje. Dviejų veikliųjų medžiagų, esančių </w:t>
      </w:r>
      <w:proofErr w:type="spellStart"/>
      <w:r>
        <w:rPr>
          <w:szCs w:val="22"/>
          <w:lang w:val="lt-LT"/>
        </w:rPr>
        <w:t>Paracetamol</w:t>
      </w:r>
      <w:proofErr w:type="spellEnd"/>
      <w:r>
        <w:rPr>
          <w:szCs w:val="22"/>
          <w:lang w:val="lt-LT"/>
        </w:rPr>
        <w:t>/</w:t>
      </w:r>
      <w:proofErr w:type="spellStart"/>
      <w:r>
        <w:rPr>
          <w:szCs w:val="22"/>
          <w:lang w:val="lt-LT"/>
        </w:rPr>
        <w:t>Ibuprofen</w:t>
      </w:r>
      <w:proofErr w:type="spellEnd"/>
      <w:r>
        <w:rPr>
          <w:szCs w:val="22"/>
          <w:lang w:val="lt-LT"/>
        </w:rPr>
        <w:t xml:space="preserve"> AFT </w:t>
      </w:r>
      <w:proofErr w:type="spellStart"/>
      <w:r>
        <w:rPr>
          <w:szCs w:val="22"/>
          <w:lang w:val="lt-LT"/>
        </w:rPr>
        <w:t>Pharmaceuticals</w:t>
      </w:r>
      <w:proofErr w:type="spellEnd"/>
      <w:r w:rsidR="00F51FBD" w:rsidRPr="00900CEC">
        <w:rPr>
          <w:szCs w:val="22"/>
          <w:lang w:val="lt-LT"/>
        </w:rPr>
        <w:t xml:space="preserve"> sudėtyje, didžiausia </w:t>
      </w:r>
      <w:r w:rsidR="00F51FBD" w:rsidRPr="00900CEC">
        <w:rPr>
          <w:szCs w:val="22"/>
          <w:lang w:val="lt-LT"/>
        </w:rPr>
        <w:lastRenderedPageBreak/>
        <w:t>koncentracija plazmoje susidaro per tą patį laiką ir jų pusinės eliminacijos iš plazmos laikas yra panašus (paracetamolio 2,39</w:t>
      </w:r>
      <w:r w:rsidR="009273D5" w:rsidRPr="00900CEC">
        <w:rPr>
          <w:szCs w:val="22"/>
          <w:lang w:val="lt-LT"/>
        </w:rPr>
        <w:t> </w:t>
      </w:r>
      <w:r w:rsidR="00F51FBD" w:rsidRPr="00900CEC">
        <w:rPr>
          <w:szCs w:val="22"/>
          <w:lang w:val="lt-LT"/>
        </w:rPr>
        <w:t>±</w:t>
      </w:r>
      <w:r w:rsidR="009273D5" w:rsidRPr="00900CEC">
        <w:rPr>
          <w:szCs w:val="22"/>
          <w:lang w:val="lt-LT"/>
        </w:rPr>
        <w:t> </w:t>
      </w:r>
      <w:r w:rsidR="00F51FBD" w:rsidRPr="00900CEC">
        <w:rPr>
          <w:szCs w:val="22"/>
          <w:lang w:val="lt-LT"/>
        </w:rPr>
        <w:t>0,27 val., ibuprofeno 1,88</w:t>
      </w:r>
      <w:r w:rsidR="009273D5" w:rsidRPr="00900CEC">
        <w:rPr>
          <w:szCs w:val="22"/>
          <w:lang w:val="lt-LT"/>
        </w:rPr>
        <w:t> </w:t>
      </w:r>
      <w:r w:rsidR="00F51FBD" w:rsidRPr="00900CEC">
        <w:rPr>
          <w:szCs w:val="22"/>
          <w:lang w:val="lt-LT"/>
        </w:rPr>
        <w:t>±</w:t>
      </w:r>
      <w:r w:rsidR="009273D5" w:rsidRPr="00900CEC">
        <w:rPr>
          <w:szCs w:val="22"/>
          <w:lang w:val="lt-LT"/>
        </w:rPr>
        <w:t> </w:t>
      </w:r>
      <w:r w:rsidR="00F51FBD" w:rsidRPr="00900CEC">
        <w:rPr>
          <w:szCs w:val="22"/>
          <w:lang w:val="lt-LT"/>
        </w:rPr>
        <w:t>0,28 val.).</w:t>
      </w:r>
    </w:p>
    <w:p w14:paraId="53C4975A" w14:textId="77777777" w:rsidR="00F51FBD" w:rsidRPr="00900CEC" w:rsidRDefault="00F51FBD" w:rsidP="00F51FBD">
      <w:pPr>
        <w:suppressLineNumbers/>
        <w:spacing w:line="240" w:lineRule="auto"/>
        <w:ind w:right="-2"/>
        <w:rPr>
          <w:szCs w:val="22"/>
          <w:lang w:val="lt-LT"/>
        </w:rPr>
      </w:pPr>
    </w:p>
    <w:p w14:paraId="37EF3AAD" w14:textId="128AAC35" w:rsidR="00F51FBD" w:rsidRPr="00900CEC" w:rsidRDefault="006A24B2" w:rsidP="00F51FBD">
      <w:pPr>
        <w:suppressLineNumbers/>
        <w:spacing w:line="240" w:lineRule="auto"/>
        <w:ind w:right="-2"/>
        <w:rPr>
          <w:szCs w:val="22"/>
          <w:lang w:val="lt-LT"/>
        </w:rPr>
      </w:pPr>
      <w:proofErr w:type="spellStart"/>
      <w:r>
        <w:rPr>
          <w:szCs w:val="22"/>
          <w:lang w:val="lt-LT"/>
        </w:rPr>
        <w:t>Paracetamol</w:t>
      </w:r>
      <w:proofErr w:type="spellEnd"/>
      <w:r>
        <w:rPr>
          <w:szCs w:val="22"/>
          <w:lang w:val="lt-LT"/>
        </w:rPr>
        <w:t>/</w:t>
      </w:r>
      <w:proofErr w:type="spellStart"/>
      <w:r>
        <w:rPr>
          <w:szCs w:val="22"/>
          <w:lang w:val="lt-LT"/>
        </w:rPr>
        <w:t>Ibuprofen</w:t>
      </w:r>
      <w:proofErr w:type="spellEnd"/>
      <w:r>
        <w:rPr>
          <w:szCs w:val="22"/>
          <w:lang w:val="lt-LT"/>
        </w:rPr>
        <w:t xml:space="preserve"> AFT </w:t>
      </w:r>
      <w:proofErr w:type="spellStart"/>
      <w:r>
        <w:rPr>
          <w:szCs w:val="22"/>
          <w:lang w:val="lt-LT"/>
        </w:rPr>
        <w:t>Pharmaceuticals</w:t>
      </w:r>
      <w:proofErr w:type="spellEnd"/>
      <w:r w:rsidR="00F51FBD" w:rsidRPr="00900CEC">
        <w:rPr>
          <w:szCs w:val="22"/>
          <w:lang w:val="lt-LT"/>
        </w:rPr>
        <w:t xml:space="preserve"> farmakokinetikos rodikliai, nustatyti tyrimo su 29</w:t>
      </w:r>
      <w:r w:rsidR="009273D5">
        <w:rPr>
          <w:szCs w:val="22"/>
          <w:lang w:val="lt-LT"/>
        </w:rPr>
        <w:t> </w:t>
      </w:r>
      <w:r w:rsidR="00F51FBD" w:rsidRPr="00900CEC">
        <w:rPr>
          <w:szCs w:val="22"/>
          <w:lang w:val="lt-LT"/>
        </w:rPr>
        <w:t xml:space="preserve">sveikais savanoriais metu, yra pateikti </w:t>
      </w:r>
      <w:r w:rsidR="00F51FBD">
        <w:rPr>
          <w:szCs w:val="22"/>
          <w:lang w:val="lt-LT"/>
        </w:rPr>
        <w:t>2</w:t>
      </w:r>
      <w:r w:rsidR="00F51FBD" w:rsidRPr="00900CEC">
        <w:rPr>
          <w:szCs w:val="22"/>
          <w:lang w:val="lt-LT"/>
        </w:rPr>
        <w:t> lentelėje.</w:t>
      </w:r>
    </w:p>
    <w:p w14:paraId="6FAAD6A9" w14:textId="77777777" w:rsidR="00F51FBD" w:rsidRPr="00900CEC" w:rsidRDefault="00F51FBD" w:rsidP="00F51FBD">
      <w:pPr>
        <w:suppressLineNumbers/>
        <w:spacing w:line="240" w:lineRule="auto"/>
        <w:ind w:right="-2"/>
        <w:rPr>
          <w:szCs w:val="22"/>
          <w:lang w:val="lt-LT"/>
        </w:rPr>
      </w:pPr>
    </w:p>
    <w:p w14:paraId="07FA0D1B" w14:textId="6CFD339C" w:rsidR="00F51FBD" w:rsidRPr="00900CEC" w:rsidRDefault="00F51FBD" w:rsidP="00F51FBD">
      <w:pPr>
        <w:suppressLineNumbers/>
        <w:spacing w:line="240" w:lineRule="auto"/>
        <w:ind w:right="-2"/>
        <w:rPr>
          <w:iCs/>
          <w:szCs w:val="22"/>
          <w:u w:val="single"/>
          <w:lang w:val="lt-LT"/>
        </w:rPr>
      </w:pPr>
      <w:r>
        <w:rPr>
          <w:b/>
          <w:iCs/>
          <w:szCs w:val="22"/>
          <w:lang w:val="lt-LT"/>
        </w:rPr>
        <w:t>2</w:t>
      </w:r>
      <w:r w:rsidR="00ED09BD">
        <w:rPr>
          <w:b/>
          <w:iCs/>
          <w:szCs w:val="22"/>
          <w:lang w:val="lt-LT"/>
        </w:rPr>
        <w:t> </w:t>
      </w:r>
      <w:r w:rsidRPr="00900CEC">
        <w:rPr>
          <w:b/>
          <w:iCs/>
          <w:szCs w:val="22"/>
          <w:lang w:val="lt-LT"/>
        </w:rPr>
        <w:t>lentelė. Vidutiniai (SN) paracetamolio ir ibuprofeno farmakokinetikos rodikliai kiekvienoje gydymo grupėje.</w:t>
      </w:r>
    </w:p>
    <w:tbl>
      <w:tblPr>
        <w:tblW w:w="9067" w:type="dxa"/>
        <w:tblBorders>
          <w:top w:val="single" w:sz="12" w:space="0" w:color="BFBFBF" w:themeColor="background1" w:themeShade="BF"/>
          <w:left w:val="dotted" w:sz="4" w:space="0" w:color="auto"/>
          <w:bottom w:val="single" w:sz="12" w:space="0" w:color="BFBFBF" w:themeColor="background1" w:themeShade="BF"/>
          <w:right w:val="dotted" w:sz="4" w:space="0" w:color="auto"/>
          <w:insideV w:val="dotted" w:sz="4" w:space="0" w:color="auto"/>
        </w:tblBorders>
        <w:tblLayout w:type="fixed"/>
        <w:tblLook w:val="04A0" w:firstRow="1" w:lastRow="0" w:firstColumn="1" w:lastColumn="0" w:noHBand="0" w:noVBand="1"/>
      </w:tblPr>
      <w:tblGrid>
        <w:gridCol w:w="1838"/>
        <w:gridCol w:w="1937"/>
        <w:gridCol w:w="1937"/>
        <w:gridCol w:w="1938"/>
        <w:gridCol w:w="1417"/>
      </w:tblGrid>
      <w:tr w:rsidR="00F51FBD" w:rsidRPr="00900CEC" w14:paraId="314DB950" w14:textId="77777777" w:rsidTr="00163471">
        <w:trPr>
          <w:trHeight w:val="358"/>
        </w:trPr>
        <w:tc>
          <w:tcPr>
            <w:tcW w:w="1838" w:type="dxa"/>
            <w:tcBorders>
              <w:bottom w:val="single" w:sz="12" w:space="0" w:color="BFBFBF" w:themeColor="background1" w:themeShade="BF"/>
            </w:tcBorders>
            <w:vAlign w:val="center"/>
          </w:tcPr>
          <w:p w14:paraId="1ED57417" w14:textId="77777777" w:rsidR="00F51FBD" w:rsidRPr="00900CEC" w:rsidRDefault="00F51FBD" w:rsidP="00163471">
            <w:pPr>
              <w:pStyle w:val="Betarp"/>
              <w:rPr>
                <w:rFonts w:ascii="Times New Roman" w:hAnsi="Times New Roman" w:cs="Times New Roman"/>
                <w:sz w:val="20"/>
                <w:szCs w:val="20"/>
                <w:lang w:val="lt-LT" w:eastAsia="en-NZ"/>
              </w:rPr>
            </w:pPr>
          </w:p>
        </w:tc>
        <w:tc>
          <w:tcPr>
            <w:tcW w:w="7229" w:type="dxa"/>
            <w:gridSpan w:val="4"/>
            <w:tcBorders>
              <w:bottom w:val="single" w:sz="12" w:space="0" w:color="BFBFBF" w:themeColor="background1" w:themeShade="BF"/>
            </w:tcBorders>
            <w:noWrap/>
            <w:vAlign w:val="center"/>
          </w:tcPr>
          <w:p w14:paraId="7DD3616E" w14:textId="77777777" w:rsidR="00F51FBD" w:rsidRPr="00900CEC" w:rsidRDefault="00F51FBD" w:rsidP="00163471">
            <w:pPr>
              <w:pStyle w:val="Betarp"/>
              <w:jc w:val="center"/>
              <w:rPr>
                <w:rFonts w:ascii="Times New Roman" w:hAnsi="Times New Roman" w:cs="Times New Roman"/>
                <w:b/>
                <w:sz w:val="20"/>
                <w:szCs w:val="20"/>
                <w:lang w:val="lt-LT" w:eastAsia="en-NZ"/>
              </w:rPr>
            </w:pPr>
            <w:r w:rsidRPr="00900CEC">
              <w:rPr>
                <w:rFonts w:ascii="Times New Roman" w:hAnsi="Times New Roman" w:cs="Times New Roman"/>
                <w:b/>
                <w:sz w:val="20"/>
                <w:szCs w:val="20"/>
                <w:lang w:val="lt-LT" w:eastAsia="en-NZ"/>
              </w:rPr>
              <w:t xml:space="preserve">Gydymas (Vidurkis </w:t>
            </w:r>
            <w:r w:rsidRPr="00900CEC">
              <w:rPr>
                <w:rFonts w:ascii="Times New Roman" w:hAnsi="Times New Roman" w:cs="Times New Roman"/>
                <w:b/>
                <w:sz w:val="20"/>
                <w:szCs w:val="20"/>
                <w:lang w:val="lt-LT" w:eastAsia="en-GB"/>
              </w:rPr>
              <w:t>± SN)</w:t>
            </w:r>
          </w:p>
        </w:tc>
      </w:tr>
      <w:tr w:rsidR="00F51FBD" w:rsidRPr="003009EE" w14:paraId="42483388" w14:textId="77777777" w:rsidTr="00163471">
        <w:trPr>
          <w:trHeight w:val="759"/>
        </w:trPr>
        <w:tc>
          <w:tcPr>
            <w:tcW w:w="1838" w:type="dxa"/>
            <w:tcBorders>
              <w:top w:val="single" w:sz="12" w:space="0" w:color="BFBFBF" w:themeColor="background1" w:themeShade="BF"/>
              <w:bottom w:val="single" w:sz="12" w:space="0" w:color="BFBFBF" w:themeColor="background1" w:themeShade="BF"/>
            </w:tcBorders>
            <w:vAlign w:val="center"/>
            <w:hideMark/>
          </w:tcPr>
          <w:p w14:paraId="0DCB11C0" w14:textId="77777777" w:rsidR="00F51FBD" w:rsidRPr="00900CEC" w:rsidRDefault="00F51FBD" w:rsidP="00163471">
            <w:pPr>
              <w:pStyle w:val="Betarp"/>
              <w:rPr>
                <w:rFonts w:ascii="Times New Roman" w:hAnsi="Times New Roman" w:cs="Times New Roman"/>
                <w:i/>
                <w:sz w:val="20"/>
                <w:szCs w:val="20"/>
                <w:lang w:val="lt-LT" w:eastAsia="en-NZ"/>
              </w:rPr>
            </w:pPr>
            <w:r w:rsidRPr="00900CEC">
              <w:rPr>
                <w:rFonts w:ascii="Times New Roman" w:hAnsi="Times New Roman" w:cs="Times New Roman"/>
                <w:i/>
                <w:sz w:val="20"/>
                <w:szCs w:val="20"/>
                <w:lang w:val="lt-LT" w:eastAsia="en-NZ"/>
              </w:rPr>
              <w:t>Paracetamolis</w:t>
            </w:r>
          </w:p>
        </w:tc>
        <w:tc>
          <w:tcPr>
            <w:tcW w:w="1937" w:type="dxa"/>
            <w:tcBorders>
              <w:top w:val="single" w:sz="12" w:space="0" w:color="BFBFBF" w:themeColor="background1" w:themeShade="BF"/>
              <w:bottom w:val="single" w:sz="12" w:space="0" w:color="BFBFBF" w:themeColor="background1" w:themeShade="BF"/>
            </w:tcBorders>
            <w:noWrap/>
            <w:vAlign w:val="center"/>
            <w:hideMark/>
          </w:tcPr>
          <w:p w14:paraId="0FD7B3B8" w14:textId="35F9002B" w:rsidR="00F51FBD" w:rsidRPr="00E06461" w:rsidRDefault="006F5942" w:rsidP="00163471">
            <w:pPr>
              <w:pStyle w:val="Betarp"/>
              <w:ind w:left="-108" w:right="-108"/>
              <w:jc w:val="center"/>
              <w:rPr>
                <w:rFonts w:ascii="Times New Roman" w:hAnsi="Times New Roman" w:cs="Times New Roman"/>
                <w:b/>
                <w:sz w:val="20"/>
                <w:lang w:val="lt-LT" w:eastAsia="en-NZ"/>
              </w:rPr>
            </w:pPr>
            <w:proofErr w:type="spellStart"/>
            <w:r w:rsidRPr="006F5942">
              <w:rPr>
                <w:rFonts w:ascii="Times New Roman" w:hAnsi="Times New Roman" w:cs="Times New Roman"/>
                <w:b/>
                <w:sz w:val="20"/>
                <w:lang w:val="lt-LT" w:eastAsia="en-NZ"/>
              </w:rPr>
              <w:t>Paracetamol</w:t>
            </w:r>
            <w:proofErr w:type="spellEnd"/>
            <w:r w:rsidRPr="006F5942">
              <w:rPr>
                <w:rFonts w:ascii="Times New Roman" w:hAnsi="Times New Roman" w:cs="Times New Roman"/>
                <w:b/>
                <w:sz w:val="20"/>
                <w:lang w:val="lt-LT" w:eastAsia="en-NZ"/>
              </w:rPr>
              <w:t>/</w:t>
            </w:r>
            <w:proofErr w:type="spellStart"/>
            <w:r w:rsidRPr="006F5942">
              <w:rPr>
                <w:rFonts w:ascii="Times New Roman" w:hAnsi="Times New Roman" w:cs="Times New Roman"/>
                <w:b/>
                <w:sz w:val="20"/>
                <w:lang w:val="lt-LT" w:eastAsia="en-NZ"/>
              </w:rPr>
              <w:t>Ibuprofen</w:t>
            </w:r>
            <w:proofErr w:type="spellEnd"/>
            <w:r w:rsidRPr="006F5942">
              <w:rPr>
                <w:rFonts w:ascii="Times New Roman" w:hAnsi="Times New Roman" w:cs="Times New Roman"/>
                <w:b/>
                <w:sz w:val="20"/>
                <w:lang w:val="lt-LT" w:eastAsia="en-NZ"/>
              </w:rPr>
              <w:t xml:space="preserve"> AFT </w:t>
            </w:r>
            <w:proofErr w:type="spellStart"/>
            <w:r w:rsidRPr="006F5942">
              <w:rPr>
                <w:rFonts w:ascii="Times New Roman" w:hAnsi="Times New Roman" w:cs="Times New Roman"/>
                <w:b/>
                <w:sz w:val="20"/>
                <w:lang w:val="lt-LT" w:eastAsia="en-NZ"/>
              </w:rPr>
              <w:t>Pharmaceuticals</w:t>
            </w:r>
            <w:proofErr w:type="spellEnd"/>
          </w:p>
          <w:p w14:paraId="61165EED" w14:textId="2C88502F" w:rsidR="00F51FBD" w:rsidRPr="00900CEC" w:rsidRDefault="00F51FBD" w:rsidP="00163471">
            <w:pPr>
              <w:pStyle w:val="Betarp"/>
              <w:ind w:left="-108" w:right="-108"/>
              <w:jc w:val="center"/>
              <w:rPr>
                <w:rFonts w:ascii="Times New Roman" w:hAnsi="Times New Roman" w:cs="Times New Roman"/>
                <w:b/>
                <w:sz w:val="20"/>
                <w:szCs w:val="20"/>
                <w:lang w:val="lt-LT" w:eastAsia="en-NZ"/>
              </w:rPr>
            </w:pPr>
            <w:proofErr w:type="spellStart"/>
            <w:r w:rsidRPr="00900CEC">
              <w:rPr>
                <w:rFonts w:ascii="Times New Roman" w:hAnsi="Times New Roman" w:cs="Times New Roman"/>
                <w:b/>
                <w:sz w:val="20"/>
                <w:szCs w:val="20"/>
                <w:lang w:val="lt-LT" w:eastAsia="en-NZ"/>
              </w:rPr>
              <w:t>i.v</w:t>
            </w:r>
            <w:proofErr w:type="spellEnd"/>
            <w:r w:rsidRPr="00900CEC">
              <w:rPr>
                <w:rFonts w:ascii="Times New Roman" w:hAnsi="Times New Roman" w:cs="Times New Roman"/>
                <w:b/>
                <w:sz w:val="20"/>
                <w:szCs w:val="20"/>
                <w:lang w:val="lt-LT" w:eastAsia="en-NZ"/>
              </w:rPr>
              <w:t>. infuzija, 15</w:t>
            </w:r>
            <w:r w:rsidR="00ED09BD">
              <w:rPr>
                <w:rFonts w:ascii="Times New Roman" w:hAnsi="Times New Roman" w:cs="Times New Roman"/>
                <w:b/>
                <w:sz w:val="20"/>
                <w:szCs w:val="20"/>
                <w:lang w:val="lt-LT" w:eastAsia="en-NZ"/>
              </w:rPr>
              <w:t> </w:t>
            </w:r>
            <w:r w:rsidRPr="00900CEC">
              <w:rPr>
                <w:rFonts w:ascii="Times New Roman" w:hAnsi="Times New Roman" w:cs="Times New Roman"/>
                <w:b/>
                <w:sz w:val="20"/>
                <w:szCs w:val="20"/>
                <w:lang w:val="lt-LT" w:eastAsia="en-NZ"/>
              </w:rPr>
              <w:t>min.</w:t>
            </w:r>
          </w:p>
        </w:tc>
        <w:tc>
          <w:tcPr>
            <w:tcW w:w="1937" w:type="dxa"/>
            <w:tcBorders>
              <w:top w:val="single" w:sz="12" w:space="0" w:color="BFBFBF" w:themeColor="background1" w:themeShade="BF"/>
              <w:bottom w:val="single" w:sz="12" w:space="0" w:color="BFBFBF" w:themeColor="background1" w:themeShade="BF"/>
            </w:tcBorders>
            <w:noWrap/>
            <w:vAlign w:val="center"/>
            <w:hideMark/>
          </w:tcPr>
          <w:p w14:paraId="32449612" w14:textId="77777777" w:rsidR="00F51FBD" w:rsidRPr="00900CEC" w:rsidRDefault="00F51FBD" w:rsidP="00163471">
            <w:pPr>
              <w:pStyle w:val="Betarp"/>
              <w:ind w:left="-108" w:right="-108"/>
              <w:jc w:val="center"/>
              <w:rPr>
                <w:rFonts w:ascii="Times New Roman" w:hAnsi="Times New Roman" w:cs="Times New Roman"/>
                <w:b/>
                <w:sz w:val="20"/>
                <w:szCs w:val="20"/>
                <w:lang w:val="lt-LT" w:eastAsia="en-NZ"/>
              </w:rPr>
            </w:pPr>
            <w:proofErr w:type="spellStart"/>
            <w:r w:rsidRPr="00900CEC">
              <w:rPr>
                <w:rFonts w:ascii="Times New Roman" w:hAnsi="Times New Roman" w:cs="Times New Roman"/>
                <w:b/>
                <w:sz w:val="20"/>
                <w:szCs w:val="20"/>
                <w:lang w:val="lt-LT" w:eastAsia="en-NZ"/>
              </w:rPr>
              <w:t>Paracetamolis</w:t>
            </w:r>
            <w:proofErr w:type="spellEnd"/>
            <w:r w:rsidRPr="00900CEC">
              <w:rPr>
                <w:rFonts w:ascii="Times New Roman" w:hAnsi="Times New Roman" w:cs="Times New Roman"/>
                <w:b/>
                <w:sz w:val="20"/>
                <w:szCs w:val="20"/>
                <w:lang w:val="lt-LT" w:eastAsia="en-NZ"/>
              </w:rPr>
              <w:t xml:space="preserve"> </w:t>
            </w:r>
            <w:proofErr w:type="spellStart"/>
            <w:r w:rsidRPr="00900CEC">
              <w:rPr>
                <w:rFonts w:ascii="Times New Roman" w:hAnsi="Times New Roman" w:cs="Times New Roman"/>
                <w:b/>
                <w:sz w:val="20"/>
                <w:szCs w:val="20"/>
                <w:lang w:val="lt-LT" w:eastAsia="en-NZ"/>
              </w:rPr>
              <w:t>i.v</w:t>
            </w:r>
            <w:proofErr w:type="spellEnd"/>
            <w:r w:rsidRPr="00900CEC">
              <w:rPr>
                <w:rFonts w:ascii="Times New Roman" w:hAnsi="Times New Roman" w:cs="Times New Roman"/>
                <w:b/>
                <w:sz w:val="20"/>
                <w:szCs w:val="20"/>
                <w:lang w:val="lt-LT" w:eastAsia="en-NZ"/>
              </w:rPr>
              <w:t>.</w:t>
            </w:r>
          </w:p>
          <w:p w14:paraId="0C3E0091" w14:textId="0478D765" w:rsidR="00F51FBD" w:rsidRPr="00900CEC" w:rsidRDefault="00F51FBD" w:rsidP="00163471">
            <w:pPr>
              <w:pStyle w:val="Betarp"/>
              <w:ind w:left="-108" w:right="-108"/>
              <w:jc w:val="center"/>
              <w:rPr>
                <w:rFonts w:ascii="Times New Roman" w:hAnsi="Times New Roman" w:cs="Times New Roman"/>
                <w:b/>
                <w:sz w:val="20"/>
                <w:szCs w:val="20"/>
                <w:lang w:val="lt-LT" w:eastAsia="en-NZ"/>
              </w:rPr>
            </w:pPr>
            <w:proofErr w:type="spellStart"/>
            <w:r w:rsidRPr="00900CEC">
              <w:rPr>
                <w:rFonts w:ascii="Times New Roman" w:hAnsi="Times New Roman" w:cs="Times New Roman"/>
                <w:b/>
                <w:sz w:val="20"/>
                <w:szCs w:val="20"/>
                <w:lang w:val="lt-LT" w:eastAsia="en-NZ"/>
              </w:rPr>
              <w:t>i.v</w:t>
            </w:r>
            <w:proofErr w:type="spellEnd"/>
            <w:r w:rsidRPr="00900CEC">
              <w:rPr>
                <w:rFonts w:ascii="Times New Roman" w:hAnsi="Times New Roman" w:cs="Times New Roman"/>
                <w:b/>
                <w:sz w:val="20"/>
                <w:szCs w:val="20"/>
                <w:lang w:val="lt-LT" w:eastAsia="en-NZ"/>
              </w:rPr>
              <w:t>. infuzija, 15</w:t>
            </w:r>
            <w:r w:rsidR="00ED09BD">
              <w:rPr>
                <w:rFonts w:ascii="Times New Roman" w:hAnsi="Times New Roman" w:cs="Times New Roman"/>
                <w:b/>
                <w:sz w:val="20"/>
                <w:szCs w:val="20"/>
                <w:lang w:val="lt-LT" w:eastAsia="en-NZ"/>
              </w:rPr>
              <w:t> </w:t>
            </w:r>
            <w:r w:rsidRPr="00900CEC">
              <w:rPr>
                <w:rFonts w:ascii="Times New Roman" w:hAnsi="Times New Roman" w:cs="Times New Roman"/>
                <w:b/>
                <w:sz w:val="20"/>
                <w:szCs w:val="20"/>
                <w:lang w:val="lt-LT" w:eastAsia="en-NZ"/>
              </w:rPr>
              <w:t>min.</w:t>
            </w:r>
          </w:p>
        </w:tc>
        <w:tc>
          <w:tcPr>
            <w:tcW w:w="1938" w:type="dxa"/>
            <w:tcBorders>
              <w:top w:val="single" w:sz="12" w:space="0" w:color="BFBFBF" w:themeColor="background1" w:themeShade="BF"/>
              <w:bottom w:val="single" w:sz="12" w:space="0" w:color="BFBFBF" w:themeColor="background1" w:themeShade="BF"/>
            </w:tcBorders>
            <w:noWrap/>
            <w:vAlign w:val="center"/>
            <w:hideMark/>
          </w:tcPr>
          <w:p w14:paraId="758B205B" w14:textId="2A43563E" w:rsidR="00F51FBD" w:rsidRPr="00E06461" w:rsidRDefault="006F5942" w:rsidP="00163471">
            <w:pPr>
              <w:pStyle w:val="Betarp"/>
              <w:ind w:left="-108" w:right="-107"/>
              <w:jc w:val="center"/>
              <w:rPr>
                <w:rFonts w:ascii="Times New Roman" w:hAnsi="Times New Roman" w:cs="Times New Roman"/>
                <w:b/>
                <w:sz w:val="20"/>
                <w:lang w:val="lt-LT" w:eastAsia="en-NZ"/>
              </w:rPr>
            </w:pPr>
            <w:proofErr w:type="spellStart"/>
            <w:r w:rsidRPr="006F5942">
              <w:rPr>
                <w:rFonts w:ascii="Times New Roman" w:hAnsi="Times New Roman" w:cs="Times New Roman"/>
                <w:b/>
                <w:sz w:val="20"/>
                <w:lang w:val="lt-LT" w:eastAsia="en-NZ"/>
              </w:rPr>
              <w:t>Paracetamol</w:t>
            </w:r>
            <w:proofErr w:type="spellEnd"/>
            <w:r w:rsidRPr="006F5942">
              <w:rPr>
                <w:rFonts w:ascii="Times New Roman" w:hAnsi="Times New Roman" w:cs="Times New Roman"/>
                <w:b/>
                <w:sz w:val="20"/>
                <w:lang w:val="lt-LT" w:eastAsia="en-NZ"/>
              </w:rPr>
              <w:t>/</w:t>
            </w:r>
            <w:proofErr w:type="spellStart"/>
            <w:r w:rsidRPr="006F5942">
              <w:rPr>
                <w:rFonts w:ascii="Times New Roman" w:hAnsi="Times New Roman" w:cs="Times New Roman"/>
                <w:b/>
                <w:sz w:val="20"/>
                <w:lang w:val="lt-LT" w:eastAsia="en-NZ"/>
              </w:rPr>
              <w:t>Ibuprofen</w:t>
            </w:r>
            <w:proofErr w:type="spellEnd"/>
            <w:r w:rsidRPr="006F5942">
              <w:rPr>
                <w:rFonts w:ascii="Times New Roman" w:hAnsi="Times New Roman" w:cs="Times New Roman"/>
                <w:b/>
                <w:sz w:val="20"/>
                <w:lang w:val="lt-LT" w:eastAsia="en-NZ"/>
              </w:rPr>
              <w:t xml:space="preserve"> AFT </w:t>
            </w:r>
            <w:proofErr w:type="spellStart"/>
            <w:r w:rsidRPr="006F5942">
              <w:rPr>
                <w:rFonts w:ascii="Times New Roman" w:hAnsi="Times New Roman" w:cs="Times New Roman"/>
                <w:b/>
                <w:sz w:val="20"/>
                <w:lang w:val="lt-LT" w:eastAsia="en-NZ"/>
              </w:rPr>
              <w:t>Pharmaceuticals</w:t>
            </w:r>
            <w:proofErr w:type="spellEnd"/>
          </w:p>
          <w:p w14:paraId="75652CEE" w14:textId="77777777" w:rsidR="00F51FBD" w:rsidRPr="00900CEC" w:rsidRDefault="00F51FBD" w:rsidP="00163471">
            <w:pPr>
              <w:pStyle w:val="Betarp"/>
              <w:ind w:left="-108" w:right="-107"/>
              <w:jc w:val="center"/>
              <w:rPr>
                <w:rFonts w:ascii="Times New Roman" w:hAnsi="Times New Roman" w:cs="Times New Roman"/>
                <w:b/>
                <w:sz w:val="20"/>
                <w:szCs w:val="20"/>
                <w:lang w:val="lt-LT" w:eastAsia="en-NZ"/>
              </w:rPr>
            </w:pPr>
            <w:r w:rsidRPr="00900CEC">
              <w:rPr>
                <w:rFonts w:ascii="Times New Roman" w:hAnsi="Times New Roman" w:cs="Times New Roman"/>
                <w:b/>
                <w:sz w:val="20"/>
                <w:szCs w:val="20"/>
                <w:lang w:val="lt-LT" w:eastAsia="en-NZ"/>
              </w:rPr>
              <w:t>pusė dozės</w:t>
            </w:r>
          </w:p>
          <w:p w14:paraId="457999A0" w14:textId="745056E5" w:rsidR="00F51FBD" w:rsidRPr="00900CEC" w:rsidRDefault="00F51FBD" w:rsidP="00163471">
            <w:pPr>
              <w:pStyle w:val="Betarp"/>
              <w:ind w:left="-108" w:right="-107"/>
              <w:jc w:val="center"/>
              <w:rPr>
                <w:rFonts w:ascii="Times New Roman" w:hAnsi="Times New Roman" w:cs="Times New Roman"/>
                <w:b/>
                <w:sz w:val="20"/>
                <w:szCs w:val="20"/>
                <w:lang w:val="lt-LT" w:eastAsia="en-NZ"/>
              </w:rPr>
            </w:pPr>
            <w:proofErr w:type="spellStart"/>
            <w:r w:rsidRPr="00900CEC">
              <w:rPr>
                <w:rFonts w:ascii="Times New Roman" w:hAnsi="Times New Roman" w:cs="Times New Roman"/>
                <w:b/>
                <w:sz w:val="20"/>
                <w:szCs w:val="20"/>
                <w:lang w:val="lt-LT" w:eastAsia="en-NZ"/>
              </w:rPr>
              <w:t>i.v</w:t>
            </w:r>
            <w:proofErr w:type="spellEnd"/>
            <w:r w:rsidRPr="00900CEC">
              <w:rPr>
                <w:rFonts w:ascii="Times New Roman" w:hAnsi="Times New Roman" w:cs="Times New Roman"/>
                <w:b/>
                <w:sz w:val="20"/>
                <w:szCs w:val="20"/>
                <w:lang w:val="lt-LT" w:eastAsia="en-NZ"/>
              </w:rPr>
              <w:t>. infuzija, 15</w:t>
            </w:r>
            <w:r w:rsidR="00ED09BD">
              <w:rPr>
                <w:rFonts w:ascii="Times New Roman" w:hAnsi="Times New Roman" w:cs="Times New Roman"/>
                <w:b/>
                <w:sz w:val="20"/>
                <w:szCs w:val="20"/>
                <w:lang w:val="lt-LT" w:eastAsia="en-NZ"/>
              </w:rPr>
              <w:t> </w:t>
            </w:r>
            <w:r w:rsidRPr="00900CEC">
              <w:rPr>
                <w:rFonts w:ascii="Times New Roman" w:hAnsi="Times New Roman" w:cs="Times New Roman"/>
                <w:b/>
                <w:sz w:val="20"/>
                <w:szCs w:val="20"/>
                <w:lang w:val="lt-LT" w:eastAsia="en-NZ"/>
              </w:rPr>
              <w:t>min.</w:t>
            </w:r>
          </w:p>
        </w:tc>
        <w:tc>
          <w:tcPr>
            <w:tcW w:w="1417" w:type="dxa"/>
            <w:tcBorders>
              <w:top w:val="single" w:sz="12" w:space="0" w:color="BFBFBF" w:themeColor="background1" w:themeShade="BF"/>
              <w:bottom w:val="single" w:sz="12" w:space="0" w:color="BFBFBF" w:themeColor="background1" w:themeShade="BF"/>
            </w:tcBorders>
            <w:noWrap/>
            <w:vAlign w:val="center"/>
            <w:hideMark/>
          </w:tcPr>
          <w:p w14:paraId="65077001" w14:textId="77777777" w:rsidR="00F51FBD" w:rsidRPr="00900CEC" w:rsidRDefault="00F51FBD" w:rsidP="00163471">
            <w:pPr>
              <w:pStyle w:val="Betarp"/>
              <w:jc w:val="center"/>
              <w:rPr>
                <w:rFonts w:ascii="Times New Roman" w:hAnsi="Times New Roman" w:cs="Times New Roman"/>
                <w:b/>
                <w:sz w:val="20"/>
                <w:szCs w:val="20"/>
                <w:lang w:val="lt-LT" w:eastAsia="en-NZ"/>
              </w:rPr>
            </w:pPr>
            <w:r w:rsidRPr="003C5173">
              <w:rPr>
                <w:rFonts w:ascii="Times New Roman" w:hAnsi="Times New Roman" w:cs="Times New Roman"/>
                <w:b/>
                <w:iCs/>
                <w:sz w:val="20"/>
                <w:szCs w:val="20"/>
                <w:lang w:val="lt-LT" w:eastAsia="en-NZ"/>
              </w:rPr>
              <w:t>paracetamolio/ibuprofeno</w:t>
            </w:r>
            <w:r w:rsidRPr="00900CEC">
              <w:rPr>
                <w:rFonts w:ascii="Times New Roman" w:hAnsi="Times New Roman" w:cs="Times New Roman"/>
                <w:b/>
                <w:sz w:val="20"/>
                <w:szCs w:val="20"/>
                <w:lang w:val="lt-LT" w:eastAsia="en-NZ"/>
              </w:rPr>
              <w:t xml:space="preserve"> tabletės</w:t>
            </w:r>
          </w:p>
          <w:p w14:paraId="6960D13E" w14:textId="77777777" w:rsidR="00F51FBD" w:rsidRPr="00900CEC" w:rsidRDefault="00F51FBD" w:rsidP="00163471">
            <w:pPr>
              <w:pStyle w:val="Betarp"/>
              <w:jc w:val="center"/>
              <w:rPr>
                <w:rFonts w:ascii="Times New Roman" w:hAnsi="Times New Roman" w:cs="Times New Roman"/>
                <w:b/>
                <w:sz w:val="20"/>
                <w:szCs w:val="20"/>
                <w:lang w:val="lt-LT" w:eastAsia="en-NZ"/>
              </w:rPr>
            </w:pPr>
            <w:r w:rsidRPr="00900CEC">
              <w:rPr>
                <w:rFonts w:ascii="Times New Roman" w:hAnsi="Times New Roman" w:cs="Times New Roman"/>
                <w:b/>
                <w:sz w:val="20"/>
                <w:szCs w:val="20"/>
                <w:lang w:val="lt-LT" w:eastAsia="en-NZ"/>
              </w:rPr>
              <w:t>geriamoji tabletė</w:t>
            </w:r>
          </w:p>
        </w:tc>
      </w:tr>
      <w:tr w:rsidR="00F47B80" w:rsidRPr="00900CEC" w14:paraId="5AC27EB0" w14:textId="77777777" w:rsidTr="00163471">
        <w:trPr>
          <w:trHeight w:val="483"/>
        </w:trPr>
        <w:tc>
          <w:tcPr>
            <w:tcW w:w="1838" w:type="dxa"/>
            <w:tcBorders>
              <w:top w:val="single" w:sz="12" w:space="0" w:color="BFBFBF" w:themeColor="background1" w:themeShade="BF"/>
            </w:tcBorders>
            <w:noWrap/>
            <w:vAlign w:val="center"/>
            <w:hideMark/>
          </w:tcPr>
          <w:p w14:paraId="66EDB37B" w14:textId="77777777" w:rsidR="00F47B80" w:rsidRPr="00900CEC" w:rsidRDefault="00F47B80" w:rsidP="00F47B80">
            <w:pPr>
              <w:pStyle w:val="Betarp"/>
              <w:rPr>
                <w:rFonts w:ascii="Times New Roman" w:hAnsi="Times New Roman" w:cs="Times New Roman"/>
                <w:sz w:val="20"/>
                <w:szCs w:val="20"/>
                <w:lang w:val="lt-LT" w:eastAsia="en-NZ"/>
              </w:rPr>
            </w:pPr>
            <w:proofErr w:type="spellStart"/>
            <w:r w:rsidRPr="00900CEC">
              <w:rPr>
                <w:rFonts w:ascii="Times New Roman" w:hAnsi="Times New Roman" w:cs="Times New Roman"/>
                <w:sz w:val="20"/>
                <w:szCs w:val="20"/>
                <w:lang w:val="lt-LT" w:eastAsia="en-NZ"/>
              </w:rPr>
              <w:t>C</w:t>
            </w:r>
            <w:r w:rsidRPr="00900CEC">
              <w:rPr>
                <w:rFonts w:ascii="Times New Roman" w:hAnsi="Times New Roman" w:cs="Times New Roman"/>
                <w:sz w:val="20"/>
                <w:szCs w:val="20"/>
                <w:vertAlign w:val="subscript"/>
                <w:lang w:val="lt-LT" w:eastAsia="en-NZ"/>
              </w:rPr>
              <w:t>max</w:t>
            </w:r>
            <w:proofErr w:type="spellEnd"/>
            <w:r w:rsidRPr="00900CEC">
              <w:rPr>
                <w:rFonts w:ascii="Times New Roman" w:hAnsi="Times New Roman" w:cs="Times New Roman"/>
                <w:sz w:val="20"/>
                <w:szCs w:val="20"/>
                <w:vertAlign w:val="subscript"/>
                <w:lang w:val="lt-LT" w:eastAsia="en-NZ"/>
              </w:rPr>
              <w:t xml:space="preserve"> </w:t>
            </w:r>
            <w:r w:rsidRPr="00900CEC">
              <w:rPr>
                <w:rFonts w:ascii="Times New Roman" w:hAnsi="Times New Roman" w:cs="Times New Roman"/>
                <w:sz w:val="20"/>
                <w:szCs w:val="20"/>
                <w:lang w:val="lt-LT" w:eastAsia="en-NZ"/>
              </w:rPr>
              <w:t>(</w:t>
            </w:r>
            <w:proofErr w:type="spellStart"/>
            <w:r w:rsidRPr="00900CEC">
              <w:rPr>
                <w:rFonts w:ascii="Times New Roman" w:hAnsi="Times New Roman" w:cs="Times New Roman"/>
                <w:sz w:val="20"/>
                <w:szCs w:val="20"/>
                <w:lang w:val="lt-LT" w:eastAsia="en-NZ"/>
              </w:rPr>
              <w:t>ng</w:t>
            </w:r>
            <w:proofErr w:type="spellEnd"/>
            <w:r w:rsidRPr="00900CEC">
              <w:rPr>
                <w:rFonts w:ascii="Times New Roman" w:hAnsi="Times New Roman" w:cs="Times New Roman"/>
                <w:sz w:val="20"/>
                <w:szCs w:val="20"/>
                <w:lang w:val="lt-LT" w:eastAsia="en-NZ"/>
              </w:rPr>
              <w:t>/ml)</w:t>
            </w:r>
          </w:p>
        </w:tc>
        <w:tc>
          <w:tcPr>
            <w:tcW w:w="1937" w:type="dxa"/>
            <w:tcBorders>
              <w:top w:val="single" w:sz="12" w:space="0" w:color="BFBFBF" w:themeColor="background1" w:themeShade="BF"/>
            </w:tcBorders>
            <w:noWrap/>
            <w:vAlign w:val="center"/>
            <w:hideMark/>
          </w:tcPr>
          <w:p w14:paraId="029C301E" w14:textId="77777777" w:rsidR="00F47B80" w:rsidRPr="00ED27BA" w:rsidRDefault="00F47B80" w:rsidP="00F47B80">
            <w:pPr>
              <w:pStyle w:val="Betarp"/>
              <w:ind w:left="-108" w:right="-108"/>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26709,57</w:t>
            </w:r>
          </w:p>
          <w:p w14:paraId="7ABC16E0" w14:textId="49228F3E" w:rsidR="00F47B80" w:rsidRPr="00900CEC" w:rsidRDefault="00F47B80" w:rsidP="00F47B80">
            <w:pPr>
              <w:pStyle w:val="Betarp"/>
              <w:ind w:left="-108" w:right="-108"/>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w:t>
            </w:r>
            <w:r w:rsidRPr="001A2A8F">
              <w:rPr>
                <w:rFonts w:ascii="Times New Roman" w:hAnsi="Times New Roman" w:cs="Times New Roman"/>
                <w:iCs/>
                <w:lang w:val="lt-LT"/>
              </w:rPr>
              <w:t> </w:t>
            </w:r>
            <w:r w:rsidRPr="00ED27BA">
              <w:rPr>
                <w:rFonts w:ascii="Times New Roman" w:hAnsi="Times New Roman" w:cs="Times New Roman"/>
                <w:sz w:val="20"/>
                <w:szCs w:val="20"/>
                <w:lang w:val="lt-LT"/>
              </w:rPr>
              <w:t>5814,74</w:t>
            </w:r>
          </w:p>
        </w:tc>
        <w:tc>
          <w:tcPr>
            <w:tcW w:w="1937" w:type="dxa"/>
            <w:tcBorders>
              <w:top w:val="single" w:sz="12" w:space="0" w:color="BFBFBF" w:themeColor="background1" w:themeShade="BF"/>
            </w:tcBorders>
            <w:noWrap/>
            <w:vAlign w:val="center"/>
            <w:hideMark/>
          </w:tcPr>
          <w:p w14:paraId="1211FB75" w14:textId="77777777" w:rsidR="00F47B80" w:rsidRPr="00ED27BA" w:rsidRDefault="00F47B80" w:rsidP="00F47B80">
            <w:pPr>
              <w:pStyle w:val="Betarp"/>
              <w:ind w:left="-108" w:right="-108"/>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26236,06</w:t>
            </w:r>
          </w:p>
          <w:p w14:paraId="07318185" w14:textId="4DDE27B2" w:rsidR="00F47B80" w:rsidRPr="00900CEC" w:rsidRDefault="00F47B80" w:rsidP="00F47B80">
            <w:pPr>
              <w:pStyle w:val="Betarp"/>
              <w:ind w:left="-108" w:right="-108"/>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w:t>
            </w:r>
            <w:r w:rsidRPr="001A2A8F">
              <w:rPr>
                <w:rFonts w:ascii="Times New Roman" w:hAnsi="Times New Roman" w:cs="Times New Roman"/>
                <w:iCs/>
                <w:lang w:val="lt-LT"/>
              </w:rPr>
              <w:t> </w:t>
            </w:r>
            <w:r w:rsidRPr="00ED27BA">
              <w:rPr>
                <w:rFonts w:ascii="Times New Roman" w:hAnsi="Times New Roman" w:cs="Times New Roman"/>
                <w:sz w:val="20"/>
                <w:szCs w:val="20"/>
                <w:lang w:val="lt-LT"/>
              </w:rPr>
              <w:t>5430,52</w:t>
            </w:r>
          </w:p>
        </w:tc>
        <w:tc>
          <w:tcPr>
            <w:tcW w:w="1938" w:type="dxa"/>
            <w:tcBorders>
              <w:top w:val="single" w:sz="12" w:space="0" w:color="BFBFBF" w:themeColor="background1" w:themeShade="BF"/>
            </w:tcBorders>
            <w:noWrap/>
            <w:vAlign w:val="center"/>
            <w:hideMark/>
          </w:tcPr>
          <w:p w14:paraId="01555C26" w14:textId="77777777" w:rsidR="00F47B80" w:rsidRPr="00ED27BA" w:rsidRDefault="00F47B80" w:rsidP="00F47B80">
            <w:pPr>
              <w:pStyle w:val="Betarp"/>
              <w:ind w:left="-108" w:right="-107"/>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12880,39</w:t>
            </w:r>
          </w:p>
          <w:p w14:paraId="3CE7BBDC" w14:textId="5EA5C043" w:rsidR="00F47B80" w:rsidRPr="00900CEC" w:rsidRDefault="00F47B80" w:rsidP="00F47B80">
            <w:pPr>
              <w:pStyle w:val="Betarp"/>
              <w:ind w:left="-108" w:right="-107"/>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rPr>
              <w:t>2553,15</w:t>
            </w:r>
          </w:p>
        </w:tc>
        <w:tc>
          <w:tcPr>
            <w:tcW w:w="1417" w:type="dxa"/>
            <w:tcBorders>
              <w:top w:val="single" w:sz="12" w:space="0" w:color="BFBFBF" w:themeColor="background1" w:themeShade="BF"/>
            </w:tcBorders>
            <w:noWrap/>
            <w:vAlign w:val="center"/>
            <w:hideMark/>
          </w:tcPr>
          <w:p w14:paraId="232B0AD9" w14:textId="77777777" w:rsidR="00F47B80" w:rsidRPr="00ED27BA" w:rsidRDefault="00F47B80" w:rsidP="00F47B80">
            <w:pPr>
              <w:pStyle w:val="Betarp"/>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14907,16</w:t>
            </w:r>
          </w:p>
          <w:p w14:paraId="3582173E" w14:textId="17CDBA10" w:rsidR="00F47B80" w:rsidRPr="00900CEC" w:rsidRDefault="00F47B80" w:rsidP="00F47B80">
            <w:pPr>
              <w:pStyle w:val="Betarp"/>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rPr>
              <w:t>6255,10</w:t>
            </w:r>
          </w:p>
        </w:tc>
      </w:tr>
      <w:tr w:rsidR="00F47B80" w:rsidRPr="00900CEC" w14:paraId="6EB8ADEC" w14:textId="77777777" w:rsidTr="00163471">
        <w:trPr>
          <w:trHeight w:val="542"/>
        </w:trPr>
        <w:tc>
          <w:tcPr>
            <w:tcW w:w="1838" w:type="dxa"/>
            <w:noWrap/>
            <w:vAlign w:val="center"/>
            <w:hideMark/>
          </w:tcPr>
          <w:p w14:paraId="7283059E" w14:textId="77777777" w:rsidR="00F47B80" w:rsidRPr="00900CEC" w:rsidRDefault="00F47B80" w:rsidP="00F47B80">
            <w:pPr>
              <w:pStyle w:val="Betarp"/>
              <w:rPr>
                <w:rFonts w:ascii="Times New Roman" w:hAnsi="Times New Roman" w:cs="Times New Roman"/>
                <w:sz w:val="20"/>
                <w:szCs w:val="20"/>
                <w:lang w:val="lt-LT" w:eastAsia="en-NZ"/>
              </w:rPr>
            </w:pPr>
            <w:r w:rsidRPr="00900CEC">
              <w:rPr>
                <w:rFonts w:ascii="Times New Roman" w:hAnsi="Times New Roman" w:cs="Times New Roman"/>
                <w:sz w:val="20"/>
                <w:szCs w:val="20"/>
                <w:lang w:val="lt-LT" w:eastAsia="en-NZ"/>
              </w:rPr>
              <w:t>AUC</w:t>
            </w:r>
            <w:r w:rsidRPr="00900CEC">
              <w:rPr>
                <w:rFonts w:ascii="Times New Roman" w:hAnsi="Times New Roman" w:cs="Times New Roman"/>
                <w:sz w:val="20"/>
                <w:szCs w:val="20"/>
                <w:vertAlign w:val="subscript"/>
                <w:lang w:val="lt-LT" w:eastAsia="en-NZ"/>
              </w:rPr>
              <w:t xml:space="preserve">0-t </w:t>
            </w:r>
            <w:r w:rsidRPr="00900CEC">
              <w:rPr>
                <w:rFonts w:ascii="Times New Roman" w:hAnsi="Times New Roman" w:cs="Times New Roman"/>
                <w:sz w:val="20"/>
                <w:szCs w:val="20"/>
                <w:lang w:val="lt-LT" w:eastAsia="en-NZ"/>
              </w:rPr>
              <w:t>(</w:t>
            </w:r>
            <w:proofErr w:type="spellStart"/>
            <w:r w:rsidRPr="00900CEC">
              <w:rPr>
                <w:rFonts w:ascii="Times New Roman" w:hAnsi="Times New Roman" w:cs="Times New Roman"/>
                <w:sz w:val="20"/>
                <w:szCs w:val="20"/>
                <w:lang w:val="lt-LT" w:eastAsia="en-NZ"/>
              </w:rPr>
              <w:t>ng.val</w:t>
            </w:r>
            <w:proofErr w:type="spellEnd"/>
            <w:r w:rsidRPr="00900CEC">
              <w:rPr>
                <w:rFonts w:ascii="Times New Roman" w:hAnsi="Times New Roman" w:cs="Times New Roman"/>
                <w:sz w:val="20"/>
                <w:szCs w:val="20"/>
                <w:lang w:val="lt-LT" w:eastAsia="en-NZ"/>
              </w:rPr>
              <w:t>./ml)</w:t>
            </w:r>
          </w:p>
        </w:tc>
        <w:tc>
          <w:tcPr>
            <w:tcW w:w="1937" w:type="dxa"/>
            <w:noWrap/>
            <w:vAlign w:val="center"/>
            <w:hideMark/>
          </w:tcPr>
          <w:p w14:paraId="04E7FD69" w14:textId="77777777" w:rsidR="00F47B80" w:rsidRPr="00ED27BA" w:rsidRDefault="00F47B80" w:rsidP="00F47B80">
            <w:pPr>
              <w:pStyle w:val="Betarp"/>
              <w:ind w:left="-108" w:right="-108"/>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37553,97</w:t>
            </w:r>
          </w:p>
          <w:p w14:paraId="47728E97" w14:textId="4A67A49F" w:rsidR="00F47B80" w:rsidRPr="00900CEC" w:rsidRDefault="00F47B80" w:rsidP="00F47B80">
            <w:pPr>
              <w:pStyle w:val="Betarp"/>
              <w:ind w:left="-108" w:right="-108"/>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rPr>
              <w:t>9816,96</w:t>
            </w:r>
          </w:p>
        </w:tc>
        <w:tc>
          <w:tcPr>
            <w:tcW w:w="1937" w:type="dxa"/>
            <w:noWrap/>
            <w:vAlign w:val="center"/>
            <w:hideMark/>
          </w:tcPr>
          <w:p w14:paraId="4FF22B29" w14:textId="77777777" w:rsidR="00F47B80" w:rsidRPr="00ED27BA" w:rsidRDefault="00F47B80" w:rsidP="00F47B80">
            <w:pPr>
              <w:pStyle w:val="Betarp"/>
              <w:ind w:left="-108" w:right="-108"/>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35846,20</w:t>
            </w:r>
          </w:p>
          <w:p w14:paraId="5B91CFF1" w14:textId="05233312" w:rsidR="00F47B80" w:rsidRPr="00900CEC" w:rsidRDefault="00F47B80" w:rsidP="00F47B80">
            <w:pPr>
              <w:pStyle w:val="Betarp"/>
              <w:ind w:left="-108" w:right="-108"/>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rPr>
              <w:t>8734,15</w:t>
            </w:r>
          </w:p>
        </w:tc>
        <w:tc>
          <w:tcPr>
            <w:tcW w:w="1938" w:type="dxa"/>
            <w:noWrap/>
            <w:vAlign w:val="center"/>
            <w:hideMark/>
          </w:tcPr>
          <w:p w14:paraId="1C3EE4B4" w14:textId="77777777" w:rsidR="00F47B80" w:rsidRPr="00ED27BA" w:rsidRDefault="00F47B80" w:rsidP="00F47B80">
            <w:pPr>
              <w:pStyle w:val="Betarp"/>
              <w:ind w:left="-108" w:right="-107"/>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18327,40</w:t>
            </w:r>
          </w:p>
          <w:p w14:paraId="41253EBA" w14:textId="326ADBB5" w:rsidR="00F47B80" w:rsidRPr="00900CEC" w:rsidRDefault="00F47B80" w:rsidP="00F47B80">
            <w:pPr>
              <w:pStyle w:val="Betarp"/>
              <w:ind w:left="-108" w:right="-107"/>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rPr>
              <w:t>4758,34</w:t>
            </w:r>
          </w:p>
        </w:tc>
        <w:tc>
          <w:tcPr>
            <w:tcW w:w="1417" w:type="dxa"/>
            <w:noWrap/>
            <w:vAlign w:val="center"/>
            <w:hideMark/>
          </w:tcPr>
          <w:p w14:paraId="7F04CC39" w14:textId="77777777" w:rsidR="00F47B80" w:rsidRPr="00ED27BA" w:rsidRDefault="00F47B80" w:rsidP="00F47B80">
            <w:pPr>
              <w:pStyle w:val="Betarp"/>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34980,80</w:t>
            </w:r>
          </w:p>
          <w:p w14:paraId="6BBA8CCE" w14:textId="487B8200" w:rsidR="00F47B80" w:rsidRPr="00900CEC" w:rsidRDefault="00F47B80" w:rsidP="00F47B80">
            <w:pPr>
              <w:pStyle w:val="Betarp"/>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rPr>
              <w:t>9430,21</w:t>
            </w:r>
          </w:p>
        </w:tc>
      </w:tr>
      <w:tr w:rsidR="00F47B80" w:rsidRPr="00900CEC" w14:paraId="72C7CA03" w14:textId="77777777" w:rsidTr="00163471">
        <w:trPr>
          <w:trHeight w:val="564"/>
        </w:trPr>
        <w:tc>
          <w:tcPr>
            <w:tcW w:w="1838" w:type="dxa"/>
            <w:noWrap/>
            <w:vAlign w:val="center"/>
            <w:hideMark/>
          </w:tcPr>
          <w:p w14:paraId="3DF536F0" w14:textId="77777777" w:rsidR="00F47B80" w:rsidRPr="00900CEC" w:rsidRDefault="00F47B80" w:rsidP="00F47B80">
            <w:pPr>
              <w:pStyle w:val="Betarp"/>
              <w:rPr>
                <w:rFonts w:ascii="Times New Roman" w:hAnsi="Times New Roman" w:cs="Times New Roman"/>
                <w:sz w:val="20"/>
                <w:szCs w:val="20"/>
                <w:lang w:val="lt-LT" w:eastAsia="en-NZ"/>
              </w:rPr>
            </w:pPr>
            <w:r w:rsidRPr="00900CEC">
              <w:rPr>
                <w:rFonts w:ascii="Times New Roman" w:hAnsi="Times New Roman" w:cs="Times New Roman"/>
                <w:sz w:val="20"/>
                <w:szCs w:val="20"/>
                <w:lang w:val="lt-LT" w:eastAsia="en-NZ"/>
              </w:rPr>
              <w:t>AUC</w:t>
            </w:r>
            <w:r w:rsidRPr="00900CEC">
              <w:rPr>
                <w:rFonts w:ascii="Times New Roman" w:hAnsi="Times New Roman" w:cs="Times New Roman"/>
                <w:sz w:val="20"/>
                <w:szCs w:val="20"/>
                <w:vertAlign w:val="subscript"/>
                <w:lang w:val="lt-LT" w:eastAsia="en-NZ"/>
              </w:rPr>
              <w:t>0-∞</w:t>
            </w:r>
            <w:r w:rsidRPr="00900CEC">
              <w:rPr>
                <w:rFonts w:ascii="Times New Roman" w:hAnsi="Times New Roman" w:cs="Times New Roman"/>
                <w:sz w:val="20"/>
                <w:szCs w:val="20"/>
                <w:lang w:val="lt-LT" w:eastAsia="en-NZ"/>
              </w:rPr>
              <w:t xml:space="preserve"> (</w:t>
            </w:r>
            <w:proofErr w:type="spellStart"/>
            <w:r w:rsidRPr="00900CEC">
              <w:rPr>
                <w:rFonts w:ascii="Times New Roman" w:hAnsi="Times New Roman" w:cs="Times New Roman"/>
                <w:sz w:val="20"/>
                <w:szCs w:val="20"/>
                <w:lang w:val="lt-LT" w:eastAsia="en-NZ"/>
              </w:rPr>
              <w:t>ng.val</w:t>
            </w:r>
            <w:proofErr w:type="spellEnd"/>
            <w:r w:rsidRPr="00900CEC">
              <w:rPr>
                <w:rFonts w:ascii="Times New Roman" w:hAnsi="Times New Roman" w:cs="Times New Roman"/>
                <w:sz w:val="20"/>
                <w:szCs w:val="20"/>
                <w:lang w:val="lt-LT" w:eastAsia="en-NZ"/>
              </w:rPr>
              <w:t>./ml)</w:t>
            </w:r>
          </w:p>
        </w:tc>
        <w:tc>
          <w:tcPr>
            <w:tcW w:w="1937" w:type="dxa"/>
            <w:noWrap/>
            <w:vAlign w:val="center"/>
            <w:hideMark/>
          </w:tcPr>
          <w:p w14:paraId="731E38F2" w14:textId="77777777" w:rsidR="00F47B80" w:rsidRPr="00ED27BA" w:rsidRDefault="00F47B80" w:rsidP="00F47B80">
            <w:pPr>
              <w:pStyle w:val="Betarp"/>
              <w:ind w:left="-108" w:right="-108"/>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39419,95</w:t>
            </w:r>
          </w:p>
          <w:p w14:paraId="31FEBF2F" w14:textId="45370C45" w:rsidR="00F47B80" w:rsidRPr="00900CEC" w:rsidRDefault="00F47B80" w:rsidP="00F47B80">
            <w:pPr>
              <w:pStyle w:val="Betarp"/>
              <w:ind w:left="-108" w:right="-108"/>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rPr>
              <w:t>10630,63</w:t>
            </w:r>
          </w:p>
        </w:tc>
        <w:tc>
          <w:tcPr>
            <w:tcW w:w="1937" w:type="dxa"/>
            <w:noWrap/>
            <w:vAlign w:val="center"/>
            <w:hideMark/>
          </w:tcPr>
          <w:p w14:paraId="00DC43E6" w14:textId="77777777" w:rsidR="00F47B80" w:rsidRPr="00ED27BA" w:rsidRDefault="00F47B80" w:rsidP="00F47B80">
            <w:pPr>
              <w:pStyle w:val="Betarp"/>
              <w:ind w:left="-108" w:right="-108"/>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37651,43</w:t>
            </w:r>
          </w:p>
          <w:p w14:paraId="37ED1FD8" w14:textId="6BDE9DD6" w:rsidR="00F47B80" w:rsidRPr="00900CEC" w:rsidRDefault="00F47B80" w:rsidP="00F47B80">
            <w:pPr>
              <w:pStyle w:val="Betarp"/>
              <w:ind w:left="-108" w:right="-108"/>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rPr>
              <w:t>9454,60</w:t>
            </w:r>
          </w:p>
        </w:tc>
        <w:tc>
          <w:tcPr>
            <w:tcW w:w="1938" w:type="dxa"/>
            <w:noWrap/>
            <w:vAlign w:val="center"/>
            <w:hideMark/>
          </w:tcPr>
          <w:p w14:paraId="34688852" w14:textId="77777777" w:rsidR="00F47B80" w:rsidRPr="00ED27BA" w:rsidRDefault="00F47B80" w:rsidP="00F47B80">
            <w:pPr>
              <w:pStyle w:val="Betarp"/>
              <w:ind w:left="-108" w:right="-107"/>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19337,01</w:t>
            </w:r>
          </w:p>
          <w:p w14:paraId="46EFA506" w14:textId="565A14B9" w:rsidR="00F47B80" w:rsidRPr="00900CEC" w:rsidRDefault="00F47B80" w:rsidP="00F47B80">
            <w:pPr>
              <w:pStyle w:val="Betarp"/>
              <w:ind w:left="-108" w:right="-107"/>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rPr>
              <w:t>5146,46</w:t>
            </w:r>
          </w:p>
        </w:tc>
        <w:tc>
          <w:tcPr>
            <w:tcW w:w="1417" w:type="dxa"/>
            <w:noWrap/>
            <w:vAlign w:val="center"/>
            <w:hideMark/>
          </w:tcPr>
          <w:p w14:paraId="59B51F14" w14:textId="77777777" w:rsidR="00F47B80" w:rsidRPr="00ED27BA" w:rsidRDefault="00F47B80" w:rsidP="00F47B80">
            <w:pPr>
              <w:pStyle w:val="Betarp"/>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37023,82</w:t>
            </w:r>
          </w:p>
          <w:p w14:paraId="32FEC491" w14:textId="58D9F252" w:rsidR="00F47B80" w:rsidRPr="00900CEC" w:rsidRDefault="00F47B80" w:rsidP="00F47B80">
            <w:pPr>
              <w:pStyle w:val="Betarp"/>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rPr>
              <w:t>10388,31</w:t>
            </w:r>
          </w:p>
        </w:tc>
      </w:tr>
      <w:tr w:rsidR="00F47B80" w:rsidRPr="00900CEC" w14:paraId="3F01DF2B" w14:textId="77777777" w:rsidTr="00163471">
        <w:trPr>
          <w:trHeight w:val="558"/>
        </w:trPr>
        <w:tc>
          <w:tcPr>
            <w:tcW w:w="1838" w:type="dxa"/>
            <w:noWrap/>
            <w:vAlign w:val="center"/>
            <w:hideMark/>
          </w:tcPr>
          <w:p w14:paraId="759DBF09" w14:textId="77777777" w:rsidR="00F47B80" w:rsidRPr="00900CEC" w:rsidRDefault="00F47B80" w:rsidP="00F47B80">
            <w:pPr>
              <w:pStyle w:val="Betarp"/>
              <w:rPr>
                <w:rFonts w:ascii="Times New Roman" w:hAnsi="Times New Roman" w:cs="Times New Roman"/>
                <w:sz w:val="20"/>
                <w:szCs w:val="20"/>
                <w:lang w:val="lt-LT" w:eastAsia="en-NZ"/>
              </w:rPr>
            </w:pPr>
            <w:r w:rsidRPr="00900CEC">
              <w:rPr>
                <w:rFonts w:ascii="Times New Roman" w:hAnsi="Times New Roman" w:cs="Times New Roman"/>
                <w:sz w:val="20"/>
                <w:szCs w:val="20"/>
                <w:lang w:val="lt-LT" w:eastAsia="en-NZ"/>
              </w:rPr>
              <w:t>T</w:t>
            </w:r>
            <w:r w:rsidRPr="00900CEC">
              <w:rPr>
                <w:rFonts w:ascii="Times New Roman" w:hAnsi="Times New Roman" w:cs="Times New Roman"/>
                <w:sz w:val="20"/>
                <w:szCs w:val="20"/>
                <w:vertAlign w:val="subscript"/>
                <w:lang w:val="lt-LT" w:eastAsia="en-NZ"/>
              </w:rPr>
              <w:t>max</w:t>
            </w:r>
            <w:r w:rsidRPr="00900CEC">
              <w:rPr>
                <w:rFonts w:ascii="Times New Roman" w:hAnsi="Times New Roman" w:cs="Times New Roman"/>
                <w:sz w:val="20"/>
                <w:szCs w:val="20"/>
                <w:lang w:val="lt-LT" w:eastAsia="en-NZ"/>
              </w:rPr>
              <w:t xml:space="preserve"> (val.)</w:t>
            </w:r>
          </w:p>
        </w:tc>
        <w:tc>
          <w:tcPr>
            <w:tcW w:w="1937" w:type="dxa"/>
            <w:noWrap/>
            <w:vAlign w:val="center"/>
            <w:hideMark/>
          </w:tcPr>
          <w:p w14:paraId="3FB6B67A" w14:textId="39C39B04" w:rsidR="00F47B80" w:rsidRPr="00900CEC" w:rsidRDefault="00F47B80" w:rsidP="00F47B80">
            <w:pPr>
              <w:pStyle w:val="Betarp"/>
              <w:ind w:left="-108" w:right="-108"/>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0,25 (infuzijos pabaiga)</w:t>
            </w:r>
          </w:p>
        </w:tc>
        <w:tc>
          <w:tcPr>
            <w:tcW w:w="1937" w:type="dxa"/>
            <w:noWrap/>
            <w:vAlign w:val="center"/>
            <w:hideMark/>
          </w:tcPr>
          <w:p w14:paraId="5F834A0C" w14:textId="54BD83B0" w:rsidR="00F47B80" w:rsidRPr="00900CEC" w:rsidRDefault="00F47B80" w:rsidP="00F47B80">
            <w:pPr>
              <w:pStyle w:val="Betarp"/>
              <w:ind w:left="-108" w:right="-108"/>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0,25 (infuzijos pabaiga)</w:t>
            </w:r>
          </w:p>
        </w:tc>
        <w:tc>
          <w:tcPr>
            <w:tcW w:w="1938" w:type="dxa"/>
            <w:noWrap/>
            <w:vAlign w:val="center"/>
            <w:hideMark/>
          </w:tcPr>
          <w:p w14:paraId="4ABCA57F" w14:textId="7BADC517" w:rsidR="00F47B80" w:rsidRPr="00900CEC" w:rsidRDefault="00F47B80" w:rsidP="00F47B80">
            <w:pPr>
              <w:pStyle w:val="Betarp"/>
              <w:ind w:left="-108" w:right="-107"/>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0,25 (infuzijos pabaiga)</w:t>
            </w:r>
          </w:p>
        </w:tc>
        <w:tc>
          <w:tcPr>
            <w:tcW w:w="1417" w:type="dxa"/>
            <w:noWrap/>
            <w:vAlign w:val="center"/>
            <w:hideMark/>
          </w:tcPr>
          <w:p w14:paraId="4225CBA2" w14:textId="66B4D17F" w:rsidR="00F47B80" w:rsidRPr="00900CEC" w:rsidRDefault="00F47B80" w:rsidP="00F47B80">
            <w:pPr>
              <w:pStyle w:val="Betarp"/>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0,73</w:t>
            </w:r>
            <w:r w:rsidRPr="00F12D19">
              <w:rPr>
                <w:rFonts w:ascii="Times New Roman" w:hAnsi="Times New Roman" w:cs="Times New Roman"/>
                <w:iCs/>
                <w:lang w:val="lt-LT"/>
              </w:rPr>
              <w:t> </w:t>
            </w:r>
            <w:r w:rsidRPr="00ED27BA">
              <w:rPr>
                <w:rFonts w:ascii="Times New Roman" w:hAnsi="Times New Roman" w:cs="Times New Roman"/>
                <w:sz w:val="20"/>
                <w:szCs w:val="20"/>
                <w:lang w:val="lt-LT"/>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rPr>
              <w:t>0,42</w:t>
            </w:r>
          </w:p>
        </w:tc>
      </w:tr>
      <w:tr w:rsidR="00F47B80" w:rsidRPr="00900CEC" w14:paraId="3E256F73" w14:textId="77777777" w:rsidTr="00163471">
        <w:trPr>
          <w:trHeight w:val="552"/>
        </w:trPr>
        <w:tc>
          <w:tcPr>
            <w:tcW w:w="1838" w:type="dxa"/>
            <w:tcBorders>
              <w:bottom w:val="single" w:sz="12" w:space="0" w:color="BFBFBF" w:themeColor="background1" w:themeShade="BF"/>
            </w:tcBorders>
            <w:noWrap/>
            <w:vAlign w:val="center"/>
            <w:hideMark/>
          </w:tcPr>
          <w:p w14:paraId="45DB3BE1" w14:textId="77777777" w:rsidR="00F47B80" w:rsidRPr="00900CEC" w:rsidRDefault="00F47B80" w:rsidP="00F47B80">
            <w:pPr>
              <w:pStyle w:val="Betarp"/>
              <w:rPr>
                <w:rFonts w:ascii="Times New Roman" w:hAnsi="Times New Roman" w:cs="Times New Roman"/>
                <w:sz w:val="20"/>
                <w:szCs w:val="20"/>
                <w:lang w:val="lt-LT" w:eastAsia="en-NZ"/>
              </w:rPr>
            </w:pPr>
            <w:r w:rsidRPr="00900CEC">
              <w:rPr>
                <w:rFonts w:ascii="Times New Roman" w:hAnsi="Times New Roman" w:cs="Times New Roman"/>
                <w:sz w:val="20"/>
                <w:szCs w:val="20"/>
                <w:lang w:val="lt-LT" w:eastAsia="en-NZ"/>
              </w:rPr>
              <w:t>t</w:t>
            </w:r>
            <w:r w:rsidRPr="00900CEC">
              <w:rPr>
                <w:rFonts w:ascii="Times New Roman" w:hAnsi="Times New Roman" w:cs="Times New Roman"/>
                <w:sz w:val="20"/>
                <w:szCs w:val="20"/>
                <w:vertAlign w:val="subscript"/>
                <w:lang w:val="lt-LT" w:eastAsia="en-NZ"/>
              </w:rPr>
              <w:t xml:space="preserve">1/2 </w:t>
            </w:r>
            <w:r w:rsidRPr="00900CEC">
              <w:rPr>
                <w:rFonts w:ascii="Times New Roman" w:hAnsi="Times New Roman" w:cs="Times New Roman"/>
                <w:sz w:val="20"/>
                <w:szCs w:val="20"/>
                <w:lang w:val="lt-LT" w:eastAsia="en-NZ"/>
              </w:rPr>
              <w:t>(val.)</w:t>
            </w:r>
          </w:p>
        </w:tc>
        <w:tc>
          <w:tcPr>
            <w:tcW w:w="1937" w:type="dxa"/>
            <w:tcBorders>
              <w:bottom w:val="single" w:sz="12" w:space="0" w:color="BFBFBF" w:themeColor="background1" w:themeShade="BF"/>
            </w:tcBorders>
            <w:noWrap/>
            <w:vAlign w:val="center"/>
          </w:tcPr>
          <w:p w14:paraId="0694F69E" w14:textId="43E4EDCF" w:rsidR="00F47B80" w:rsidRPr="00900CEC" w:rsidRDefault="00F47B80" w:rsidP="00F47B80">
            <w:pPr>
              <w:pStyle w:val="Betarp"/>
              <w:ind w:left="-108" w:right="-108"/>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2,39</w:t>
            </w:r>
            <w:r w:rsidRPr="00F12D19">
              <w:rPr>
                <w:rFonts w:ascii="Times New Roman" w:hAnsi="Times New Roman" w:cs="Times New Roman"/>
                <w:iCs/>
                <w:lang w:val="lt-LT"/>
              </w:rPr>
              <w:t> </w:t>
            </w:r>
            <w:r w:rsidRPr="00ED27BA">
              <w:rPr>
                <w:rFonts w:ascii="Times New Roman" w:hAnsi="Times New Roman" w:cs="Times New Roman"/>
                <w:sz w:val="20"/>
                <w:szCs w:val="20"/>
                <w:lang w:val="lt-LT"/>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rPr>
              <w:t>0,27</w:t>
            </w:r>
          </w:p>
        </w:tc>
        <w:tc>
          <w:tcPr>
            <w:tcW w:w="1937" w:type="dxa"/>
            <w:tcBorders>
              <w:bottom w:val="single" w:sz="12" w:space="0" w:color="BFBFBF" w:themeColor="background1" w:themeShade="BF"/>
            </w:tcBorders>
            <w:noWrap/>
            <w:vAlign w:val="center"/>
          </w:tcPr>
          <w:p w14:paraId="1BC5B0A4" w14:textId="229000A4" w:rsidR="00F47B80" w:rsidRPr="00900CEC" w:rsidRDefault="00F47B80" w:rsidP="00F47B80">
            <w:pPr>
              <w:pStyle w:val="Betarp"/>
              <w:ind w:left="-108" w:right="-108"/>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2,38</w:t>
            </w:r>
            <w:r w:rsidRPr="00F12D19">
              <w:rPr>
                <w:rFonts w:ascii="Times New Roman" w:hAnsi="Times New Roman" w:cs="Times New Roman"/>
                <w:iCs/>
                <w:lang w:val="lt-LT"/>
              </w:rPr>
              <w:t> </w:t>
            </w:r>
            <w:r w:rsidRPr="00ED27BA">
              <w:rPr>
                <w:rFonts w:ascii="Times New Roman" w:hAnsi="Times New Roman" w:cs="Times New Roman"/>
                <w:sz w:val="20"/>
                <w:szCs w:val="20"/>
                <w:lang w:val="lt-LT"/>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rPr>
              <w:t>0,25</w:t>
            </w:r>
          </w:p>
        </w:tc>
        <w:tc>
          <w:tcPr>
            <w:tcW w:w="1938" w:type="dxa"/>
            <w:tcBorders>
              <w:bottom w:val="single" w:sz="12" w:space="0" w:color="BFBFBF" w:themeColor="background1" w:themeShade="BF"/>
            </w:tcBorders>
            <w:noWrap/>
            <w:vAlign w:val="center"/>
          </w:tcPr>
          <w:p w14:paraId="0A16419F" w14:textId="77BFE161" w:rsidR="00F47B80" w:rsidRPr="00900CEC" w:rsidRDefault="00F47B80" w:rsidP="00F47B80">
            <w:pPr>
              <w:pStyle w:val="Betarp"/>
              <w:ind w:left="-108" w:right="-107"/>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2,44</w:t>
            </w:r>
            <w:r w:rsidRPr="00F12D19">
              <w:rPr>
                <w:rFonts w:ascii="Times New Roman" w:hAnsi="Times New Roman" w:cs="Times New Roman"/>
                <w:iCs/>
                <w:lang w:val="lt-LT"/>
              </w:rPr>
              <w:t> </w:t>
            </w:r>
            <w:r w:rsidRPr="00ED27BA">
              <w:rPr>
                <w:rFonts w:ascii="Times New Roman" w:hAnsi="Times New Roman" w:cs="Times New Roman"/>
                <w:sz w:val="20"/>
                <w:szCs w:val="20"/>
                <w:lang w:val="lt-LT"/>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rPr>
              <w:t>0,25</w:t>
            </w:r>
          </w:p>
        </w:tc>
        <w:tc>
          <w:tcPr>
            <w:tcW w:w="1417" w:type="dxa"/>
            <w:tcBorders>
              <w:bottom w:val="single" w:sz="12" w:space="0" w:color="BFBFBF" w:themeColor="background1" w:themeShade="BF"/>
            </w:tcBorders>
            <w:noWrap/>
            <w:vAlign w:val="center"/>
          </w:tcPr>
          <w:p w14:paraId="12E03387" w14:textId="153F7126" w:rsidR="00F47B80" w:rsidRPr="00900CEC" w:rsidRDefault="00F47B80" w:rsidP="00F47B80">
            <w:pPr>
              <w:pStyle w:val="Betarp"/>
              <w:jc w:val="center"/>
              <w:rPr>
                <w:rFonts w:ascii="Times New Roman" w:hAnsi="Times New Roman" w:cs="Times New Roman"/>
                <w:sz w:val="20"/>
                <w:szCs w:val="20"/>
                <w:lang w:val="lt-LT"/>
              </w:rPr>
            </w:pPr>
            <w:r w:rsidRPr="00ED27BA">
              <w:rPr>
                <w:rFonts w:ascii="Times New Roman" w:hAnsi="Times New Roman" w:cs="Times New Roman"/>
                <w:sz w:val="20"/>
                <w:szCs w:val="20"/>
                <w:lang w:val="lt-LT"/>
              </w:rPr>
              <w:t>2,51</w:t>
            </w:r>
            <w:r w:rsidRPr="00F12D19">
              <w:rPr>
                <w:rFonts w:ascii="Times New Roman" w:hAnsi="Times New Roman" w:cs="Times New Roman"/>
                <w:iCs/>
                <w:lang w:val="lt-LT"/>
              </w:rPr>
              <w:t> </w:t>
            </w:r>
            <w:r w:rsidRPr="00ED27BA">
              <w:rPr>
                <w:rFonts w:ascii="Times New Roman" w:hAnsi="Times New Roman" w:cs="Times New Roman"/>
                <w:sz w:val="20"/>
                <w:szCs w:val="20"/>
                <w:lang w:val="lt-LT"/>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rPr>
              <w:t>0,33</w:t>
            </w:r>
          </w:p>
        </w:tc>
      </w:tr>
      <w:tr w:rsidR="00F51FBD" w:rsidRPr="003009EE" w14:paraId="66985E3E" w14:textId="77777777" w:rsidTr="00163471">
        <w:trPr>
          <w:trHeight w:val="540"/>
        </w:trPr>
        <w:tc>
          <w:tcPr>
            <w:tcW w:w="1838" w:type="dxa"/>
            <w:tcBorders>
              <w:top w:val="single" w:sz="12" w:space="0" w:color="BFBFBF" w:themeColor="background1" w:themeShade="BF"/>
              <w:bottom w:val="single" w:sz="12" w:space="0" w:color="BFBFBF" w:themeColor="background1" w:themeShade="BF"/>
            </w:tcBorders>
            <w:vAlign w:val="center"/>
            <w:hideMark/>
          </w:tcPr>
          <w:p w14:paraId="3D316B77" w14:textId="77777777" w:rsidR="00F51FBD" w:rsidRPr="00900CEC" w:rsidRDefault="00F51FBD" w:rsidP="00163471">
            <w:pPr>
              <w:pStyle w:val="Betarp"/>
              <w:rPr>
                <w:rFonts w:ascii="Times New Roman" w:hAnsi="Times New Roman" w:cs="Times New Roman"/>
                <w:i/>
                <w:sz w:val="20"/>
                <w:szCs w:val="20"/>
                <w:lang w:val="lt-LT" w:eastAsia="en-NZ"/>
              </w:rPr>
            </w:pPr>
            <w:r w:rsidRPr="00900CEC">
              <w:rPr>
                <w:rFonts w:ascii="Times New Roman" w:hAnsi="Times New Roman" w:cs="Times New Roman"/>
                <w:i/>
                <w:sz w:val="20"/>
                <w:szCs w:val="20"/>
                <w:lang w:val="lt-LT" w:eastAsia="en-NZ"/>
              </w:rPr>
              <w:t>Ibuprofenas</w:t>
            </w:r>
          </w:p>
        </w:tc>
        <w:tc>
          <w:tcPr>
            <w:tcW w:w="1937" w:type="dxa"/>
            <w:tcBorders>
              <w:top w:val="single" w:sz="12" w:space="0" w:color="BFBFBF" w:themeColor="background1" w:themeShade="BF"/>
              <w:bottom w:val="single" w:sz="12" w:space="0" w:color="BFBFBF" w:themeColor="background1" w:themeShade="BF"/>
            </w:tcBorders>
            <w:noWrap/>
            <w:vAlign w:val="center"/>
            <w:hideMark/>
          </w:tcPr>
          <w:p w14:paraId="5E320EC6" w14:textId="1590535D" w:rsidR="00F51FBD" w:rsidRPr="00900CEC" w:rsidRDefault="006F5942" w:rsidP="00163471">
            <w:pPr>
              <w:pStyle w:val="Betarp"/>
              <w:ind w:left="-108" w:right="-108"/>
              <w:jc w:val="center"/>
              <w:rPr>
                <w:rFonts w:ascii="Times New Roman" w:hAnsi="Times New Roman" w:cs="Times New Roman"/>
                <w:b/>
                <w:sz w:val="20"/>
                <w:szCs w:val="20"/>
                <w:lang w:val="lt-LT" w:eastAsia="en-NZ"/>
              </w:rPr>
            </w:pPr>
            <w:proofErr w:type="spellStart"/>
            <w:r w:rsidRPr="006F5942">
              <w:rPr>
                <w:rFonts w:ascii="Times New Roman" w:hAnsi="Times New Roman" w:cs="Times New Roman"/>
                <w:b/>
                <w:sz w:val="20"/>
                <w:szCs w:val="20"/>
                <w:lang w:val="lt-LT" w:eastAsia="en-NZ"/>
              </w:rPr>
              <w:t>Paracetamol</w:t>
            </w:r>
            <w:proofErr w:type="spellEnd"/>
            <w:r w:rsidRPr="006F5942">
              <w:rPr>
                <w:rFonts w:ascii="Times New Roman" w:hAnsi="Times New Roman" w:cs="Times New Roman"/>
                <w:b/>
                <w:sz w:val="20"/>
                <w:szCs w:val="20"/>
                <w:lang w:val="lt-LT" w:eastAsia="en-NZ"/>
              </w:rPr>
              <w:t>/</w:t>
            </w:r>
            <w:proofErr w:type="spellStart"/>
            <w:r w:rsidRPr="006F5942">
              <w:rPr>
                <w:rFonts w:ascii="Times New Roman" w:hAnsi="Times New Roman" w:cs="Times New Roman"/>
                <w:b/>
                <w:sz w:val="20"/>
                <w:szCs w:val="20"/>
                <w:lang w:val="lt-LT" w:eastAsia="en-NZ"/>
              </w:rPr>
              <w:t>Ibuprofen</w:t>
            </w:r>
            <w:proofErr w:type="spellEnd"/>
            <w:r w:rsidRPr="006F5942">
              <w:rPr>
                <w:rFonts w:ascii="Times New Roman" w:hAnsi="Times New Roman" w:cs="Times New Roman"/>
                <w:b/>
                <w:sz w:val="20"/>
                <w:szCs w:val="20"/>
                <w:lang w:val="lt-LT" w:eastAsia="en-NZ"/>
              </w:rPr>
              <w:t xml:space="preserve"> AFT </w:t>
            </w:r>
            <w:proofErr w:type="spellStart"/>
            <w:r w:rsidRPr="006F5942">
              <w:rPr>
                <w:rFonts w:ascii="Times New Roman" w:hAnsi="Times New Roman" w:cs="Times New Roman"/>
                <w:b/>
                <w:sz w:val="20"/>
                <w:szCs w:val="20"/>
                <w:lang w:val="lt-LT" w:eastAsia="en-NZ"/>
              </w:rPr>
              <w:t>Pharmaceuticals</w:t>
            </w:r>
            <w:proofErr w:type="spellEnd"/>
            <w:r w:rsidR="00F51FBD">
              <w:rPr>
                <w:rFonts w:ascii="Times New Roman" w:hAnsi="Times New Roman" w:cs="Times New Roman"/>
                <w:b/>
                <w:sz w:val="20"/>
                <w:szCs w:val="20"/>
                <w:lang w:val="lt-LT" w:eastAsia="en-NZ"/>
              </w:rPr>
              <w:t xml:space="preserve"> </w:t>
            </w:r>
            <w:proofErr w:type="spellStart"/>
            <w:r w:rsidR="00F51FBD" w:rsidRPr="00900CEC">
              <w:rPr>
                <w:rFonts w:ascii="Times New Roman" w:hAnsi="Times New Roman" w:cs="Times New Roman"/>
                <w:b/>
                <w:sz w:val="20"/>
                <w:szCs w:val="20"/>
                <w:lang w:val="lt-LT" w:eastAsia="en-NZ"/>
              </w:rPr>
              <w:t>i.v</w:t>
            </w:r>
            <w:proofErr w:type="spellEnd"/>
            <w:r w:rsidR="00F51FBD" w:rsidRPr="00900CEC">
              <w:rPr>
                <w:rFonts w:ascii="Times New Roman" w:hAnsi="Times New Roman" w:cs="Times New Roman"/>
                <w:b/>
                <w:sz w:val="20"/>
                <w:szCs w:val="20"/>
                <w:lang w:val="lt-LT" w:eastAsia="en-NZ"/>
              </w:rPr>
              <w:t>. infuzija, 15 min.</w:t>
            </w:r>
          </w:p>
        </w:tc>
        <w:tc>
          <w:tcPr>
            <w:tcW w:w="1937" w:type="dxa"/>
            <w:tcBorders>
              <w:top w:val="single" w:sz="12" w:space="0" w:color="BFBFBF" w:themeColor="background1" w:themeShade="BF"/>
              <w:bottom w:val="single" w:sz="12" w:space="0" w:color="BFBFBF" w:themeColor="background1" w:themeShade="BF"/>
            </w:tcBorders>
            <w:noWrap/>
            <w:vAlign w:val="center"/>
          </w:tcPr>
          <w:p w14:paraId="416D9E64" w14:textId="77777777" w:rsidR="00F51FBD" w:rsidRPr="00900CEC" w:rsidRDefault="00F51FBD" w:rsidP="00163471">
            <w:pPr>
              <w:pStyle w:val="Betarp"/>
              <w:ind w:left="-108" w:right="-108"/>
              <w:jc w:val="center"/>
              <w:rPr>
                <w:rFonts w:ascii="Times New Roman" w:hAnsi="Times New Roman" w:cs="Times New Roman"/>
                <w:b/>
                <w:sz w:val="20"/>
                <w:szCs w:val="20"/>
                <w:lang w:val="lt-LT" w:eastAsia="en-NZ"/>
              </w:rPr>
            </w:pPr>
            <w:proofErr w:type="spellStart"/>
            <w:r w:rsidRPr="00900CEC">
              <w:rPr>
                <w:rFonts w:ascii="Times New Roman" w:hAnsi="Times New Roman" w:cs="Times New Roman"/>
                <w:b/>
                <w:sz w:val="20"/>
                <w:szCs w:val="20"/>
                <w:lang w:val="lt-LT" w:eastAsia="en-NZ"/>
              </w:rPr>
              <w:t>Ibuprofenas</w:t>
            </w:r>
            <w:proofErr w:type="spellEnd"/>
            <w:r w:rsidRPr="00900CEC">
              <w:rPr>
                <w:rFonts w:ascii="Times New Roman" w:hAnsi="Times New Roman" w:cs="Times New Roman"/>
                <w:b/>
                <w:sz w:val="20"/>
                <w:szCs w:val="20"/>
                <w:lang w:val="lt-LT" w:eastAsia="en-NZ"/>
              </w:rPr>
              <w:t xml:space="preserve"> </w:t>
            </w:r>
            <w:proofErr w:type="spellStart"/>
            <w:r w:rsidRPr="00900CEC">
              <w:rPr>
                <w:rFonts w:ascii="Times New Roman" w:hAnsi="Times New Roman" w:cs="Times New Roman"/>
                <w:b/>
                <w:sz w:val="20"/>
                <w:szCs w:val="20"/>
                <w:lang w:val="lt-LT" w:eastAsia="en-NZ"/>
              </w:rPr>
              <w:t>i.v</w:t>
            </w:r>
            <w:proofErr w:type="spellEnd"/>
            <w:r w:rsidRPr="00900CEC">
              <w:rPr>
                <w:rFonts w:ascii="Times New Roman" w:hAnsi="Times New Roman" w:cs="Times New Roman"/>
                <w:b/>
                <w:sz w:val="20"/>
                <w:szCs w:val="20"/>
                <w:lang w:val="lt-LT" w:eastAsia="en-NZ"/>
              </w:rPr>
              <w:t>.</w:t>
            </w:r>
          </w:p>
          <w:p w14:paraId="256241B7" w14:textId="77777777" w:rsidR="00F51FBD" w:rsidRPr="00900CEC" w:rsidRDefault="00F51FBD" w:rsidP="00163471">
            <w:pPr>
              <w:pStyle w:val="Betarp"/>
              <w:ind w:left="-108" w:right="-108"/>
              <w:jc w:val="center"/>
              <w:rPr>
                <w:rFonts w:ascii="Times New Roman" w:hAnsi="Times New Roman" w:cs="Times New Roman"/>
                <w:b/>
                <w:sz w:val="20"/>
                <w:szCs w:val="20"/>
                <w:lang w:val="lt-LT" w:eastAsia="en-NZ"/>
              </w:rPr>
            </w:pPr>
            <w:proofErr w:type="spellStart"/>
            <w:r w:rsidRPr="00900CEC">
              <w:rPr>
                <w:rFonts w:ascii="Times New Roman" w:hAnsi="Times New Roman" w:cs="Times New Roman"/>
                <w:b/>
                <w:sz w:val="20"/>
                <w:szCs w:val="20"/>
                <w:lang w:val="lt-LT" w:eastAsia="en-NZ"/>
              </w:rPr>
              <w:t>i.v</w:t>
            </w:r>
            <w:proofErr w:type="spellEnd"/>
            <w:r w:rsidRPr="00900CEC">
              <w:rPr>
                <w:rFonts w:ascii="Times New Roman" w:hAnsi="Times New Roman" w:cs="Times New Roman"/>
                <w:b/>
                <w:sz w:val="20"/>
                <w:szCs w:val="20"/>
                <w:lang w:val="lt-LT" w:eastAsia="en-NZ"/>
              </w:rPr>
              <w:t>. infuzija, 15 min.</w:t>
            </w:r>
          </w:p>
        </w:tc>
        <w:tc>
          <w:tcPr>
            <w:tcW w:w="1938" w:type="dxa"/>
            <w:tcBorders>
              <w:top w:val="single" w:sz="12" w:space="0" w:color="BFBFBF" w:themeColor="background1" w:themeShade="BF"/>
              <w:bottom w:val="single" w:sz="12" w:space="0" w:color="BFBFBF" w:themeColor="background1" w:themeShade="BF"/>
            </w:tcBorders>
            <w:noWrap/>
            <w:vAlign w:val="center"/>
          </w:tcPr>
          <w:p w14:paraId="51D1258B" w14:textId="08686541" w:rsidR="00F51FBD" w:rsidRPr="00E06461" w:rsidRDefault="006F5942" w:rsidP="00163471">
            <w:pPr>
              <w:pStyle w:val="Betarp"/>
              <w:ind w:left="-108" w:right="-107"/>
              <w:jc w:val="center"/>
              <w:rPr>
                <w:rFonts w:ascii="Times New Roman" w:hAnsi="Times New Roman" w:cs="Times New Roman"/>
                <w:b/>
                <w:sz w:val="20"/>
                <w:lang w:val="lt-LT" w:eastAsia="en-NZ"/>
              </w:rPr>
            </w:pPr>
            <w:proofErr w:type="spellStart"/>
            <w:r w:rsidRPr="006F5942">
              <w:rPr>
                <w:rFonts w:ascii="Times New Roman" w:hAnsi="Times New Roman" w:cs="Times New Roman"/>
                <w:b/>
                <w:sz w:val="20"/>
                <w:lang w:val="lt-LT" w:eastAsia="en-NZ"/>
              </w:rPr>
              <w:t>Paracetamol</w:t>
            </w:r>
            <w:proofErr w:type="spellEnd"/>
            <w:r w:rsidRPr="006F5942">
              <w:rPr>
                <w:rFonts w:ascii="Times New Roman" w:hAnsi="Times New Roman" w:cs="Times New Roman"/>
                <w:b/>
                <w:sz w:val="20"/>
                <w:lang w:val="lt-LT" w:eastAsia="en-NZ"/>
              </w:rPr>
              <w:t>/</w:t>
            </w:r>
            <w:proofErr w:type="spellStart"/>
            <w:r w:rsidRPr="006F5942">
              <w:rPr>
                <w:rFonts w:ascii="Times New Roman" w:hAnsi="Times New Roman" w:cs="Times New Roman"/>
                <w:b/>
                <w:sz w:val="20"/>
                <w:lang w:val="lt-LT" w:eastAsia="en-NZ"/>
              </w:rPr>
              <w:t>Ibuprofen</w:t>
            </w:r>
            <w:proofErr w:type="spellEnd"/>
            <w:r w:rsidRPr="006F5942">
              <w:rPr>
                <w:rFonts w:ascii="Times New Roman" w:hAnsi="Times New Roman" w:cs="Times New Roman"/>
                <w:b/>
                <w:sz w:val="20"/>
                <w:lang w:val="lt-LT" w:eastAsia="en-NZ"/>
              </w:rPr>
              <w:t xml:space="preserve"> AFT </w:t>
            </w:r>
            <w:proofErr w:type="spellStart"/>
            <w:r w:rsidRPr="006F5942">
              <w:rPr>
                <w:rFonts w:ascii="Times New Roman" w:hAnsi="Times New Roman" w:cs="Times New Roman"/>
                <w:b/>
                <w:sz w:val="20"/>
                <w:lang w:val="lt-LT" w:eastAsia="en-NZ"/>
              </w:rPr>
              <w:t>Pharmaceuticals</w:t>
            </w:r>
            <w:proofErr w:type="spellEnd"/>
          </w:p>
          <w:p w14:paraId="5F9A2F71" w14:textId="77777777" w:rsidR="00F51FBD" w:rsidRPr="00900CEC" w:rsidRDefault="00F51FBD" w:rsidP="00163471">
            <w:pPr>
              <w:pStyle w:val="Betarp"/>
              <w:ind w:left="-108" w:right="-107"/>
              <w:jc w:val="center"/>
              <w:rPr>
                <w:rFonts w:ascii="Times New Roman" w:hAnsi="Times New Roman" w:cs="Times New Roman"/>
                <w:b/>
                <w:sz w:val="20"/>
                <w:szCs w:val="20"/>
                <w:lang w:val="lt-LT" w:eastAsia="en-NZ"/>
              </w:rPr>
            </w:pPr>
            <w:r w:rsidRPr="00900CEC">
              <w:rPr>
                <w:rFonts w:ascii="Times New Roman" w:hAnsi="Times New Roman" w:cs="Times New Roman"/>
                <w:b/>
                <w:sz w:val="20"/>
                <w:szCs w:val="20"/>
                <w:lang w:val="lt-LT" w:eastAsia="en-NZ"/>
              </w:rPr>
              <w:t xml:space="preserve"> pusė dozės</w:t>
            </w:r>
          </w:p>
          <w:p w14:paraId="391AFC1C" w14:textId="77777777" w:rsidR="00F51FBD" w:rsidRPr="00900CEC" w:rsidRDefault="00F51FBD" w:rsidP="00163471">
            <w:pPr>
              <w:pStyle w:val="Betarp"/>
              <w:ind w:left="-108" w:right="-107"/>
              <w:jc w:val="center"/>
              <w:rPr>
                <w:rFonts w:ascii="Times New Roman" w:hAnsi="Times New Roman" w:cs="Times New Roman"/>
                <w:b/>
                <w:sz w:val="20"/>
                <w:szCs w:val="20"/>
                <w:lang w:val="lt-LT" w:eastAsia="en-NZ"/>
              </w:rPr>
            </w:pPr>
            <w:proofErr w:type="spellStart"/>
            <w:r w:rsidRPr="00900CEC">
              <w:rPr>
                <w:rFonts w:ascii="Times New Roman" w:hAnsi="Times New Roman" w:cs="Times New Roman"/>
                <w:b/>
                <w:sz w:val="20"/>
                <w:szCs w:val="20"/>
                <w:lang w:val="lt-LT" w:eastAsia="en-NZ"/>
              </w:rPr>
              <w:t>i.v</w:t>
            </w:r>
            <w:proofErr w:type="spellEnd"/>
            <w:r w:rsidRPr="00900CEC">
              <w:rPr>
                <w:rFonts w:ascii="Times New Roman" w:hAnsi="Times New Roman" w:cs="Times New Roman"/>
                <w:b/>
                <w:sz w:val="20"/>
                <w:szCs w:val="20"/>
                <w:lang w:val="lt-LT" w:eastAsia="en-NZ"/>
              </w:rPr>
              <w:t>. infuzija, 15 min.</w:t>
            </w:r>
          </w:p>
        </w:tc>
        <w:tc>
          <w:tcPr>
            <w:tcW w:w="1417" w:type="dxa"/>
            <w:tcBorders>
              <w:top w:val="single" w:sz="12" w:space="0" w:color="BFBFBF" w:themeColor="background1" w:themeShade="BF"/>
              <w:bottom w:val="single" w:sz="12" w:space="0" w:color="BFBFBF" w:themeColor="background1" w:themeShade="BF"/>
            </w:tcBorders>
            <w:noWrap/>
            <w:vAlign w:val="center"/>
          </w:tcPr>
          <w:p w14:paraId="5B4693E3" w14:textId="77777777" w:rsidR="00F51FBD" w:rsidRPr="00900CEC" w:rsidRDefault="00F51FBD" w:rsidP="00163471">
            <w:pPr>
              <w:pStyle w:val="Betarp"/>
              <w:jc w:val="center"/>
              <w:rPr>
                <w:rFonts w:ascii="Times New Roman" w:hAnsi="Times New Roman" w:cs="Times New Roman"/>
                <w:b/>
                <w:sz w:val="20"/>
                <w:szCs w:val="20"/>
                <w:lang w:val="lt-LT" w:eastAsia="en-NZ"/>
              </w:rPr>
            </w:pPr>
            <w:r w:rsidRPr="003C5173">
              <w:rPr>
                <w:rFonts w:ascii="Times New Roman" w:hAnsi="Times New Roman" w:cs="Times New Roman"/>
                <w:b/>
                <w:iCs/>
                <w:sz w:val="20"/>
                <w:szCs w:val="20"/>
                <w:lang w:val="lt-LT" w:eastAsia="en-NZ"/>
              </w:rPr>
              <w:t>paracetamolio/ibuprofeno</w:t>
            </w:r>
            <w:r w:rsidRPr="00900CEC">
              <w:rPr>
                <w:rFonts w:ascii="Times New Roman" w:hAnsi="Times New Roman" w:cs="Times New Roman"/>
                <w:b/>
                <w:sz w:val="20"/>
                <w:szCs w:val="20"/>
                <w:lang w:val="lt-LT" w:eastAsia="en-NZ"/>
              </w:rPr>
              <w:t xml:space="preserve"> tabletės</w:t>
            </w:r>
          </w:p>
          <w:p w14:paraId="3DA463E0" w14:textId="77777777" w:rsidR="00F51FBD" w:rsidRPr="00900CEC" w:rsidRDefault="00F51FBD" w:rsidP="00163471">
            <w:pPr>
              <w:pStyle w:val="Betarp"/>
              <w:jc w:val="center"/>
              <w:rPr>
                <w:rFonts w:ascii="Times New Roman" w:hAnsi="Times New Roman" w:cs="Times New Roman"/>
                <w:b/>
                <w:sz w:val="20"/>
                <w:szCs w:val="20"/>
                <w:lang w:val="lt-LT" w:eastAsia="en-NZ"/>
              </w:rPr>
            </w:pPr>
            <w:r w:rsidRPr="00900CEC">
              <w:rPr>
                <w:rFonts w:ascii="Times New Roman" w:hAnsi="Times New Roman" w:cs="Times New Roman"/>
                <w:b/>
                <w:sz w:val="20"/>
                <w:szCs w:val="20"/>
                <w:lang w:val="lt-LT" w:eastAsia="en-NZ"/>
              </w:rPr>
              <w:t>geriamoji tabletė</w:t>
            </w:r>
          </w:p>
        </w:tc>
      </w:tr>
      <w:tr w:rsidR="006A214E" w:rsidRPr="00900CEC" w14:paraId="1A645B12" w14:textId="77777777" w:rsidTr="00163471">
        <w:trPr>
          <w:trHeight w:val="558"/>
        </w:trPr>
        <w:tc>
          <w:tcPr>
            <w:tcW w:w="1838" w:type="dxa"/>
            <w:tcBorders>
              <w:top w:val="single" w:sz="12" w:space="0" w:color="BFBFBF" w:themeColor="background1" w:themeShade="BF"/>
            </w:tcBorders>
            <w:noWrap/>
            <w:vAlign w:val="center"/>
            <w:hideMark/>
          </w:tcPr>
          <w:p w14:paraId="7E645081" w14:textId="77777777" w:rsidR="006A214E" w:rsidRPr="00900CEC" w:rsidRDefault="006A214E" w:rsidP="006A214E">
            <w:pPr>
              <w:pStyle w:val="Betarp"/>
              <w:rPr>
                <w:rFonts w:ascii="Times New Roman" w:hAnsi="Times New Roman" w:cs="Times New Roman"/>
                <w:sz w:val="20"/>
                <w:szCs w:val="20"/>
                <w:lang w:val="lt-LT" w:eastAsia="en-NZ"/>
              </w:rPr>
            </w:pPr>
            <w:proofErr w:type="spellStart"/>
            <w:r w:rsidRPr="00900CEC">
              <w:rPr>
                <w:rFonts w:ascii="Times New Roman" w:hAnsi="Times New Roman" w:cs="Times New Roman"/>
                <w:sz w:val="20"/>
                <w:szCs w:val="20"/>
                <w:lang w:val="lt-LT" w:eastAsia="en-NZ"/>
              </w:rPr>
              <w:t>C</w:t>
            </w:r>
            <w:r w:rsidRPr="00900CEC">
              <w:rPr>
                <w:rFonts w:ascii="Times New Roman" w:hAnsi="Times New Roman" w:cs="Times New Roman"/>
                <w:sz w:val="20"/>
                <w:szCs w:val="20"/>
                <w:vertAlign w:val="subscript"/>
                <w:lang w:val="lt-LT" w:eastAsia="en-NZ"/>
              </w:rPr>
              <w:t>max</w:t>
            </w:r>
            <w:proofErr w:type="spellEnd"/>
            <w:r w:rsidRPr="00900CEC">
              <w:rPr>
                <w:rFonts w:ascii="Times New Roman" w:hAnsi="Times New Roman" w:cs="Times New Roman"/>
                <w:sz w:val="20"/>
                <w:szCs w:val="20"/>
                <w:lang w:val="lt-LT" w:eastAsia="en-NZ"/>
              </w:rPr>
              <w:t xml:space="preserve"> (</w:t>
            </w:r>
            <w:proofErr w:type="spellStart"/>
            <w:r w:rsidRPr="00900CEC">
              <w:rPr>
                <w:rFonts w:ascii="Times New Roman" w:hAnsi="Times New Roman" w:cs="Times New Roman"/>
                <w:sz w:val="20"/>
                <w:szCs w:val="20"/>
                <w:lang w:val="lt-LT" w:eastAsia="en-NZ"/>
              </w:rPr>
              <w:t>ng</w:t>
            </w:r>
            <w:proofErr w:type="spellEnd"/>
            <w:r w:rsidRPr="00900CEC">
              <w:rPr>
                <w:rFonts w:ascii="Times New Roman" w:hAnsi="Times New Roman" w:cs="Times New Roman"/>
                <w:sz w:val="20"/>
                <w:szCs w:val="20"/>
                <w:lang w:val="lt-LT" w:eastAsia="en-NZ"/>
              </w:rPr>
              <w:t>/ml)</w:t>
            </w:r>
          </w:p>
        </w:tc>
        <w:tc>
          <w:tcPr>
            <w:tcW w:w="1937" w:type="dxa"/>
            <w:tcBorders>
              <w:top w:val="single" w:sz="12" w:space="0" w:color="BFBFBF" w:themeColor="background1" w:themeShade="BF"/>
            </w:tcBorders>
            <w:noWrap/>
            <w:vAlign w:val="center"/>
            <w:hideMark/>
          </w:tcPr>
          <w:p w14:paraId="33B5DC63" w14:textId="77777777" w:rsidR="006A214E" w:rsidRPr="00ED27BA" w:rsidRDefault="006A214E" w:rsidP="006A214E">
            <w:pPr>
              <w:pStyle w:val="Betarp"/>
              <w:ind w:left="-108" w:right="-108"/>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39506,69</w:t>
            </w:r>
          </w:p>
          <w:p w14:paraId="3C6A83EE" w14:textId="28012B9B" w:rsidR="006A214E" w:rsidRPr="00900CEC" w:rsidRDefault="006A214E" w:rsidP="006A214E">
            <w:pPr>
              <w:pStyle w:val="Betarp"/>
              <w:ind w:left="-108" w:right="-108"/>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NZ"/>
              </w:rPr>
              <w:t>6874,06</w:t>
            </w:r>
          </w:p>
        </w:tc>
        <w:tc>
          <w:tcPr>
            <w:tcW w:w="1937" w:type="dxa"/>
            <w:tcBorders>
              <w:top w:val="single" w:sz="12" w:space="0" w:color="BFBFBF" w:themeColor="background1" w:themeShade="BF"/>
            </w:tcBorders>
            <w:noWrap/>
            <w:vAlign w:val="center"/>
            <w:hideMark/>
          </w:tcPr>
          <w:p w14:paraId="69A7A2B0" w14:textId="77777777" w:rsidR="006A214E" w:rsidRPr="00ED27BA" w:rsidRDefault="006A214E" w:rsidP="006A214E">
            <w:pPr>
              <w:pStyle w:val="Betarp"/>
              <w:ind w:left="-108" w:right="-108"/>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40292,97</w:t>
            </w:r>
          </w:p>
          <w:p w14:paraId="7BC56BE1" w14:textId="4FF2AD9A" w:rsidR="006A214E" w:rsidRPr="00900CEC" w:rsidRDefault="006A214E" w:rsidP="006A214E">
            <w:pPr>
              <w:pStyle w:val="Betarp"/>
              <w:ind w:left="-108" w:right="-108"/>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NZ"/>
              </w:rPr>
              <w:t>7460,04</w:t>
            </w:r>
          </w:p>
        </w:tc>
        <w:tc>
          <w:tcPr>
            <w:tcW w:w="1938" w:type="dxa"/>
            <w:tcBorders>
              <w:top w:val="single" w:sz="12" w:space="0" w:color="BFBFBF" w:themeColor="background1" w:themeShade="BF"/>
            </w:tcBorders>
            <w:noWrap/>
            <w:vAlign w:val="center"/>
            <w:hideMark/>
          </w:tcPr>
          <w:p w14:paraId="3977C97B" w14:textId="77777777" w:rsidR="006A214E" w:rsidRPr="00ED27BA" w:rsidRDefault="006A214E" w:rsidP="006A214E">
            <w:pPr>
              <w:pStyle w:val="Betarp"/>
              <w:ind w:left="-108" w:right="-107"/>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20352,05</w:t>
            </w:r>
          </w:p>
          <w:p w14:paraId="2B0067FF" w14:textId="2BFAD40C" w:rsidR="006A214E" w:rsidRPr="00900CEC" w:rsidRDefault="006A214E" w:rsidP="006A214E">
            <w:pPr>
              <w:pStyle w:val="Betarp"/>
              <w:ind w:left="-108" w:right="-107"/>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NZ"/>
              </w:rPr>
              <w:t>3090,87</w:t>
            </w:r>
          </w:p>
        </w:tc>
        <w:tc>
          <w:tcPr>
            <w:tcW w:w="1417" w:type="dxa"/>
            <w:tcBorders>
              <w:top w:val="single" w:sz="12" w:space="0" w:color="BFBFBF" w:themeColor="background1" w:themeShade="BF"/>
            </w:tcBorders>
            <w:noWrap/>
            <w:vAlign w:val="center"/>
            <w:hideMark/>
          </w:tcPr>
          <w:p w14:paraId="2FB60FC3" w14:textId="77777777" w:rsidR="006A214E" w:rsidRPr="00ED27BA" w:rsidRDefault="006A214E" w:rsidP="006A214E">
            <w:pPr>
              <w:pStyle w:val="Betarp"/>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19637,38</w:t>
            </w:r>
          </w:p>
          <w:p w14:paraId="74F29C55" w14:textId="50A5A7CD" w:rsidR="006A214E" w:rsidRPr="00900CEC" w:rsidRDefault="006A214E" w:rsidP="006A214E">
            <w:pPr>
              <w:pStyle w:val="Betarp"/>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NZ"/>
              </w:rPr>
              <w:t>5178,29</w:t>
            </w:r>
          </w:p>
        </w:tc>
      </w:tr>
      <w:tr w:rsidR="006A214E" w:rsidRPr="00900CEC" w14:paraId="0802525E" w14:textId="77777777" w:rsidTr="00163471">
        <w:trPr>
          <w:trHeight w:val="548"/>
        </w:trPr>
        <w:tc>
          <w:tcPr>
            <w:tcW w:w="1838" w:type="dxa"/>
            <w:noWrap/>
            <w:vAlign w:val="center"/>
            <w:hideMark/>
          </w:tcPr>
          <w:p w14:paraId="1706947D" w14:textId="77777777" w:rsidR="006A214E" w:rsidRPr="00900CEC" w:rsidRDefault="006A214E" w:rsidP="006A214E">
            <w:pPr>
              <w:pStyle w:val="Betarp"/>
              <w:rPr>
                <w:rFonts w:ascii="Times New Roman" w:hAnsi="Times New Roman" w:cs="Times New Roman"/>
                <w:sz w:val="20"/>
                <w:szCs w:val="20"/>
                <w:lang w:val="lt-LT" w:eastAsia="en-NZ"/>
              </w:rPr>
            </w:pPr>
            <w:r w:rsidRPr="00900CEC">
              <w:rPr>
                <w:rFonts w:ascii="Times New Roman" w:hAnsi="Times New Roman" w:cs="Times New Roman"/>
                <w:sz w:val="20"/>
                <w:szCs w:val="20"/>
                <w:lang w:val="lt-LT" w:eastAsia="en-NZ"/>
              </w:rPr>
              <w:t>AUC</w:t>
            </w:r>
            <w:r w:rsidRPr="00900CEC">
              <w:rPr>
                <w:rFonts w:ascii="Times New Roman" w:hAnsi="Times New Roman" w:cs="Times New Roman"/>
                <w:sz w:val="20"/>
                <w:szCs w:val="20"/>
                <w:vertAlign w:val="subscript"/>
                <w:lang w:val="lt-LT" w:eastAsia="en-NZ"/>
              </w:rPr>
              <w:t>0-t</w:t>
            </w:r>
            <w:r w:rsidRPr="00900CEC">
              <w:rPr>
                <w:rFonts w:ascii="Times New Roman" w:hAnsi="Times New Roman" w:cs="Times New Roman"/>
                <w:sz w:val="20"/>
                <w:szCs w:val="20"/>
                <w:lang w:val="lt-LT" w:eastAsia="en-NZ"/>
              </w:rPr>
              <w:t xml:space="preserve"> (</w:t>
            </w:r>
            <w:proofErr w:type="spellStart"/>
            <w:r w:rsidRPr="00900CEC">
              <w:rPr>
                <w:rFonts w:ascii="Times New Roman" w:hAnsi="Times New Roman" w:cs="Times New Roman"/>
                <w:sz w:val="20"/>
                <w:szCs w:val="20"/>
                <w:lang w:val="lt-LT" w:eastAsia="en-NZ"/>
              </w:rPr>
              <w:t>ng.val</w:t>
            </w:r>
            <w:proofErr w:type="spellEnd"/>
            <w:r w:rsidRPr="00900CEC">
              <w:rPr>
                <w:rFonts w:ascii="Times New Roman" w:hAnsi="Times New Roman" w:cs="Times New Roman"/>
                <w:sz w:val="20"/>
                <w:szCs w:val="20"/>
                <w:lang w:val="lt-LT" w:eastAsia="en-NZ"/>
              </w:rPr>
              <w:t>./ml)</w:t>
            </w:r>
          </w:p>
        </w:tc>
        <w:tc>
          <w:tcPr>
            <w:tcW w:w="1937" w:type="dxa"/>
            <w:noWrap/>
            <w:vAlign w:val="center"/>
            <w:hideMark/>
          </w:tcPr>
          <w:p w14:paraId="136EA4F2" w14:textId="77777777" w:rsidR="006A214E" w:rsidRPr="00ED27BA" w:rsidRDefault="006A214E" w:rsidP="006A214E">
            <w:pPr>
              <w:pStyle w:val="Betarp"/>
              <w:ind w:left="-108" w:right="-108"/>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73492,69</w:t>
            </w:r>
          </w:p>
          <w:p w14:paraId="7BCC1B17" w14:textId="7E233C56" w:rsidR="006A214E" w:rsidRPr="00900CEC" w:rsidRDefault="006A214E" w:rsidP="006A214E">
            <w:pPr>
              <w:pStyle w:val="Betarp"/>
              <w:ind w:left="-108" w:right="-108"/>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NZ"/>
              </w:rPr>
              <w:t>16509,61</w:t>
            </w:r>
          </w:p>
        </w:tc>
        <w:tc>
          <w:tcPr>
            <w:tcW w:w="1937" w:type="dxa"/>
            <w:noWrap/>
            <w:vAlign w:val="center"/>
            <w:hideMark/>
          </w:tcPr>
          <w:p w14:paraId="4B3C5A8F" w14:textId="77777777" w:rsidR="006A214E" w:rsidRPr="00ED27BA" w:rsidRDefault="006A214E" w:rsidP="006A214E">
            <w:pPr>
              <w:pStyle w:val="Betarp"/>
              <w:ind w:left="-108" w:right="-108"/>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72169,59</w:t>
            </w:r>
          </w:p>
          <w:p w14:paraId="6812A9E3" w14:textId="28CE996B" w:rsidR="006A214E" w:rsidRPr="00900CEC" w:rsidRDefault="006A214E" w:rsidP="006A214E">
            <w:pPr>
              <w:pStyle w:val="Betarp"/>
              <w:ind w:left="-108" w:right="-108"/>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NZ"/>
              </w:rPr>
              <w:t>15608,70</w:t>
            </w:r>
          </w:p>
        </w:tc>
        <w:tc>
          <w:tcPr>
            <w:tcW w:w="1938" w:type="dxa"/>
            <w:noWrap/>
            <w:vAlign w:val="center"/>
            <w:hideMark/>
          </w:tcPr>
          <w:p w14:paraId="3B3E2249" w14:textId="77777777" w:rsidR="006A214E" w:rsidRPr="00ED27BA" w:rsidRDefault="006A214E" w:rsidP="006A214E">
            <w:pPr>
              <w:pStyle w:val="Betarp"/>
              <w:ind w:left="-108" w:right="-107"/>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39642,48</w:t>
            </w:r>
          </w:p>
          <w:p w14:paraId="0539B09B" w14:textId="18E0602F" w:rsidR="006A214E" w:rsidRPr="00900CEC" w:rsidRDefault="006A214E" w:rsidP="006A214E">
            <w:pPr>
              <w:pStyle w:val="Betarp"/>
              <w:ind w:left="-108" w:right="-107"/>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NZ"/>
              </w:rPr>
              <w:t>9679,16</w:t>
            </w:r>
          </w:p>
        </w:tc>
        <w:tc>
          <w:tcPr>
            <w:tcW w:w="1417" w:type="dxa"/>
            <w:noWrap/>
            <w:vAlign w:val="center"/>
            <w:hideMark/>
          </w:tcPr>
          <w:p w14:paraId="56FD531E" w14:textId="77777777" w:rsidR="006A214E" w:rsidRPr="00ED27BA" w:rsidRDefault="006A214E" w:rsidP="006A214E">
            <w:pPr>
              <w:pStyle w:val="Betarp"/>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70417,75</w:t>
            </w:r>
          </w:p>
          <w:p w14:paraId="4DA9D94E" w14:textId="72D6BB65" w:rsidR="006A214E" w:rsidRPr="00900CEC" w:rsidRDefault="006A214E" w:rsidP="006A214E">
            <w:pPr>
              <w:pStyle w:val="Betarp"/>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NZ"/>
              </w:rPr>
              <w:t>16260,16</w:t>
            </w:r>
          </w:p>
        </w:tc>
      </w:tr>
      <w:tr w:rsidR="006A214E" w:rsidRPr="00900CEC" w14:paraId="52A60122" w14:textId="77777777" w:rsidTr="00163471">
        <w:trPr>
          <w:trHeight w:val="556"/>
        </w:trPr>
        <w:tc>
          <w:tcPr>
            <w:tcW w:w="1838" w:type="dxa"/>
            <w:noWrap/>
            <w:vAlign w:val="center"/>
            <w:hideMark/>
          </w:tcPr>
          <w:p w14:paraId="5C1E8922" w14:textId="77777777" w:rsidR="006A214E" w:rsidRPr="00900CEC" w:rsidRDefault="006A214E" w:rsidP="006A214E">
            <w:pPr>
              <w:pStyle w:val="Betarp"/>
              <w:rPr>
                <w:rFonts w:ascii="Times New Roman" w:hAnsi="Times New Roman" w:cs="Times New Roman"/>
                <w:sz w:val="20"/>
                <w:szCs w:val="20"/>
                <w:lang w:val="lt-LT" w:eastAsia="en-NZ"/>
              </w:rPr>
            </w:pPr>
            <w:r w:rsidRPr="00900CEC">
              <w:rPr>
                <w:rFonts w:ascii="Times New Roman" w:hAnsi="Times New Roman" w:cs="Times New Roman"/>
                <w:sz w:val="20"/>
                <w:szCs w:val="20"/>
                <w:lang w:val="lt-LT" w:eastAsia="en-NZ"/>
              </w:rPr>
              <w:t>AUC</w:t>
            </w:r>
            <w:r w:rsidRPr="00900CEC">
              <w:rPr>
                <w:rFonts w:ascii="Times New Roman" w:hAnsi="Times New Roman" w:cs="Times New Roman"/>
                <w:sz w:val="20"/>
                <w:szCs w:val="20"/>
                <w:vertAlign w:val="subscript"/>
                <w:lang w:val="lt-LT" w:eastAsia="en-NZ"/>
              </w:rPr>
              <w:t>0-∞</w:t>
            </w:r>
            <w:r w:rsidRPr="00900CEC">
              <w:rPr>
                <w:rFonts w:ascii="Times New Roman" w:hAnsi="Times New Roman" w:cs="Times New Roman"/>
                <w:sz w:val="20"/>
                <w:szCs w:val="20"/>
                <w:lang w:val="lt-LT" w:eastAsia="en-NZ"/>
              </w:rPr>
              <w:t xml:space="preserve"> (</w:t>
            </w:r>
            <w:proofErr w:type="spellStart"/>
            <w:r w:rsidRPr="00900CEC">
              <w:rPr>
                <w:rFonts w:ascii="Times New Roman" w:hAnsi="Times New Roman" w:cs="Times New Roman"/>
                <w:sz w:val="20"/>
                <w:szCs w:val="20"/>
                <w:lang w:val="lt-LT" w:eastAsia="en-NZ"/>
              </w:rPr>
              <w:t>ng.val</w:t>
            </w:r>
            <w:proofErr w:type="spellEnd"/>
            <w:r w:rsidRPr="00900CEC">
              <w:rPr>
                <w:rFonts w:ascii="Times New Roman" w:hAnsi="Times New Roman" w:cs="Times New Roman"/>
                <w:sz w:val="20"/>
                <w:szCs w:val="20"/>
                <w:lang w:val="lt-LT" w:eastAsia="en-NZ"/>
              </w:rPr>
              <w:t>./ml)</w:t>
            </w:r>
          </w:p>
        </w:tc>
        <w:tc>
          <w:tcPr>
            <w:tcW w:w="1937" w:type="dxa"/>
            <w:noWrap/>
            <w:vAlign w:val="center"/>
            <w:hideMark/>
          </w:tcPr>
          <w:p w14:paraId="7F1D5A4B" w14:textId="77777777" w:rsidR="006A214E" w:rsidRPr="00ED27BA" w:rsidRDefault="006A214E" w:rsidP="006A214E">
            <w:pPr>
              <w:pStyle w:val="Betarp"/>
              <w:ind w:left="-108" w:right="-108"/>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74743,31</w:t>
            </w:r>
          </w:p>
          <w:p w14:paraId="32B1ACCF" w14:textId="32E0071B" w:rsidR="006A214E" w:rsidRPr="00900CEC" w:rsidRDefault="006A214E" w:rsidP="006A214E">
            <w:pPr>
              <w:pStyle w:val="Betarp"/>
              <w:ind w:left="-108" w:right="-108"/>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NZ"/>
              </w:rPr>
              <w:t>17388,69</w:t>
            </w:r>
          </w:p>
        </w:tc>
        <w:tc>
          <w:tcPr>
            <w:tcW w:w="1937" w:type="dxa"/>
            <w:noWrap/>
            <w:vAlign w:val="center"/>
            <w:hideMark/>
          </w:tcPr>
          <w:p w14:paraId="65DEBD05" w14:textId="77777777" w:rsidR="006A214E" w:rsidRPr="00ED27BA" w:rsidRDefault="006A214E" w:rsidP="006A214E">
            <w:pPr>
              <w:pStyle w:val="Betarp"/>
              <w:ind w:left="-108" w:right="-108"/>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73410,65</w:t>
            </w:r>
          </w:p>
          <w:p w14:paraId="46BA6CAA" w14:textId="577D628F" w:rsidR="006A214E" w:rsidRPr="00900CEC" w:rsidRDefault="006A214E" w:rsidP="006A214E">
            <w:pPr>
              <w:pStyle w:val="Betarp"/>
              <w:ind w:left="-108" w:right="-108"/>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NZ"/>
              </w:rPr>
              <w:t>16500,76</w:t>
            </w:r>
          </w:p>
        </w:tc>
        <w:tc>
          <w:tcPr>
            <w:tcW w:w="1938" w:type="dxa"/>
            <w:noWrap/>
            <w:vAlign w:val="center"/>
            <w:hideMark/>
          </w:tcPr>
          <w:p w14:paraId="3411F654" w14:textId="77777777" w:rsidR="006A214E" w:rsidRPr="00ED27BA" w:rsidRDefault="006A214E" w:rsidP="006A214E">
            <w:pPr>
              <w:pStyle w:val="Betarp"/>
              <w:ind w:left="-108" w:right="-107"/>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40333,88</w:t>
            </w:r>
          </w:p>
          <w:p w14:paraId="65885D3F" w14:textId="003AFA4B" w:rsidR="006A214E" w:rsidRPr="00900CEC" w:rsidRDefault="006A214E" w:rsidP="006A214E">
            <w:pPr>
              <w:pStyle w:val="Betarp"/>
              <w:ind w:left="-108" w:right="-107"/>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NZ"/>
              </w:rPr>
              <w:t>10240,30</w:t>
            </w:r>
          </w:p>
        </w:tc>
        <w:tc>
          <w:tcPr>
            <w:tcW w:w="1417" w:type="dxa"/>
            <w:noWrap/>
            <w:vAlign w:val="center"/>
            <w:hideMark/>
          </w:tcPr>
          <w:p w14:paraId="3F17BDEB" w14:textId="77777777" w:rsidR="006A214E" w:rsidRPr="00ED27BA" w:rsidRDefault="006A214E" w:rsidP="006A214E">
            <w:pPr>
              <w:pStyle w:val="Betarp"/>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72202,48</w:t>
            </w:r>
          </w:p>
          <w:p w14:paraId="09A9D03A" w14:textId="71A0C9C3" w:rsidR="006A214E" w:rsidRPr="00900CEC" w:rsidRDefault="006A214E" w:rsidP="006A214E">
            <w:pPr>
              <w:pStyle w:val="Betarp"/>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NZ"/>
              </w:rPr>
              <w:t>17445,46</w:t>
            </w:r>
          </w:p>
        </w:tc>
      </w:tr>
      <w:tr w:rsidR="006A214E" w:rsidRPr="00900CEC" w14:paraId="7713C3DD" w14:textId="77777777" w:rsidTr="00163471">
        <w:trPr>
          <w:trHeight w:val="550"/>
        </w:trPr>
        <w:tc>
          <w:tcPr>
            <w:tcW w:w="1838" w:type="dxa"/>
            <w:noWrap/>
            <w:vAlign w:val="center"/>
            <w:hideMark/>
          </w:tcPr>
          <w:p w14:paraId="45865ACE" w14:textId="77777777" w:rsidR="006A214E" w:rsidRPr="00900CEC" w:rsidRDefault="006A214E" w:rsidP="006A214E">
            <w:pPr>
              <w:pStyle w:val="Betarp"/>
              <w:rPr>
                <w:rFonts w:ascii="Times New Roman" w:hAnsi="Times New Roman" w:cs="Times New Roman"/>
                <w:sz w:val="20"/>
                <w:szCs w:val="20"/>
                <w:lang w:val="lt-LT" w:eastAsia="en-NZ"/>
              </w:rPr>
            </w:pPr>
            <w:r w:rsidRPr="00900CEC">
              <w:rPr>
                <w:rFonts w:ascii="Times New Roman" w:hAnsi="Times New Roman" w:cs="Times New Roman"/>
                <w:sz w:val="20"/>
                <w:szCs w:val="20"/>
                <w:lang w:val="lt-LT" w:eastAsia="en-NZ"/>
              </w:rPr>
              <w:t>T</w:t>
            </w:r>
            <w:r w:rsidRPr="00900CEC">
              <w:rPr>
                <w:rFonts w:ascii="Times New Roman" w:hAnsi="Times New Roman" w:cs="Times New Roman"/>
                <w:sz w:val="20"/>
                <w:szCs w:val="20"/>
                <w:vertAlign w:val="subscript"/>
                <w:lang w:val="lt-LT" w:eastAsia="en-NZ"/>
              </w:rPr>
              <w:t>max</w:t>
            </w:r>
            <w:r w:rsidRPr="00900CEC">
              <w:rPr>
                <w:rFonts w:ascii="Times New Roman" w:hAnsi="Times New Roman" w:cs="Times New Roman"/>
                <w:sz w:val="20"/>
                <w:szCs w:val="20"/>
                <w:lang w:val="lt-LT" w:eastAsia="en-NZ"/>
              </w:rPr>
              <w:t xml:space="preserve"> (val.)</w:t>
            </w:r>
          </w:p>
        </w:tc>
        <w:tc>
          <w:tcPr>
            <w:tcW w:w="1937" w:type="dxa"/>
            <w:noWrap/>
            <w:vAlign w:val="center"/>
            <w:hideMark/>
          </w:tcPr>
          <w:p w14:paraId="4E56686D" w14:textId="41E49147" w:rsidR="006A214E" w:rsidRPr="00900CEC" w:rsidRDefault="006A214E" w:rsidP="006A214E">
            <w:pPr>
              <w:pStyle w:val="Betarp"/>
              <w:ind w:left="-108" w:right="-108"/>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rPr>
              <w:t>0,25 (infuzijos pabaiga)</w:t>
            </w:r>
          </w:p>
        </w:tc>
        <w:tc>
          <w:tcPr>
            <w:tcW w:w="1937" w:type="dxa"/>
            <w:noWrap/>
            <w:vAlign w:val="center"/>
            <w:hideMark/>
          </w:tcPr>
          <w:p w14:paraId="63F10466" w14:textId="1970BE05" w:rsidR="006A214E" w:rsidRPr="00900CEC" w:rsidRDefault="006A214E" w:rsidP="006A214E">
            <w:pPr>
              <w:pStyle w:val="Betarp"/>
              <w:ind w:left="-108" w:right="-108"/>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rPr>
              <w:t>0,25 (infuzijos pabaiga)</w:t>
            </w:r>
          </w:p>
        </w:tc>
        <w:tc>
          <w:tcPr>
            <w:tcW w:w="1938" w:type="dxa"/>
            <w:noWrap/>
            <w:vAlign w:val="center"/>
            <w:hideMark/>
          </w:tcPr>
          <w:p w14:paraId="30429EFD" w14:textId="65370B29" w:rsidR="006A214E" w:rsidRPr="00900CEC" w:rsidRDefault="006A214E" w:rsidP="006A214E">
            <w:pPr>
              <w:pStyle w:val="Betarp"/>
              <w:ind w:left="-108" w:right="-107"/>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rPr>
              <w:t>0,25 (infuzijos pabaiga)</w:t>
            </w:r>
          </w:p>
        </w:tc>
        <w:tc>
          <w:tcPr>
            <w:tcW w:w="1417" w:type="dxa"/>
            <w:noWrap/>
            <w:vAlign w:val="center"/>
            <w:hideMark/>
          </w:tcPr>
          <w:p w14:paraId="06DA12E6" w14:textId="1FB1F53D" w:rsidR="006A214E" w:rsidRPr="00900CEC" w:rsidRDefault="006A214E" w:rsidP="006A214E">
            <w:pPr>
              <w:pStyle w:val="Betarp"/>
              <w:jc w:val="center"/>
              <w:rPr>
                <w:rFonts w:ascii="Times New Roman" w:hAnsi="Times New Roman" w:cs="Times New Roman"/>
                <w:sz w:val="20"/>
                <w:szCs w:val="20"/>
                <w:lang w:val="lt-LT" w:eastAsia="en-NZ"/>
              </w:rPr>
            </w:pPr>
            <w:r w:rsidRPr="00ED27BA">
              <w:rPr>
                <w:rFonts w:ascii="Times New Roman" w:hAnsi="Times New Roman" w:cs="Times New Roman"/>
                <w:sz w:val="20"/>
                <w:szCs w:val="20"/>
                <w:lang w:val="lt-LT" w:eastAsia="en-NZ"/>
              </w:rPr>
              <w:t>1,49</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NZ"/>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NZ"/>
              </w:rPr>
              <w:t>0,89</w:t>
            </w:r>
          </w:p>
        </w:tc>
      </w:tr>
      <w:tr w:rsidR="006A214E" w:rsidRPr="00900CEC" w14:paraId="6F0AD49B" w14:textId="77777777" w:rsidTr="00163471">
        <w:trPr>
          <w:trHeight w:val="558"/>
        </w:trPr>
        <w:tc>
          <w:tcPr>
            <w:tcW w:w="1838" w:type="dxa"/>
            <w:noWrap/>
            <w:vAlign w:val="center"/>
            <w:hideMark/>
          </w:tcPr>
          <w:p w14:paraId="4C4DEBF9" w14:textId="77777777" w:rsidR="006A214E" w:rsidRPr="00900CEC" w:rsidRDefault="006A214E" w:rsidP="006A214E">
            <w:pPr>
              <w:pStyle w:val="Betarp"/>
              <w:rPr>
                <w:rFonts w:ascii="Times New Roman" w:hAnsi="Times New Roman" w:cs="Times New Roman"/>
                <w:sz w:val="20"/>
                <w:szCs w:val="20"/>
                <w:lang w:val="lt-LT" w:eastAsia="en-NZ"/>
              </w:rPr>
            </w:pPr>
            <w:r w:rsidRPr="00900CEC">
              <w:rPr>
                <w:rFonts w:ascii="Times New Roman" w:hAnsi="Times New Roman" w:cs="Times New Roman"/>
                <w:sz w:val="20"/>
                <w:szCs w:val="20"/>
                <w:lang w:val="lt-LT" w:eastAsia="en-NZ"/>
              </w:rPr>
              <w:t>t</w:t>
            </w:r>
            <w:r w:rsidRPr="00900CEC">
              <w:rPr>
                <w:rFonts w:ascii="Times New Roman" w:hAnsi="Times New Roman" w:cs="Times New Roman"/>
                <w:sz w:val="20"/>
                <w:szCs w:val="20"/>
                <w:vertAlign w:val="subscript"/>
                <w:lang w:val="lt-LT" w:eastAsia="en-NZ"/>
              </w:rPr>
              <w:t xml:space="preserve">1/2 </w:t>
            </w:r>
            <w:r w:rsidRPr="00900CEC">
              <w:rPr>
                <w:rFonts w:ascii="Times New Roman" w:hAnsi="Times New Roman" w:cs="Times New Roman"/>
                <w:sz w:val="20"/>
                <w:szCs w:val="20"/>
                <w:lang w:val="lt-LT" w:eastAsia="en-NZ"/>
              </w:rPr>
              <w:t>(val.)</w:t>
            </w:r>
          </w:p>
        </w:tc>
        <w:tc>
          <w:tcPr>
            <w:tcW w:w="1937" w:type="dxa"/>
            <w:noWrap/>
            <w:vAlign w:val="center"/>
            <w:hideMark/>
          </w:tcPr>
          <w:p w14:paraId="64627E81" w14:textId="426A366D" w:rsidR="006A214E" w:rsidRPr="00900CEC" w:rsidRDefault="006A214E" w:rsidP="006A214E">
            <w:pPr>
              <w:pStyle w:val="Betarp"/>
              <w:ind w:left="-108" w:right="-108"/>
              <w:jc w:val="center"/>
              <w:rPr>
                <w:rFonts w:ascii="Times New Roman" w:hAnsi="Times New Roman" w:cs="Times New Roman"/>
                <w:sz w:val="20"/>
                <w:szCs w:val="20"/>
                <w:highlight w:val="yellow"/>
                <w:lang w:val="lt-LT" w:eastAsia="en-NZ"/>
              </w:rPr>
            </w:pPr>
            <w:r w:rsidRPr="00ED27BA">
              <w:rPr>
                <w:rFonts w:ascii="Times New Roman" w:hAnsi="Times New Roman" w:cs="Times New Roman"/>
                <w:sz w:val="20"/>
                <w:szCs w:val="20"/>
                <w:lang w:val="lt-LT" w:eastAsia="en-NZ"/>
              </w:rPr>
              <w:t>1,88</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GB"/>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GB"/>
              </w:rPr>
              <w:t>0,28</w:t>
            </w:r>
          </w:p>
        </w:tc>
        <w:tc>
          <w:tcPr>
            <w:tcW w:w="1937" w:type="dxa"/>
            <w:noWrap/>
            <w:vAlign w:val="center"/>
            <w:hideMark/>
          </w:tcPr>
          <w:p w14:paraId="319C0CE8" w14:textId="231971AE" w:rsidR="006A214E" w:rsidRPr="00900CEC" w:rsidRDefault="006A214E" w:rsidP="006A214E">
            <w:pPr>
              <w:pStyle w:val="Betarp"/>
              <w:ind w:left="-108" w:right="-108"/>
              <w:jc w:val="center"/>
              <w:rPr>
                <w:rFonts w:ascii="Times New Roman" w:hAnsi="Times New Roman" w:cs="Times New Roman"/>
                <w:sz w:val="20"/>
                <w:szCs w:val="20"/>
                <w:highlight w:val="yellow"/>
                <w:lang w:val="lt-LT" w:eastAsia="en-NZ"/>
              </w:rPr>
            </w:pPr>
            <w:r w:rsidRPr="00ED27BA">
              <w:rPr>
                <w:rFonts w:ascii="Times New Roman" w:hAnsi="Times New Roman" w:cs="Times New Roman"/>
                <w:sz w:val="20"/>
                <w:szCs w:val="20"/>
                <w:lang w:val="lt-LT" w:eastAsia="en-NZ"/>
              </w:rPr>
              <w:t>1,87</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GB"/>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GB"/>
              </w:rPr>
              <w:t>0,27</w:t>
            </w:r>
          </w:p>
        </w:tc>
        <w:tc>
          <w:tcPr>
            <w:tcW w:w="1938" w:type="dxa"/>
            <w:noWrap/>
            <w:vAlign w:val="center"/>
            <w:hideMark/>
          </w:tcPr>
          <w:p w14:paraId="4AA7E54A" w14:textId="6371B14B" w:rsidR="006A214E" w:rsidRPr="00900CEC" w:rsidRDefault="006A214E" w:rsidP="006A214E">
            <w:pPr>
              <w:pStyle w:val="Betarp"/>
              <w:ind w:left="-108" w:right="-107"/>
              <w:jc w:val="center"/>
              <w:rPr>
                <w:rFonts w:ascii="Times New Roman" w:hAnsi="Times New Roman" w:cs="Times New Roman"/>
                <w:sz w:val="20"/>
                <w:szCs w:val="20"/>
                <w:highlight w:val="yellow"/>
                <w:lang w:val="lt-LT" w:eastAsia="en-NZ"/>
              </w:rPr>
            </w:pPr>
            <w:r w:rsidRPr="00ED27BA">
              <w:rPr>
                <w:rFonts w:ascii="Times New Roman" w:hAnsi="Times New Roman" w:cs="Times New Roman"/>
                <w:sz w:val="20"/>
                <w:szCs w:val="20"/>
                <w:lang w:val="lt-LT" w:eastAsia="en-NZ"/>
              </w:rPr>
              <w:t>1,88</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GB"/>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GB"/>
              </w:rPr>
              <w:t>0,30</w:t>
            </w:r>
          </w:p>
        </w:tc>
        <w:tc>
          <w:tcPr>
            <w:tcW w:w="1417" w:type="dxa"/>
            <w:noWrap/>
            <w:vAlign w:val="center"/>
            <w:hideMark/>
          </w:tcPr>
          <w:p w14:paraId="26142CE3" w14:textId="1B141BAE" w:rsidR="006A214E" w:rsidRPr="00900CEC" w:rsidRDefault="006A214E" w:rsidP="006A214E">
            <w:pPr>
              <w:pStyle w:val="Betarp"/>
              <w:jc w:val="center"/>
              <w:rPr>
                <w:rFonts w:ascii="Times New Roman" w:hAnsi="Times New Roman" w:cs="Times New Roman"/>
                <w:sz w:val="20"/>
                <w:szCs w:val="20"/>
                <w:highlight w:val="yellow"/>
                <w:lang w:val="lt-LT" w:eastAsia="en-NZ"/>
              </w:rPr>
            </w:pPr>
            <w:r w:rsidRPr="00ED27BA">
              <w:rPr>
                <w:rFonts w:ascii="Times New Roman" w:hAnsi="Times New Roman" w:cs="Times New Roman"/>
                <w:sz w:val="20"/>
                <w:szCs w:val="20"/>
                <w:lang w:val="lt-LT" w:eastAsia="en-NZ"/>
              </w:rPr>
              <w:t>1,99</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GB"/>
              </w:rPr>
              <w:t>±</w:t>
            </w:r>
            <w:r w:rsidRPr="00F12D19">
              <w:rPr>
                <w:rFonts w:ascii="Times New Roman" w:hAnsi="Times New Roman" w:cs="Times New Roman"/>
                <w:iCs/>
                <w:lang w:val="lt-LT"/>
              </w:rPr>
              <w:t> </w:t>
            </w:r>
            <w:r w:rsidRPr="00ED27BA">
              <w:rPr>
                <w:rFonts w:ascii="Times New Roman" w:hAnsi="Times New Roman" w:cs="Times New Roman"/>
                <w:sz w:val="20"/>
                <w:szCs w:val="20"/>
                <w:lang w:val="lt-LT" w:eastAsia="en-GB"/>
              </w:rPr>
              <w:t>0,36</w:t>
            </w:r>
          </w:p>
        </w:tc>
      </w:tr>
    </w:tbl>
    <w:p w14:paraId="0D8B3DD7" w14:textId="0969F349" w:rsidR="00F51FBD" w:rsidRPr="00900CEC" w:rsidRDefault="00F51FBD" w:rsidP="00F51FBD">
      <w:pPr>
        <w:widowControl w:val="0"/>
        <w:spacing w:line="240" w:lineRule="auto"/>
        <w:ind w:right="-2"/>
        <w:rPr>
          <w:iCs/>
          <w:szCs w:val="22"/>
          <w:u w:val="single"/>
          <w:lang w:val="lt-LT"/>
        </w:rPr>
      </w:pPr>
      <w:r w:rsidRPr="00900CEC">
        <w:rPr>
          <w:iCs/>
          <w:sz w:val="18"/>
          <w:szCs w:val="18"/>
          <w:lang w:val="lt-LT"/>
        </w:rPr>
        <w:t>Pastaba:</w:t>
      </w:r>
      <w:r w:rsidRPr="003C5173">
        <w:rPr>
          <w:b/>
          <w:iCs/>
          <w:sz w:val="20"/>
          <w:lang w:val="lt-LT" w:eastAsia="en-NZ"/>
        </w:rPr>
        <w:t xml:space="preserve"> </w:t>
      </w:r>
      <w:r w:rsidRPr="003C5173">
        <w:rPr>
          <w:b/>
          <w:iCs/>
          <w:sz w:val="18"/>
          <w:szCs w:val="18"/>
          <w:lang w:val="lt-LT"/>
        </w:rPr>
        <w:t>paracetamolio/ibuprofeno</w:t>
      </w:r>
      <w:r w:rsidRPr="00900CEC">
        <w:rPr>
          <w:iCs/>
          <w:sz w:val="18"/>
          <w:szCs w:val="18"/>
          <w:lang w:val="lt-LT"/>
        </w:rPr>
        <w:t xml:space="preserve"> tabletės</w:t>
      </w:r>
      <w:r w:rsidR="006A214E">
        <w:rPr>
          <w:iCs/>
          <w:sz w:val="18"/>
          <w:szCs w:val="18"/>
          <w:lang w:val="lt-LT"/>
        </w:rPr>
        <w:t> </w:t>
      </w:r>
      <w:r w:rsidRPr="00900CEC">
        <w:rPr>
          <w:iCs/>
          <w:sz w:val="18"/>
          <w:szCs w:val="18"/>
          <w:lang w:val="lt-LT"/>
        </w:rPr>
        <w:t>=</w:t>
      </w:r>
      <w:r w:rsidR="006A214E">
        <w:rPr>
          <w:iCs/>
          <w:sz w:val="18"/>
          <w:szCs w:val="18"/>
          <w:lang w:val="lt-LT"/>
        </w:rPr>
        <w:t> </w:t>
      </w:r>
      <w:r w:rsidRPr="00900CEC">
        <w:rPr>
          <w:iCs/>
          <w:sz w:val="18"/>
          <w:szCs w:val="18"/>
          <w:lang w:val="lt-LT"/>
        </w:rPr>
        <w:t>500</w:t>
      </w:r>
      <w:r w:rsidR="006A214E">
        <w:rPr>
          <w:iCs/>
          <w:sz w:val="18"/>
          <w:szCs w:val="18"/>
          <w:lang w:val="lt-LT"/>
        </w:rPr>
        <w:t> </w:t>
      </w:r>
      <w:r w:rsidRPr="00900CEC">
        <w:rPr>
          <w:iCs/>
          <w:sz w:val="18"/>
          <w:szCs w:val="18"/>
          <w:lang w:val="lt-LT"/>
        </w:rPr>
        <w:t>mg paracetamolio / 150</w:t>
      </w:r>
      <w:r w:rsidR="006A214E">
        <w:rPr>
          <w:iCs/>
          <w:sz w:val="18"/>
          <w:szCs w:val="18"/>
          <w:lang w:val="lt-LT"/>
        </w:rPr>
        <w:t> </w:t>
      </w:r>
      <w:r w:rsidRPr="00900CEC">
        <w:rPr>
          <w:iCs/>
          <w:sz w:val="18"/>
          <w:szCs w:val="18"/>
          <w:lang w:val="lt-LT"/>
        </w:rPr>
        <w:t>mg ibuprofeno plėvele dengtos tabletės.</w:t>
      </w:r>
    </w:p>
    <w:p w14:paraId="31D01A94" w14:textId="77777777" w:rsidR="00F51FBD" w:rsidRPr="00900CEC" w:rsidRDefault="00F51FBD" w:rsidP="00F51FBD">
      <w:pPr>
        <w:widowControl w:val="0"/>
        <w:spacing w:line="240" w:lineRule="auto"/>
        <w:ind w:right="-2"/>
        <w:rPr>
          <w:szCs w:val="22"/>
          <w:u w:val="single"/>
          <w:lang w:val="lt-LT"/>
        </w:rPr>
      </w:pPr>
    </w:p>
    <w:p w14:paraId="17985F75" w14:textId="612A0C6F" w:rsidR="00F51FBD" w:rsidRPr="00900CEC" w:rsidRDefault="00F51FBD" w:rsidP="00F51FBD">
      <w:pPr>
        <w:widowControl w:val="0"/>
        <w:spacing w:line="240" w:lineRule="auto"/>
        <w:ind w:right="-2"/>
        <w:rPr>
          <w:szCs w:val="22"/>
          <w:lang w:val="lt-LT"/>
        </w:rPr>
      </w:pPr>
      <w:r w:rsidRPr="00900CEC">
        <w:rPr>
          <w:szCs w:val="22"/>
          <w:lang w:val="lt-LT"/>
        </w:rPr>
        <w:t xml:space="preserve">Farmakokinetikos rodikliai, skyrus vienkartinę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Pr="00900CEC">
        <w:rPr>
          <w:szCs w:val="22"/>
          <w:lang w:val="lt-LT"/>
        </w:rPr>
        <w:t xml:space="preserve"> dozę, leidžiamą į veną arba per burną, buvo panašūs, išskyrus į veną leidžiamo vaistinio preparato C</w:t>
      </w:r>
      <w:r w:rsidRPr="00900CEC">
        <w:rPr>
          <w:szCs w:val="22"/>
          <w:vertAlign w:val="subscript"/>
          <w:lang w:val="lt-LT"/>
        </w:rPr>
        <w:t>max</w:t>
      </w:r>
      <w:r w:rsidRPr="00900CEC">
        <w:rPr>
          <w:szCs w:val="22"/>
          <w:lang w:val="lt-LT"/>
        </w:rPr>
        <w:t>, kuri buvo dvigubai didesnė nei geriamosios vaistinio preparato formos, ir, kaip buvo galima tikėtis, suleidus į veną, T</w:t>
      </w:r>
      <w:r w:rsidRPr="00900CEC">
        <w:rPr>
          <w:szCs w:val="22"/>
          <w:vertAlign w:val="subscript"/>
          <w:lang w:val="lt-LT"/>
        </w:rPr>
        <w:t>max</w:t>
      </w:r>
      <w:r w:rsidRPr="00900CEC">
        <w:rPr>
          <w:szCs w:val="22"/>
          <w:lang w:val="lt-LT"/>
        </w:rPr>
        <w:t xml:space="preserve"> buvo pasiekta daug greičiau (per 15</w:t>
      </w:r>
      <w:r w:rsidR="006A214E">
        <w:rPr>
          <w:szCs w:val="22"/>
          <w:lang w:val="lt-LT"/>
        </w:rPr>
        <w:t> </w:t>
      </w:r>
      <w:r w:rsidRPr="00900CEC">
        <w:rPr>
          <w:szCs w:val="22"/>
          <w:lang w:val="lt-LT"/>
        </w:rPr>
        <w:t>minučių) nei vartojant per burną.</w:t>
      </w:r>
    </w:p>
    <w:p w14:paraId="4B92CE1D" w14:textId="77777777" w:rsidR="00F51FBD" w:rsidRPr="00900CEC" w:rsidRDefault="00F51FBD" w:rsidP="00F51FBD">
      <w:pPr>
        <w:widowControl w:val="0"/>
        <w:spacing w:line="240" w:lineRule="auto"/>
        <w:ind w:right="-2"/>
        <w:rPr>
          <w:szCs w:val="22"/>
          <w:u w:val="single"/>
          <w:lang w:val="lt-LT"/>
        </w:rPr>
      </w:pPr>
    </w:p>
    <w:p w14:paraId="59FA1ABB" w14:textId="77777777" w:rsidR="00F51FBD" w:rsidRPr="00900CEC" w:rsidRDefault="00F51FBD" w:rsidP="00F51FBD">
      <w:pPr>
        <w:widowControl w:val="0"/>
        <w:spacing w:line="240" w:lineRule="auto"/>
        <w:ind w:right="-2"/>
        <w:rPr>
          <w:szCs w:val="22"/>
          <w:u w:val="single"/>
          <w:lang w:val="lt-LT"/>
        </w:rPr>
      </w:pPr>
      <w:r w:rsidRPr="00900CEC">
        <w:rPr>
          <w:szCs w:val="22"/>
          <w:u w:val="single"/>
          <w:lang w:val="lt-LT"/>
        </w:rPr>
        <w:t>Pasiskirstymas</w:t>
      </w:r>
    </w:p>
    <w:p w14:paraId="6AE05CDC" w14:textId="77777777" w:rsidR="00F51FBD" w:rsidRPr="00900CEC" w:rsidRDefault="00F51FBD" w:rsidP="00F51FBD">
      <w:pPr>
        <w:widowControl w:val="0"/>
        <w:spacing w:line="240" w:lineRule="auto"/>
        <w:ind w:right="-2"/>
        <w:rPr>
          <w:iCs/>
          <w:szCs w:val="22"/>
          <w:u w:val="single"/>
          <w:lang w:val="lt-LT"/>
        </w:rPr>
      </w:pPr>
      <w:r w:rsidRPr="00900CEC">
        <w:rPr>
          <w:szCs w:val="22"/>
          <w:lang w:val="lt-LT"/>
        </w:rPr>
        <w:t>Paracetamolis patenka į daugumą organizmo audinių. Didelė ibuprofeno dalis (90-99 %) būna prisijungusi prie plazmos baltymų.</w:t>
      </w:r>
    </w:p>
    <w:p w14:paraId="3C575776" w14:textId="77777777" w:rsidR="00F51FBD" w:rsidRPr="00900CEC" w:rsidRDefault="00F51FBD" w:rsidP="00F51FBD">
      <w:pPr>
        <w:widowControl w:val="0"/>
        <w:spacing w:line="240" w:lineRule="auto"/>
        <w:ind w:right="-2"/>
        <w:rPr>
          <w:iCs/>
          <w:szCs w:val="22"/>
          <w:u w:val="single"/>
          <w:lang w:val="lt-LT"/>
        </w:rPr>
      </w:pPr>
    </w:p>
    <w:p w14:paraId="7DC3274D" w14:textId="77777777" w:rsidR="00F51FBD" w:rsidRPr="00900CEC" w:rsidRDefault="00F51FBD" w:rsidP="00F51FBD">
      <w:pPr>
        <w:pStyle w:val="Antrat3"/>
        <w:keepNext w:val="0"/>
        <w:keepLines w:val="0"/>
        <w:widowControl w:val="0"/>
        <w:spacing w:before="0" w:after="0" w:line="240" w:lineRule="auto"/>
        <w:rPr>
          <w:rFonts w:ascii="Times New Roman" w:hAnsi="Times New Roman"/>
          <w:b w:val="0"/>
          <w:sz w:val="22"/>
          <w:szCs w:val="22"/>
          <w:u w:val="single"/>
          <w:lang w:val="lt-LT"/>
        </w:rPr>
      </w:pPr>
      <w:r w:rsidRPr="00900CEC">
        <w:rPr>
          <w:rFonts w:ascii="Times New Roman" w:hAnsi="Times New Roman"/>
          <w:b w:val="0"/>
          <w:sz w:val="22"/>
          <w:szCs w:val="22"/>
          <w:u w:val="single"/>
          <w:lang w:val="lt-LT"/>
        </w:rPr>
        <w:t>Biotransformacija</w:t>
      </w:r>
    </w:p>
    <w:p w14:paraId="42C7A238" w14:textId="77777777" w:rsidR="00F51FBD" w:rsidRPr="00900CEC" w:rsidRDefault="00F51FBD" w:rsidP="00F51FBD">
      <w:pPr>
        <w:widowControl w:val="0"/>
        <w:spacing w:line="240" w:lineRule="auto"/>
        <w:rPr>
          <w:szCs w:val="22"/>
          <w:lang w:val="lt-LT"/>
        </w:rPr>
      </w:pPr>
      <w:r w:rsidRPr="00900CEC">
        <w:rPr>
          <w:szCs w:val="22"/>
          <w:lang w:val="lt-LT"/>
        </w:rPr>
        <w:t xml:space="preserve">Paracetamolis ekstensyviai metabolizuojamas kepenyse ir išskiriamas su šlapimu, daugiausia kaip neaktyvūs </w:t>
      </w:r>
      <w:proofErr w:type="spellStart"/>
      <w:r w:rsidRPr="00900CEC">
        <w:rPr>
          <w:szCs w:val="22"/>
          <w:lang w:val="lt-LT"/>
        </w:rPr>
        <w:t>gliukuronido</w:t>
      </w:r>
      <w:proofErr w:type="spellEnd"/>
      <w:r w:rsidRPr="00900CEC">
        <w:rPr>
          <w:szCs w:val="22"/>
          <w:lang w:val="lt-LT"/>
        </w:rPr>
        <w:t xml:space="preserve"> ir sulfato </w:t>
      </w:r>
      <w:proofErr w:type="spellStart"/>
      <w:r w:rsidRPr="00900CEC">
        <w:rPr>
          <w:szCs w:val="22"/>
          <w:lang w:val="lt-LT"/>
        </w:rPr>
        <w:t>konjugatai</w:t>
      </w:r>
      <w:proofErr w:type="spellEnd"/>
      <w:r w:rsidRPr="00900CEC">
        <w:rPr>
          <w:szCs w:val="22"/>
          <w:lang w:val="lt-LT"/>
        </w:rPr>
        <w:t xml:space="preserve">. Mažiau kaip 5 % paracetamolio išskiriama nepakitusio. Tarp </w:t>
      </w:r>
      <w:proofErr w:type="spellStart"/>
      <w:r w:rsidRPr="00900CEC">
        <w:rPr>
          <w:szCs w:val="22"/>
          <w:lang w:val="lt-LT"/>
        </w:rPr>
        <w:t>paracetamolio</w:t>
      </w:r>
      <w:proofErr w:type="spellEnd"/>
      <w:r w:rsidRPr="00900CEC">
        <w:rPr>
          <w:szCs w:val="22"/>
          <w:lang w:val="lt-LT"/>
        </w:rPr>
        <w:t xml:space="preserve"> metabolitų yra </w:t>
      </w:r>
      <w:proofErr w:type="spellStart"/>
      <w:r w:rsidRPr="00900CEC">
        <w:rPr>
          <w:szCs w:val="22"/>
          <w:lang w:val="lt-LT"/>
        </w:rPr>
        <w:t>hepatotoksiškas</w:t>
      </w:r>
      <w:proofErr w:type="spellEnd"/>
      <w:r w:rsidRPr="00900CEC">
        <w:rPr>
          <w:szCs w:val="22"/>
          <w:lang w:val="lt-LT"/>
        </w:rPr>
        <w:t xml:space="preserve"> </w:t>
      </w:r>
      <w:proofErr w:type="spellStart"/>
      <w:r w:rsidRPr="00900CEC">
        <w:rPr>
          <w:szCs w:val="22"/>
          <w:lang w:val="lt-LT"/>
        </w:rPr>
        <w:t>hidroksilintas</w:t>
      </w:r>
      <w:proofErr w:type="spellEnd"/>
      <w:r w:rsidRPr="00900CEC">
        <w:rPr>
          <w:szCs w:val="22"/>
          <w:lang w:val="lt-LT"/>
        </w:rPr>
        <w:t xml:space="preserve"> tarpinis produktas, kurio susidaro nedaug. Šis aktyvus tarpinis metabolitas detoksikuojamas vykstant </w:t>
      </w:r>
      <w:proofErr w:type="spellStart"/>
      <w:r w:rsidRPr="00900CEC">
        <w:rPr>
          <w:szCs w:val="22"/>
          <w:lang w:val="lt-LT"/>
        </w:rPr>
        <w:t>konjugacijai</w:t>
      </w:r>
      <w:proofErr w:type="spellEnd"/>
      <w:r w:rsidRPr="00900CEC">
        <w:rPr>
          <w:szCs w:val="22"/>
          <w:lang w:val="lt-LT"/>
        </w:rPr>
        <w:t xml:space="preserve"> su </w:t>
      </w:r>
      <w:proofErr w:type="spellStart"/>
      <w:r w:rsidRPr="00900CEC">
        <w:rPr>
          <w:szCs w:val="22"/>
          <w:lang w:val="lt-LT"/>
        </w:rPr>
        <w:t>gliutationu</w:t>
      </w:r>
      <w:proofErr w:type="spellEnd"/>
      <w:r w:rsidRPr="00900CEC">
        <w:rPr>
          <w:szCs w:val="22"/>
          <w:lang w:val="lt-LT"/>
        </w:rPr>
        <w:t xml:space="preserve">, tačiau </w:t>
      </w:r>
      <w:r w:rsidRPr="00900CEC">
        <w:rPr>
          <w:szCs w:val="22"/>
          <w:lang w:val="lt-LT"/>
        </w:rPr>
        <w:lastRenderedPageBreak/>
        <w:t>perdozavus paracetamolio jis gali kauptis, o negydant – sukelti sunkų ir net negrįžtamą kepenų pažeidimą.</w:t>
      </w:r>
    </w:p>
    <w:p w14:paraId="7FA711E3" w14:textId="77777777" w:rsidR="00F51FBD" w:rsidRPr="00900CEC" w:rsidRDefault="00F51FBD" w:rsidP="00F51FBD">
      <w:pPr>
        <w:spacing w:line="240" w:lineRule="auto"/>
        <w:rPr>
          <w:szCs w:val="22"/>
          <w:lang w:val="lt-LT"/>
        </w:rPr>
      </w:pPr>
    </w:p>
    <w:p w14:paraId="47661F9C" w14:textId="77777777" w:rsidR="00F51FBD" w:rsidRPr="00900CEC" w:rsidRDefault="00F51FBD" w:rsidP="00F51FBD">
      <w:pPr>
        <w:widowControl w:val="0"/>
        <w:spacing w:line="240" w:lineRule="auto"/>
        <w:ind w:right="-2"/>
        <w:rPr>
          <w:szCs w:val="22"/>
          <w:lang w:val="lt-LT"/>
        </w:rPr>
      </w:pPr>
      <w:r w:rsidRPr="00900CEC">
        <w:rPr>
          <w:szCs w:val="22"/>
          <w:lang w:val="lt-LT"/>
        </w:rPr>
        <w:t xml:space="preserve">Ibuprofenas kepenyse ekstensyviai metabolizuojamas į neaktyvius junginius, daugiausia vykstant </w:t>
      </w:r>
      <w:proofErr w:type="spellStart"/>
      <w:r w:rsidRPr="00900CEC">
        <w:rPr>
          <w:szCs w:val="22"/>
          <w:lang w:val="lt-LT"/>
        </w:rPr>
        <w:t>gliukuronidacijai</w:t>
      </w:r>
      <w:proofErr w:type="spellEnd"/>
      <w:r w:rsidRPr="00900CEC">
        <w:rPr>
          <w:szCs w:val="22"/>
          <w:lang w:val="lt-LT"/>
        </w:rPr>
        <w:t>.</w:t>
      </w:r>
    </w:p>
    <w:p w14:paraId="33D77E1D" w14:textId="77777777" w:rsidR="00F51FBD" w:rsidRPr="00900CEC" w:rsidRDefault="00F51FBD" w:rsidP="00F51FBD">
      <w:pPr>
        <w:widowControl w:val="0"/>
        <w:spacing w:line="240" w:lineRule="auto"/>
        <w:ind w:right="-2"/>
        <w:rPr>
          <w:szCs w:val="22"/>
          <w:lang w:val="lt-LT"/>
        </w:rPr>
      </w:pPr>
    </w:p>
    <w:p w14:paraId="6D0DDB3A" w14:textId="252BDED5" w:rsidR="00F51FBD" w:rsidRPr="00900CEC" w:rsidRDefault="00F51FBD" w:rsidP="00F51FBD">
      <w:pPr>
        <w:widowControl w:val="0"/>
        <w:spacing w:line="240" w:lineRule="auto"/>
        <w:ind w:right="-2"/>
        <w:rPr>
          <w:iCs/>
          <w:szCs w:val="22"/>
          <w:u w:val="single"/>
          <w:lang w:val="lt-LT"/>
        </w:rPr>
      </w:pPr>
      <w:r w:rsidRPr="00900CEC">
        <w:rPr>
          <w:bCs/>
          <w:szCs w:val="22"/>
          <w:lang w:val="lt-LT"/>
        </w:rPr>
        <w:t xml:space="preserve">Vienkartinės dozės klinikinio tyrimo metu tirta ibuprofeno įtaka paracetamolio oksidaciniam metabolizmui sveikų savanorių organizme nevalgius. Jo duomenimis, ibuprofenas neturi įtakos oksidacinio metabolizmo būdu </w:t>
      </w:r>
      <w:proofErr w:type="spellStart"/>
      <w:r w:rsidRPr="00900CEC">
        <w:rPr>
          <w:bCs/>
          <w:szCs w:val="22"/>
          <w:lang w:val="lt-LT"/>
        </w:rPr>
        <w:t>metabolizuojamam</w:t>
      </w:r>
      <w:proofErr w:type="spellEnd"/>
      <w:r w:rsidRPr="00900CEC">
        <w:rPr>
          <w:bCs/>
          <w:szCs w:val="22"/>
          <w:lang w:val="lt-LT"/>
        </w:rPr>
        <w:t xml:space="preserve"> </w:t>
      </w:r>
      <w:proofErr w:type="spellStart"/>
      <w:r w:rsidRPr="00900CEC">
        <w:rPr>
          <w:bCs/>
          <w:szCs w:val="22"/>
          <w:lang w:val="lt-LT"/>
        </w:rPr>
        <w:t>paracetamolio</w:t>
      </w:r>
      <w:proofErr w:type="spellEnd"/>
      <w:r w:rsidRPr="00900CEC">
        <w:rPr>
          <w:szCs w:val="22"/>
          <w:lang w:val="lt-LT"/>
        </w:rPr>
        <w:t xml:space="preserve"> kiekiui: </w:t>
      </w:r>
      <w:proofErr w:type="spellStart"/>
      <w:r w:rsidRPr="00900CEC">
        <w:rPr>
          <w:szCs w:val="22"/>
          <w:lang w:val="lt-LT"/>
        </w:rPr>
        <w:t>paracetamolio</w:t>
      </w:r>
      <w:proofErr w:type="spellEnd"/>
      <w:r w:rsidRPr="00900CEC">
        <w:rPr>
          <w:szCs w:val="22"/>
          <w:lang w:val="lt-LT"/>
        </w:rPr>
        <w:t xml:space="preserve"> ir jo metabolitų (</w:t>
      </w:r>
      <w:proofErr w:type="spellStart"/>
      <w:r w:rsidRPr="00900CEC">
        <w:rPr>
          <w:szCs w:val="22"/>
          <w:lang w:val="lt-LT"/>
        </w:rPr>
        <w:t>konjugatų</w:t>
      </w:r>
      <w:proofErr w:type="spellEnd"/>
      <w:r w:rsidRPr="00900CEC">
        <w:rPr>
          <w:szCs w:val="22"/>
          <w:lang w:val="lt-LT"/>
        </w:rPr>
        <w:t xml:space="preserve"> su </w:t>
      </w:r>
      <w:proofErr w:type="spellStart"/>
      <w:r w:rsidRPr="00900CEC">
        <w:rPr>
          <w:szCs w:val="22"/>
          <w:lang w:val="lt-LT"/>
        </w:rPr>
        <w:t>merkapturatu</w:t>
      </w:r>
      <w:proofErr w:type="spellEnd"/>
      <w:r w:rsidRPr="00900CEC">
        <w:rPr>
          <w:szCs w:val="22"/>
          <w:lang w:val="lt-LT"/>
        </w:rPr>
        <w:t xml:space="preserve">, </w:t>
      </w:r>
      <w:proofErr w:type="spellStart"/>
      <w:r w:rsidRPr="00900CEC">
        <w:rPr>
          <w:szCs w:val="22"/>
          <w:lang w:val="lt-LT"/>
        </w:rPr>
        <w:t>cisteinu</w:t>
      </w:r>
      <w:proofErr w:type="spellEnd"/>
      <w:r w:rsidRPr="00900CEC">
        <w:rPr>
          <w:szCs w:val="22"/>
          <w:lang w:val="lt-LT"/>
        </w:rPr>
        <w:t xml:space="preserve">, </w:t>
      </w:r>
      <w:proofErr w:type="spellStart"/>
      <w:r w:rsidRPr="00900CEC">
        <w:rPr>
          <w:szCs w:val="22"/>
          <w:lang w:val="lt-LT"/>
        </w:rPr>
        <w:t>gliukuronidu</w:t>
      </w:r>
      <w:proofErr w:type="spellEnd"/>
      <w:r w:rsidRPr="00900CEC">
        <w:rPr>
          <w:szCs w:val="22"/>
          <w:lang w:val="lt-LT"/>
        </w:rPr>
        <w:t xml:space="preserve"> ir sulfatu) kiekis paracetamolį vartojant atskirai ir kartu su </w:t>
      </w:r>
      <w:proofErr w:type="spellStart"/>
      <w:r w:rsidRPr="00900CEC">
        <w:rPr>
          <w:szCs w:val="22"/>
          <w:lang w:val="lt-LT"/>
        </w:rPr>
        <w:t>ibuprofenu</w:t>
      </w:r>
      <w:proofErr w:type="spellEnd"/>
      <w:r w:rsidRPr="00900CEC">
        <w:rPr>
          <w:szCs w:val="22"/>
          <w:lang w:val="lt-LT"/>
        </w:rPr>
        <w:t xml:space="preserve"> (kaip fiksuotą derinį) buvo panašus. </w:t>
      </w:r>
    </w:p>
    <w:p w14:paraId="47A01EDB" w14:textId="77777777" w:rsidR="00F51FBD" w:rsidRPr="00900CEC" w:rsidRDefault="00F51FBD" w:rsidP="00F51FBD">
      <w:pPr>
        <w:widowControl w:val="0"/>
        <w:spacing w:line="240" w:lineRule="auto"/>
        <w:ind w:right="-2"/>
        <w:rPr>
          <w:iCs/>
          <w:szCs w:val="22"/>
          <w:u w:val="single"/>
          <w:lang w:val="lt-LT"/>
        </w:rPr>
      </w:pPr>
    </w:p>
    <w:p w14:paraId="64CC88DB" w14:textId="77777777" w:rsidR="00F51FBD" w:rsidRPr="00900CEC" w:rsidRDefault="00F51FBD" w:rsidP="00F51FBD">
      <w:pPr>
        <w:pStyle w:val="Antrat3"/>
        <w:keepNext w:val="0"/>
        <w:keepLines w:val="0"/>
        <w:widowControl w:val="0"/>
        <w:spacing w:before="0" w:after="0" w:line="240" w:lineRule="auto"/>
        <w:rPr>
          <w:rFonts w:ascii="Times New Roman" w:hAnsi="Times New Roman"/>
          <w:b w:val="0"/>
          <w:sz w:val="22"/>
          <w:szCs w:val="22"/>
          <w:u w:val="single"/>
          <w:lang w:val="lt-LT"/>
        </w:rPr>
      </w:pPr>
      <w:r w:rsidRPr="00900CEC">
        <w:rPr>
          <w:rFonts w:ascii="Times New Roman" w:hAnsi="Times New Roman"/>
          <w:b w:val="0"/>
          <w:sz w:val="22"/>
          <w:szCs w:val="22"/>
          <w:u w:val="single"/>
          <w:lang w:val="lt-LT"/>
        </w:rPr>
        <w:t>Eliminacija</w:t>
      </w:r>
    </w:p>
    <w:p w14:paraId="15AB1679" w14:textId="77777777" w:rsidR="00F51FBD" w:rsidRPr="00900CEC" w:rsidRDefault="00F51FBD" w:rsidP="00F51FBD">
      <w:pPr>
        <w:widowControl w:val="0"/>
        <w:spacing w:line="240" w:lineRule="auto"/>
        <w:rPr>
          <w:szCs w:val="22"/>
          <w:lang w:val="lt-LT"/>
        </w:rPr>
      </w:pPr>
      <w:r w:rsidRPr="00900CEC">
        <w:rPr>
          <w:szCs w:val="22"/>
          <w:lang w:val="lt-LT"/>
        </w:rPr>
        <w:t>Paracetamolio pusinės eliminacijos laikas yra nuo maždaug 1 iki 3 val.</w:t>
      </w:r>
    </w:p>
    <w:p w14:paraId="5F89DC6C" w14:textId="77777777" w:rsidR="00F51FBD" w:rsidRPr="00900CEC" w:rsidRDefault="00F51FBD" w:rsidP="00F51FBD">
      <w:pPr>
        <w:widowControl w:val="0"/>
        <w:spacing w:line="240" w:lineRule="auto"/>
        <w:rPr>
          <w:szCs w:val="22"/>
          <w:lang w:val="lt-LT"/>
        </w:rPr>
      </w:pPr>
    </w:p>
    <w:p w14:paraId="46DA0B7A" w14:textId="77777777" w:rsidR="00F51FBD" w:rsidRPr="00900CEC" w:rsidRDefault="00F51FBD" w:rsidP="00F51FBD">
      <w:pPr>
        <w:widowControl w:val="0"/>
        <w:spacing w:line="240" w:lineRule="auto"/>
        <w:rPr>
          <w:iCs/>
          <w:szCs w:val="22"/>
          <w:u w:val="single"/>
          <w:lang w:val="lt-LT"/>
        </w:rPr>
      </w:pPr>
      <w:r w:rsidRPr="00900CEC">
        <w:rPr>
          <w:szCs w:val="22"/>
          <w:lang w:val="lt-LT"/>
        </w:rPr>
        <w:t>Inkstai greitai ir visiškai išskiria abu aktyvius ibuprofeno metabolitus ir nedidelį nepakitusio jo kiekį (95 % dozės eliminuojami su šlapimu per 4 val. vartojus per burną). Ibuprofeno pusinis eliminacijos laikas yra maždaug 1,9–2,2 val.</w:t>
      </w:r>
    </w:p>
    <w:p w14:paraId="35F724E8" w14:textId="77777777" w:rsidR="00F51FBD" w:rsidRPr="00900CEC" w:rsidRDefault="00F51FBD" w:rsidP="00F51FBD">
      <w:pPr>
        <w:spacing w:line="240" w:lineRule="auto"/>
        <w:rPr>
          <w:bCs/>
          <w:iCs/>
          <w:szCs w:val="22"/>
          <w:lang w:val="lt-LT"/>
        </w:rPr>
      </w:pPr>
    </w:p>
    <w:p w14:paraId="654FAD19" w14:textId="77777777" w:rsidR="00F51FBD" w:rsidRPr="00900CEC" w:rsidRDefault="00F51FBD" w:rsidP="00F51FBD">
      <w:pPr>
        <w:pStyle w:val="Antrat4"/>
        <w:spacing w:line="240" w:lineRule="auto"/>
        <w:jc w:val="left"/>
        <w:rPr>
          <w:rFonts w:ascii="Times New Roman" w:hAnsi="Times New Roman"/>
          <w:sz w:val="22"/>
          <w:szCs w:val="22"/>
          <w:lang w:val="lt-LT"/>
        </w:rPr>
      </w:pPr>
      <w:r w:rsidRPr="00900CEC">
        <w:rPr>
          <w:rFonts w:ascii="Times New Roman" w:hAnsi="Times New Roman"/>
          <w:sz w:val="22"/>
          <w:szCs w:val="22"/>
          <w:lang w:val="lt-LT"/>
        </w:rPr>
        <w:t>5.3</w:t>
      </w:r>
      <w:r w:rsidRPr="00900CEC">
        <w:rPr>
          <w:rFonts w:ascii="Times New Roman" w:hAnsi="Times New Roman"/>
          <w:sz w:val="22"/>
          <w:szCs w:val="22"/>
          <w:lang w:val="lt-LT"/>
        </w:rPr>
        <w:tab/>
        <w:t>Ikiklinikinių saugumo tyrimų duomenys</w:t>
      </w:r>
    </w:p>
    <w:p w14:paraId="3CB08999" w14:textId="77777777" w:rsidR="00F51FBD" w:rsidRPr="00900CEC" w:rsidRDefault="00F51FBD" w:rsidP="00F51FBD">
      <w:pPr>
        <w:tabs>
          <w:tab w:val="clear" w:pos="567"/>
        </w:tabs>
        <w:spacing w:line="240" w:lineRule="auto"/>
        <w:rPr>
          <w:szCs w:val="22"/>
          <w:lang w:val="lt-LT"/>
        </w:rPr>
      </w:pPr>
    </w:p>
    <w:p w14:paraId="5B9B938A" w14:textId="75438ED3" w:rsidR="00F51FBD" w:rsidRPr="00900CEC" w:rsidRDefault="00F51FBD" w:rsidP="00F51FBD">
      <w:pPr>
        <w:tabs>
          <w:tab w:val="clear" w:pos="567"/>
        </w:tabs>
        <w:spacing w:line="240" w:lineRule="auto"/>
        <w:rPr>
          <w:szCs w:val="22"/>
          <w:lang w:val="lt-LT"/>
        </w:rPr>
      </w:pPr>
      <w:r w:rsidRPr="00900CEC">
        <w:rPr>
          <w:szCs w:val="22"/>
          <w:lang w:val="lt-LT"/>
        </w:rPr>
        <w:t xml:space="preserve">Vienkartinių ir kartotinių dozių toksiškumo tyrimų su žiurkėmis metu, kai </w:t>
      </w:r>
      <w:proofErr w:type="spellStart"/>
      <w:r w:rsidRPr="00900CEC">
        <w:rPr>
          <w:szCs w:val="22"/>
          <w:lang w:val="lt-LT"/>
        </w:rPr>
        <w:t>paracetamolis</w:t>
      </w:r>
      <w:proofErr w:type="spellEnd"/>
      <w:r w:rsidRPr="00900CEC">
        <w:rPr>
          <w:szCs w:val="22"/>
          <w:lang w:val="lt-LT"/>
        </w:rPr>
        <w:t xml:space="preserve"> ir </w:t>
      </w:r>
      <w:proofErr w:type="spellStart"/>
      <w:r w:rsidRPr="00900CEC">
        <w:rPr>
          <w:szCs w:val="22"/>
          <w:lang w:val="lt-LT"/>
        </w:rPr>
        <w:t>ibuprofenas</w:t>
      </w:r>
      <w:proofErr w:type="spellEnd"/>
      <w:r w:rsidRPr="00900CEC">
        <w:rPr>
          <w:szCs w:val="22"/>
          <w:lang w:val="lt-LT"/>
        </w:rPr>
        <w:t xml:space="preserve"> buvo skiriami kartu santykiu, kuris lygus esančiam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Pr="00900CEC">
        <w:rPr>
          <w:szCs w:val="22"/>
          <w:lang w:val="lt-LT"/>
        </w:rPr>
        <w:t xml:space="preserve"> (t. y. kai paracetamolio ir ibuprofeno santykis buvo 3,3</w:t>
      </w:r>
      <w:r w:rsidR="00881995">
        <w:rPr>
          <w:szCs w:val="22"/>
          <w:lang w:val="lt-LT"/>
        </w:rPr>
        <w:t> </w:t>
      </w:r>
      <w:r w:rsidRPr="00900CEC">
        <w:rPr>
          <w:szCs w:val="22"/>
          <w:lang w:val="lt-LT"/>
        </w:rPr>
        <w:t>:</w:t>
      </w:r>
      <w:r w:rsidR="00881995">
        <w:rPr>
          <w:szCs w:val="22"/>
          <w:lang w:val="lt-LT"/>
        </w:rPr>
        <w:t> </w:t>
      </w:r>
      <w:r w:rsidRPr="00900CEC">
        <w:rPr>
          <w:szCs w:val="22"/>
          <w:lang w:val="lt-LT"/>
        </w:rPr>
        <w:t xml:space="preserve">1), o dozės buvo maždaug lygios toms, kurias pacientai gautų, vartodami didžiausią rekomenduojamą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Pr="00900CEC">
        <w:rPr>
          <w:szCs w:val="22"/>
          <w:lang w:val="lt-LT"/>
        </w:rPr>
        <w:t xml:space="preserve"> dozę, toksinio poveikio virškinimo traktui ar inkstams rizika nepadidėjo.</w:t>
      </w:r>
    </w:p>
    <w:p w14:paraId="7A77F09E" w14:textId="77777777" w:rsidR="00F51FBD" w:rsidRPr="00900CEC" w:rsidRDefault="00F51FBD" w:rsidP="00F51FBD">
      <w:pPr>
        <w:tabs>
          <w:tab w:val="clear" w:pos="567"/>
        </w:tabs>
        <w:spacing w:line="240" w:lineRule="auto"/>
        <w:rPr>
          <w:szCs w:val="22"/>
          <w:lang w:val="lt-LT"/>
        </w:rPr>
      </w:pPr>
    </w:p>
    <w:p w14:paraId="6656D548" w14:textId="55B3DCE1" w:rsidR="00F51FBD" w:rsidRPr="00900CEC" w:rsidRDefault="00F51FBD" w:rsidP="00F51FBD">
      <w:pPr>
        <w:tabs>
          <w:tab w:val="clear" w:pos="567"/>
        </w:tabs>
        <w:spacing w:line="240" w:lineRule="auto"/>
        <w:rPr>
          <w:szCs w:val="22"/>
          <w:lang w:val="lt-LT"/>
        </w:rPr>
      </w:pPr>
      <w:r w:rsidRPr="00900CEC">
        <w:rPr>
          <w:szCs w:val="22"/>
          <w:lang w:val="lt-LT"/>
        </w:rPr>
        <w:t xml:space="preserve">Vienkartinių į veną ar aplink veną leidžiamų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Pr="00900CEC">
        <w:rPr>
          <w:szCs w:val="22"/>
          <w:lang w:val="lt-LT"/>
        </w:rPr>
        <w:t xml:space="preserve"> dozių poveikis, nustatytas ūm</w:t>
      </w:r>
      <w:r>
        <w:rPr>
          <w:szCs w:val="22"/>
          <w:lang w:val="lt-LT"/>
        </w:rPr>
        <w:t>inio</w:t>
      </w:r>
      <w:r w:rsidRPr="00900CEC">
        <w:rPr>
          <w:szCs w:val="22"/>
          <w:lang w:val="lt-LT"/>
        </w:rPr>
        <w:t xml:space="preserve"> vietinio sudirginimo tyrimo su triušių patinais metu, parodė, kad į veną leidžiamas rekomenduojamomis dozėmis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Pr="00900CEC">
        <w:rPr>
          <w:szCs w:val="22"/>
          <w:lang w:val="lt-LT"/>
        </w:rPr>
        <w:t xml:space="preserve"> turi mažai galimybių sukelti vietinį dirginimą. Be to, atliekant </w:t>
      </w:r>
      <w:r w:rsidRPr="00900CEC">
        <w:rPr>
          <w:i/>
          <w:iCs/>
          <w:szCs w:val="22"/>
          <w:lang w:val="lt-LT"/>
        </w:rPr>
        <w:t>in vitro</w:t>
      </w:r>
      <w:r w:rsidRPr="00900CEC">
        <w:rPr>
          <w:szCs w:val="22"/>
          <w:lang w:val="lt-LT"/>
        </w:rPr>
        <w:t xml:space="preserve"> kraujo suderinamumo vertinimą, vartojant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Pr="00900CEC">
        <w:rPr>
          <w:szCs w:val="22"/>
          <w:lang w:val="lt-LT"/>
        </w:rPr>
        <w:t xml:space="preserve"> nepastebėta jokios papildomos </w:t>
      </w:r>
      <w:proofErr w:type="spellStart"/>
      <w:r w:rsidRPr="00900CEC">
        <w:rPr>
          <w:szCs w:val="22"/>
          <w:lang w:val="lt-LT"/>
        </w:rPr>
        <w:t>hemolizės</w:t>
      </w:r>
      <w:proofErr w:type="spellEnd"/>
      <w:r w:rsidRPr="00900CEC">
        <w:rPr>
          <w:szCs w:val="22"/>
          <w:lang w:val="lt-LT"/>
        </w:rPr>
        <w:t xml:space="preserve">, plazmos baltymų </w:t>
      </w:r>
      <w:proofErr w:type="spellStart"/>
      <w:r w:rsidRPr="00900CEC">
        <w:rPr>
          <w:szCs w:val="22"/>
          <w:lang w:val="lt-LT"/>
        </w:rPr>
        <w:t>flokuliacijos</w:t>
      </w:r>
      <w:proofErr w:type="spellEnd"/>
      <w:r w:rsidRPr="00900CEC">
        <w:rPr>
          <w:szCs w:val="22"/>
          <w:lang w:val="lt-LT"/>
        </w:rPr>
        <w:t xml:space="preserve"> / nuosėdų susidarymo ar trombocitų </w:t>
      </w:r>
      <w:proofErr w:type="spellStart"/>
      <w:r w:rsidRPr="00900CEC">
        <w:rPr>
          <w:szCs w:val="22"/>
          <w:lang w:val="lt-LT"/>
        </w:rPr>
        <w:t>agregacijos</w:t>
      </w:r>
      <w:proofErr w:type="spellEnd"/>
      <w:r w:rsidRPr="00900CEC">
        <w:rPr>
          <w:szCs w:val="22"/>
          <w:lang w:val="lt-LT"/>
        </w:rPr>
        <w:t xml:space="preserve">, nei vartojant vien tik intraveninį </w:t>
      </w:r>
      <w:proofErr w:type="spellStart"/>
      <w:r w:rsidRPr="00900CEC">
        <w:rPr>
          <w:szCs w:val="22"/>
          <w:lang w:val="lt-LT"/>
        </w:rPr>
        <w:t>paracetamolį</w:t>
      </w:r>
      <w:proofErr w:type="spellEnd"/>
      <w:r w:rsidRPr="00900CEC">
        <w:rPr>
          <w:szCs w:val="22"/>
          <w:lang w:val="lt-LT"/>
        </w:rPr>
        <w:t xml:space="preserve"> ar intraveninį </w:t>
      </w:r>
      <w:proofErr w:type="spellStart"/>
      <w:r w:rsidRPr="00900CEC">
        <w:rPr>
          <w:szCs w:val="22"/>
          <w:lang w:val="lt-LT"/>
        </w:rPr>
        <w:t>ibuprofeną</w:t>
      </w:r>
      <w:proofErr w:type="spellEnd"/>
      <w:r w:rsidRPr="00900CEC">
        <w:rPr>
          <w:szCs w:val="22"/>
          <w:lang w:val="lt-LT"/>
        </w:rPr>
        <w:t>.</w:t>
      </w:r>
    </w:p>
    <w:p w14:paraId="2C411CF9" w14:textId="77777777" w:rsidR="00F51FBD" w:rsidRPr="00900CEC" w:rsidRDefault="00F51FBD" w:rsidP="00F51FBD">
      <w:pPr>
        <w:tabs>
          <w:tab w:val="clear" w:pos="567"/>
        </w:tabs>
        <w:spacing w:line="240" w:lineRule="auto"/>
        <w:rPr>
          <w:szCs w:val="22"/>
          <w:lang w:val="lt-LT"/>
        </w:rPr>
      </w:pPr>
    </w:p>
    <w:p w14:paraId="590152EC" w14:textId="77777777" w:rsidR="00F51FBD" w:rsidRPr="00900CEC" w:rsidRDefault="00F51FBD" w:rsidP="00F51FBD">
      <w:pPr>
        <w:pStyle w:val="Antrat2"/>
        <w:spacing w:before="0" w:after="0" w:line="240" w:lineRule="auto"/>
        <w:rPr>
          <w:rFonts w:ascii="Times New Roman" w:hAnsi="Times New Roman"/>
          <w:b w:val="0"/>
          <w:sz w:val="22"/>
          <w:szCs w:val="22"/>
          <w:lang w:val="lt-LT"/>
        </w:rPr>
      </w:pPr>
      <w:r w:rsidRPr="00900CEC">
        <w:rPr>
          <w:rFonts w:ascii="Times New Roman" w:hAnsi="Times New Roman"/>
          <w:b w:val="0"/>
          <w:sz w:val="22"/>
          <w:szCs w:val="22"/>
          <w:lang w:val="lt-LT"/>
        </w:rPr>
        <w:t>Ibuprofenas</w:t>
      </w:r>
    </w:p>
    <w:p w14:paraId="22D7191A" w14:textId="77777777" w:rsidR="00F51FBD" w:rsidRPr="00900CEC" w:rsidRDefault="00F51FBD" w:rsidP="00F51FBD">
      <w:pPr>
        <w:spacing w:line="240" w:lineRule="auto"/>
        <w:rPr>
          <w:szCs w:val="22"/>
          <w:lang w:val="lt-LT"/>
        </w:rPr>
      </w:pPr>
      <w:r w:rsidRPr="00900CEC">
        <w:rPr>
          <w:szCs w:val="22"/>
          <w:lang w:val="lt-LT"/>
        </w:rPr>
        <w:t xml:space="preserve">Eksperimentų su gyvūnais metu </w:t>
      </w:r>
      <w:proofErr w:type="spellStart"/>
      <w:r w:rsidRPr="00900CEC">
        <w:rPr>
          <w:szCs w:val="22"/>
          <w:lang w:val="lt-LT"/>
        </w:rPr>
        <w:t>sub</w:t>
      </w:r>
      <w:r>
        <w:rPr>
          <w:szCs w:val="22"/>
          <w:lang w:val="lt-LT"/>
        </w:rPr>
        <w:t>chroninis</w:t>
      </w:r>
      <w:proofErr w:type="spellEnd"/>
      <w:r w:rsidRPr="00900CEC">
        <w:rPr>
          <w:szCs w:val="22"/>
          <w:lang w:val="lt-LT"/>
        </w:rPr>
        <w:t xml:space="preserve"> ir lėtinis </w:t>
      </w:r>
      <w:proofErr w:type="spellStart"/>
      <w:r w:rsidRPr="00900CEC">
        <w:rPr>
          <w:szCs w:val="22"/>
          <w:lang w:val="lt-LT"/>
        </w:rPr>
        <w:t>ibuprofeno</w:t>
      </w:r>
      <w:proofErr w:type="spellEnd"/>
      <w:r w:rsidRPr="00900CEC">
        <w:rPr>
          <w:szCs w:val="22"/>
          <w:lang w:val="lt-LT"/>
        </w:rPr>
        <w:t xml:space="preserve"> toksinis poveikis labiausiai pasireiškė virškinimo trakto pažeidimais ir opomis. Tyrimų </w:t>
      </w:r>
      <w:r w:rsidRPr="00900CEC">
        <w:rPr>
          <w:i/>
          <w:szCs w:val="22"/>
          <w:lang w:val="lt-LT"/>
        </w:rPr>
        <w:t>in vitro</w:t>
      </w:r>
      <w:r w:rsidRPr="00900CEC">
        <w:rPr>
          <w:szCs w:val="22"/>
          <w:lang w:val="lt-LT"/>
        </w:rPr>
        <w:t xml:space="preserve"> ir </w:t>
      </w:r>
      <w:r w:rsidRPr="00900CEC">
        <w:rPr>
          <w:i/>
          <w:szCs w:val="22"/>
          <w:lang w:val="lt-LT"/>
        </w:rPr>
        <w:t>in vivo</w:t>
      </w:r>
      <w:r w:rsidRPr="00900CEC">
        <w:rPr>
          <w:szCs w:val="22"/>
          <w:lang w:val="lt-LT"/>
        </w:rPr>
        <w:t xml:space="preserve"> metu negauta kliniškai reikšmingų duomenų, kurie rodytų galimą mutageninį ibuprofeno poveikį. Tyrimų su žiurkėmis ir pelėmis metu kancerogeninį ibuprofeno poveikį rodančių duomenų negauta. Ibuprofenas slopino ovuliaciją triušiams ir trikdė implantaciją įvairioms gyvūnų rūšims (triušiams, žiurkėms, pelėms). Eksperimentiniai tyrimai parodė ibuprofeno patekimą per placentą. Vaikingoms patelėms toksiškos dozės sukėlė sklaidos anomalijų (skilvelių pertvaros defektų) padažnėjimą.</w:t>
      </w:r>
    </w:p>
    <w:p w14:paraId="30EACD78" w14:textId="77777777" w:rsidR="00F51FBD" w:rsidRPr="00900CEC" w:rsidRDefault="00F51FBD" w:rsidP="00F51FBD">
      <w:pPr>
        <w:spacing w:line="240" w:lineRule="auto"/>
        <w:rPr>
          <w:szCs w:val="22"/>
          <w:lang w:val="lt-LT"/>
        </w:rPr>
      </w:pPr>
    </w:p>
    <w:p w14:paraId="3AD931F6" w14:textId="77777777" w:rsidR="00F51FBD" w:rsidRPr="00900CEC" w:rsidRDefault="00F51FBD" w:rsidP="00F51FBD">
      <w:pPr>
        <w:pStyle w:val="Antrat2"/>
        <w:spacing w:before="0" w:after="0" w:line="240" w:lineRule="auto"/>
        <w:rPr>
          <w:rFonts w:ascii="Times New Roman" w:hAnsi="Times New Roman"/>
          <w:b w:val="0"/>
          <w:sz w:val="22"/>
          <w:szCs w:val="22"/>
          <w:lang w:val="lt-LT"/>
        </w:rPr>
      </w:pPr>
      <w:r w:rsidRPr="00900CEC">
        <w:rPr>
          <w:rFonts w:ascii="Times New Roman" w:hAnsi="Times New Roman"/>
          <w:b w:val="0"/>
          <w:sz w:val="22"/>
          <w:szCs w:val="22"/>
          <w:lang w:val="lt-LT"/>
        </w:rPr>
        <w:t>Paracetamolis</w:t>
      </w:r>
    </w:p>
    <w:p w14:paraId="395E7B24" w14:textId="77777777" w:rsidR="00F51FBD" w:rsidRPr="00900CEC" w:rsidRDefault="00F51FBD" w:rsidP="00F51FBD">
      <w:pPr>
        <w:spacing w:line="240" w:lineRule="auto"/>
        <w:rPr>
          <w:szCs w:val="22"/>
          <w:lang w:val="lt-LT"/>
        </w:rPr>
      </w:pPr>
      <w:r w:rsidRPr="00900CEC">
        <w:rPr>
          <w:szCs w:val="22"/>
          <w:lang w:val="lt-LT"/>
        </w:rPr>
        <w:t xml:space="preserve">Nustatytas galimas </w:t>
      </w:r>
      <w:proofErr w:type="spellStart"/>
      <w:r w:rsidRPr="00900CEC">
        <w:rPr>
          <w:szCs w:val="22"/>
          <w:lang w:val="lt-LT"/>
        </w:rPr>
        <w:t>genotoksinis</w:t>
      </w:r>
      <w:proofErr w:type="spellEnd"/>
      <w:r w:rsidRPr="00900CEC">
        <w:rPr>
          <w:szCs w:val="22"/>
          <w:lang w:val="lt-LT"/>
        </w:rPr>
        <w:t xml:space="preserve"> ir kancerogeninis </w:t>
      </w:r>
      <w:proofErr w:type="spellStart"/>
      <w:r w:rsidRPr="00900CEC">
        <w:rPr>
          <w:szCs w:val="22"/>
          <w:lang w:val="lt-LT"/>
        </w:rPr>
        <w:t>paracetamolio</w:t>
      </w:r>
      <w:proofErr w:type="spellEnd"/>
      <w:r w:rsidRPr="00900CEC">
        <w:rPr>
          <w:szCs w:val="22"/>
          <w:lang w:val="lt-LT"/>
        </w:rPr>
        <w:t xml:space="preserve"> </w:t>
      </w:r>
      <w:proofErr w:type="spellStart"/>
      <w:r w:rsidRPr="00900CEC">
        <w:rPr>
          <w:szCs w:val="22"/>
          <w:lang w:val="lt-LT"/>
        </w:rPr>
        <w:t>hepatotoksinių</w:t>
      </w:r>
      <w:proofErr w:type="spellEnd"/>
      <w:r w:rsidRPr="00900CEC">
        <w:rPr>
          <w:szCs w:val="22"/>
          <w:lang w:val="lt-LT"/>
        </w:rPr>
        <w:t xml:space="preserve"> dozių poveikis (kepenų ir </w:t>
      </w:r>
      <w:r>
        <w:rPr>
          <w:szCs w:val="22"/>
          <w:lang w:val="lt-LT"/>
        </w:rPr>
        <w:t xml:space="preserve">šlapimo </w:t>
      </w:r>
      <w:r w:rsidRPr="00900CEC">
        <w:rPr>
          <w:szCs w:val="22"/>
          <w:lang w:val="lt-LT"/>
        </w:rPr>
        <w:t xml:space="preserve">pūslės navikų padažnėjimas) pelėms ir žiurkėms. Vis dėlto manoma, kad toks </w:t>
      </w:r>
      <w:proofErr w:type="spellStart"/>
      <w:r w:rsidRPr="00900CEC">
        <w:rPr>
          <w:szCs w:val="22"/>
          <w:lang w:val="lt-LT"/>
        </w:rPr>
        <w:t>genotoksiškumas</w:t>
      </w:r>
      <w:proofErr w:type="spellEnd"/>
      <w:r w:rsidRPr="00900CEC">
        <w:rPr>
          <w:szCs w:val="22"/>
          <w:lang w:val="lt-LT"/>
        </w:rPr>
        <w:t xml:space="preserve"> ir </w:t>
      </w:r>
      <w:proofErr w:type="spellStart"/>
      <w:r w:rsidRPr="00900CEC">
        <w:rPr>
          <w:szCs w:val="22"/>
          <w:lang w:val="lt-LT"/>
        </w:rPr>
        <w:t>ka</w:t>
      </w:r>
      <w:r>
        <w:rPr>
          <w:szCs w:val="22"/>
          <w:lang w:val="lt-LT"/>
        </w:rPr>
        <w:t>n</w:t>
      </w:r>
      <w:r w:rsidRPr="00900CEC">
        <w:rPr>
          <w:szCs w:val="22"/>
          <w:lang w:val="lt-LT"/>
        </w:rPr>
        <w:t>cerogeniškumas</w:t>
      </w:r>
      <w:proofErr w:type="spellEnd"/>
      <w:r w:rsidRPr="00900CEC">
        <w:rPr>
          <w:szCs w:val="22"/>
          <w:lang w:val="lt-LT"/>
        </w:rPr>
        <w:t xml:space="preserve"> klinikinės rizikos nekelia, nes yra susijęs su paracetamolio metabolizmo pokyčiais, pasireiškiančiais vartojant dideles dozes ir susidarius didelėms koncentracijoms.</w:t>
      </w:r>
    </w:p>
    <w:p w14:paraId="78A6E692" w14:textId="77777777" w:rsidR="00F51FBD" w:rsidRPr="00900CEC" w:rsidRDefault="00F51FBD" w:rsidP="00F51FBD">
      <w:pPr>
        <w:spacing w:line="240" w:lineRule="auto"/>
        <w:rPr>
          <w:szCs w:val="22"/>
          <w:lang w:val="lt-LT"/>
        </w:rPr>
      </w:pPr>
    </w:p>
    <w:p w14:paraId="35E86EB8" w14:textId="77777777" w:rsidR="00F51FBD" w:rsidRPr="00900CEC" w:rsidRDefault="00F51FBD" w:rsidP="00F51FBD">
      <w:pPr>
        <w:spacing w:line="240" w:lineRule="auto"/>
        <w:rPr>
          <w:szCs w:val="22"/>
          <w:lang w:val="lt-LT"/>
        </w:rPr>
      </w:pPr>
      <w:r w:rsidRPr="00900CEC">
        <w:rPr>
          <w:szCs w:val="22"/>
          <w:lang w:val="lt-LT"/>
        </w:rPr>
        <w:t>Įprastinių toksinio poveikio reprodukcijai ir vystymuisi tyrimų, kurių metu būtų taikomi šiuo metu patvirtinti standartai, neatlikta.</w:t>
      </w:r>
    </w:p>
    <w:p w14:paraId="30EC501A" w14:textId="77777777" w:rsidR="00F51FBD" w:rsidRPr="00900CEC" w:rsidRDefault="00F51FBD" w:rsidP="00F51FBD">
      <w:pPr>
        <w:tabs>
          <w:tab w:val="clear" w:pos="567"/>
        </w:tabs>
        <w:spacing w:line="240" w:lineRule="auto"/>
        <w:rPr>
          <w:szCs w:val="22"/>
          <w:lang w:val="lt-LT"/>
        </w:rPr>
      </w:pPr>
    </w:p>
    <w:p w14:paraId="74C9C551" w14:textId="77777777" w:rsidR="00F51FBD" w:rsidRPr="00900CEC" w:rsidRDefault="00F51FBD" w:rsidP="00F51FBD">
      <w:pPr>
        <w:tabs>
          <w:tab w:val="clear" w:pos="567"/>
        </w:tabs>
        <w:spacing w:line="240" w:lineRule="auto"/>
        <w:rPr>
          <w:szCs w:val="22"/>
          <w:lang w:val="lt-LT"/>
        </w:rPr>
      </w:pPr>
    </w:p>
    <w:p w14:paraId="7BA3A663" w14:textId="77777777" w:rsidR="00F51FBD" w:rsidRPr="00900CEC" w:rsidRDefault="00F51FBD" w:rsidP="00F51FBD">
      <w:pPr>
        <w:pStyle w:val="Antrat3"/>
        <w:spacing w:before="0" w:after="0" w:line="240" w:lineRule="auto"/>
        <w:rPr>
          <w:rFonts w:ascii="Times New Roman" w:hAnsi="Times New Roman"/>
          <w:sz w:val="22"/>
          <w:szCs w:val="22"/>
          <w:lang w:val="lt-LT"/>
        </w:rPr>
      </w:pPr>
      <w:r w:rsidRPr="00900CEC">
        <w:rPr>
          <w:rFonts w:ascii="Times New Roman" w:hAnsi="Times New Roman"/>
          <w:sz w:val="22"/>
          <w:szCs w:val="22"/>
          <w:lang w:val="lt-LT"/>
        </w:rPr>
        <w:t>6.</w:t>
      </w:r>
      <w:r w:rsidRPr="00900CEC">
        <w:rPr>
          <w:rFonts w:ascii="Times New Roman" w:hAnsi="Times New Roman"/>
          <w:sz w:val="22"/>
          <w:szCs w:val="22"/>
          <w:lang w:val="lt-LT"/>
        </w:rPr>
        <w:tab/>
        <w:t>FARMACINĖ INFORMACIJA</w:t>
      </w:r>
    </w:p>
    <w:p w14:paraId="50332ECE" w14:textId="77777777" w:rsidR="00F51FBD" w:rsidRPr="00900CEC" w:rsidRDefault="00F51FBD" w:rsidP="00F51FBD">
      <w:pPr>
        <w:tabs>
          <w:tab w:val="clear" w:pos="567"/>
        </w:tabs>
        <w:spacing w:line="240" w:lineRule="auto"/>
        <w:rPr>
          <w:szCs w:val="22"/>
          <w:lang w:val="lt-LT"/>
        </w:rPr>
      </w:pPr>
    </w:p>
    <w:p w14:paraId="56978501" w14:textId="77777777" w:rsidR="00F51FBD" w:rsidRPr="00900CEC" w:rsidRDefault="00F51FBD" w:rsidP="00F51FBD">
      <w:pPr>
        <w:pStyle w:val="Antrat4"/>
        <w:spacing w:line="240" w:lineRule="auto"/>
        <w:jc w:val="left"/>
        <w:rPr>
          <w:rFonts w:ascii="Times New Roman" w:hAnsi="Times New Roman"/>
          <w:sz w:val="22"/>
          <w:szCs w:val="22"/>
          <w:lang w:val="lt-LT"/>
        </w:rPr>
      </w:pPr>
      <w:r w:rsidRPr="00900CEC">
        <w:rPr>
          <w:rFonts w:ascii="Times New Roman" w:hAnsi="Times New Roman"/>
          <w:sz w:val="22"/>
          <w:szCs w:val="22"/>
          <w:lang w:val="lt-LT"/>
        </w:rPr>
        <w:lastRenderedPageBreak/>
        <w:t>6.1</w:t>
      </w:r>
      <w:r w:rsidRPr="00900CEC">
        <w:rPr>
          <w:rFonts w:ascii="Times New Roman" w:hAnsi="Times New Roman"/>
          <w:sz w:val="22"/>
          <w:szCs w:val="22"/>
          <w:lang w:val="lt-LT"/>
        </w:rPr>
        <w:tab/>
        <w:t>Pagalbinių medžiagų sąrašas</w:t>
      </w:r>
    </w:p>
    <w:p w14:paraId="0DD64DFC" w14:textId="77777777" w:rsidR="00F51FBD" w:rsidRPr="00900CEC" w:rsidRDefault="00F51FBD" w:rsidP="00F51FBD">
      <w:pPr>
        <w:tabs>
          <w:tab w:val="clear" w:pos="567"/>
        </w:tabs>
        <w:spacing w:line="240" w:lineRule="auto"/>
        <w:rPr>
          <w:szCs w:val="22"/>
          <w:lang w:val="lt-LT"/>
        </w:rPr>
      </w:pPr>
    </w:p>
    <w:p w14:paraId="717A6F1F" w14:textId="77777777" w:rsidR="00F51FBD" w:rsidRPr="00900CEC" w:rsidRDefault="00F51FBD" w:rsidP="00F51FBD">
      <w:pPr>
        <w:tabs>
          <w:tab w:val="clear" w:pos="567"/>
        </w:tabs>
        <w:spacing w:line="240" w:lineRule="auto"/>
        <w:rPr>
          <w:szCs w:val="22"/>
          <w:lang w:val="lt-LT"/>
        </w:rPr>
      </w:pPr>
      <w:proofErr w:type="spellStart"/>
      <w:r w:rsidRPr="00900CEC">
        <w:rPr>
          <w:szCs w:val="22"/>
          <w:lang w:val="lt-LT"/>
        </w:rPr>
        <w:t>Cisteino</w:t>
      </w:r>
      <w:proofErr w:type="spellEnd"/>
      <w:r w:rsidRPr="00900CEC">
        <w:rPr>
          <w:szCs w:val="22"/>
          <w:lang w:val="lt-LT"/>
        </w:rPr>
        <w:t xml:space="preserve"> hidrochloridas </w:t>
      </w:r>
      <w:proofErr w:type="spellStart"/>
      <w:r w:rsidRPr="00900CEC">
        <w:rPr>
          <w:szCs w:val="22"/>
          <w:lang w:val="lt-LT"/>
        </w:rPr>
        <w:t>monohidratas</w:t>
      </w:r>
      <w:proofErr w:type="spellEnd"/>
    </w:p>
    <w:p w14:paraId="0105E968" w14:textId="77777777" w:rsidR="00F51FBD" w:rsidRPr="00900CEC" w:rsidRDefault="00F51FBD" w:rsidP="00F51FBD">
      <w:pPr>
        <w:tabs>
          <w:tab w:val="clear" w:pos="567"/>
        </w:tabs>
        <w:spacing w:line="240" w:lineRule="auto"/>
        <w:rPr>
          <w:szCs w:val="22"/>
          <w:lang w:val="lt-LT"/>
        </w:rPr>
      </w:pPr>
      <w:proofErr w:type="spellStart"/>
      <w:r w:rsidRPr="00900CEC">
        <w:rPr>
          <w:szCs w:val="22"/>
          <w:lang w:val="lt-LT"/>
        </w:rPr>
        <w:t>Dinatrio</w:t>
      </w:r>
      <w:proofErr w:type="spellEnd"/>
      <w:r w:rsidRPr="00900CEC">
        <w:rPr>
          <w:szCs w:val="22"/>
          <w:lang w:val="lt-LT"/>
        </w:rPr>
        <w:t xml:space="preserve"> fosfatas </w:t>
      </w:r>
      <w:proofErr w:type="spellStart"/>
      <w:r w:rsidRPr="00900CEC">
        <w:rPr>
          <w:szCs w:val="22"/>
          <w:lang w:val="lt-LT"/>
        </w:rPr>
        <w:t>dihidratas</w:t>
      </w:r>
      <w:proofErr w:type="spellEnd"/>
    </w:p>
    <w:p w14:paraId="5AD7F90C" w14:textId="77777777" w:rsidR="00F51FBD" w:rsidRPr="00900CEC" w:rsidRDefault="00F51FBD" w:rsidP="00F51FBD">
      <w:pPr>
        <w:tabs>
          <w:tab w:val="clear" w:pos="567"/>
        </w:tabs>
        <w:spacing w:line="240" w:lineRule="auto"/>
        <w:rPr>
          <w:szCs w:val="22"/>
          <w:lang w:val="lt-LT"/>
        </w:rPr>
      </w:pPr>
      <w:proofErr w:type="spellStart"/>
      <w:r w:rsidRPr="00900CEC">
        <w:rPr>
          <w:szCs w:val="22"/>
          <w:lang w:val="lt-LT"/>
        </w:rPr>
        <w:t>Manitolis</w:t>
      </w:r>
      <w:proofErr w:type="spellEnd"/>
    </w:p>
    <w:p w14:paraId="2A7A1907" w14:textId="77777777" w:rsidR="00F51FBD" w:rsidRPr="00900CEC" w:rsidRDefault="00F51FBD" w:rsidP="00F51FBD">
      <w:pPr>
        <w:tabs>
          <w:tab w:val="clear" w:pos="567"/>
        </w:tabs>
        <w:spacing w:line="240" w:lineRule="auto"/>
        <w:rPr>
          <w:szCs w:val="22"/>
          <w:lang w:val="lt-LT"/>
        </w:rPr>
      </w:pPr>
      <w:r w:rsidRPr="00900CEC">
        <w:rPr>
          <w:szCs w:val="22"/>
          <w:lang w:val="lt-LT"/>
        </w:rPr>
        <w:t>Vandenilio chlorido rūgštis (pH sureguliuoti)</w:t>
      </w:r>
    </w:p>
    <w:p w14:paraId="291EF46A" w14:textId="77777777" w:rsidR="00F51FBD" w:rsidRPr="00900CEC" w:rsidRDefault="00F51FBD" w:rsidP="00F51FBD">
      <w:pPr>
        <w:tabs>
          <w:tab w:val="clear" w:pos="567"/>
        </w:tabs>
        <w:spacing w:line="240" w:lineRule="auto"/>
        <w:rPr>
          <w:szCs w:val="22"/>
          <w:lang w:val="lt-LT"/>
        </w:rPr>
      </w:pPr>
      <w:r w:rsidRPr="00900CEC">
        <w:rPr>
          <w:szCs w:val="22"/>
          <w:lang w:val="lt-LT"/>
        </w:rPr>
        <w:t>Natrio hidroksidas (pH sureguliuoti)</w:t>
      </w:r>
    </w:p>
    <w:p w14:paraId="23935C4E" w14:textId="77777777" w:rsidR="00F51FBD" w:rsidRPr="00900CEC" w:rsidRDefault="00F51FBD" w:rsidP="00F51FBD">
      <w:pPr>
        <w:tabs>
          <w:tab w:val="clear" w:pos="567"/>
        </w:tabs>
        <w:spacing w:line="240" w:lineRule="auto"/>
        <w:rPr>
          <w:szCs w:val="22"/>
          <w:lang w:val="lt-LT"/>
        </w:rPr>
      </w:pPr>
      <w:r w:rsidRPr="00900CEC">
        <w:rPr>
          <w:szCs w:val="22"/>
          <w:lang w:val="lt-LT"/>
        </w:rPr>
        <w:t>Injekcinis vanduo</w:t>
      </w:r>
    </w:p>
    <w:p w14:paraId="6748CEFC" w14:textId="77777777" w:rsidR="00F51FBD" w:rsidRPr="00900CEC" w:rsidRDefault="00F51FBD" w:rsidP="00F51FBD">
      <w:pPr>
        <w:tabs>
          <w:tab w:val="clear" w:pos="567"/>
        </w:tabs>
        <w:spacing w:line="240" w:lineRule="auto"/>
        <w:rPr>
          <w:szCs w:val="22"/>
          <w:lang w:val="lt-LT"/>
        </w:rPr>
      </w:pPr>
    </w:p>
    <w:p w14:paraId="6F3991A8" w14:textId="77777777" w:rsidR="00F51FBD" w:rsidRPr="00900CEC" w:rsidRDefault="00F51FBD" w:rsidP="00F51FBD">
      <w:pPr>
        <w:pStyle w:val="Antrat4"/>
        <w:spacing w:line="240" w:lineRule="auto"/>
        <w:jc w:val="left"/>
        <w:rPr>
          <w:rFonts w:ascii="Times New Roman" w:hAnsi="Times New Roman"/>
          <w:sz w:val="22"/>
          <w:szCs w:val="22"/>
          <w:lang w:val="lt-LT"/>
        </w:rPr>
      </w:pPr>
      <w:r w:rsidRPr="00900CEC">
        <w:rPr>
          <w:rFonts w:ascii="Times New Roman" w:hAnsi="Times New Roman"/>
          <w:sz w:val="22"/>
          <w:szCs w:val="22"/>
          <w:lang w:val="lt-LT"/>
        </w:rPr>
        <w:t>6.2</w:t>
      </w:r>
      <w:r w:rsidRPr="00900CEC">
        <w:rPr>
          <w:rFonts w:ascii="Times New Roman" w:hAnsi="Times New Roman"/>
          <w:sz w:val="22"/>
          <w:szCs w:val="22"/>
          <w:lang w:val="lt-LT"/>
        </w:rPr>
        <w:tab/>
        <w:t>Nesuderinamumas</w:t>
      </w:r>
    </w:p>
    <w:p w14:paraId="0E95BA64" w14:textId="77777777" w:rsidR="00F51FBD" w:rsidRPr="00900CEC" w:rsidRDefault="00F51FBD" w:rsidP="00F51FBD">
      <w:pPr>
        <w:tabs>
          <w:tab w:val="clear" w:pos="567"/>
        </w:tabs>
        <w:spacing w:line="240" w:lineRule="auto"/>
        <w:rPr>
          <w:szCs w:val="22"/>
          <w:lang w:val="lt-LT"/>
        </w:rPr>
      </w:pPr>
    </w:p>
    <w:p w14:paraId="211C5896" w14:textId="77777777" w:rsidR="00F51FBD" w:rsidRPr="00900CEC" w:rsidRDefault="00F51FBD" w:rsidP="00F51FBD">
      <w:pPr>
        <w:tabs>
          <w:tab w:val="clear" w:pos="567"/>
        </w:tabs>
        <w:spacing w:line="240" w:lineRule="auto"/>
        <w:rPr>
          <w:szCs w:val="24"/>
          <w:lang w:val="lt-LT"/>
        </w:rPr>
      </w:pPr>
      <w:r w:rsidRPr="00900CEC">
        <w:rPr>
          <w:szCs w:val="24"/>
          <w:lang w:val="lt-LT"/>
        </w:rPr>
        <w:t>Suderinamumo tyrimų neatlikta, todėl šio vaistinio preparato maišyti su kitais negalima.</w:t>
      </w:r>
    </w:p>
    <w:p w14:paraId="577F2631" w14:textId="77777777" w:rsidR="00F51FBD" w:rsidRPr="00900CEC" w:rsidRDefault="00F51FBD" w:rsidP="00F51FBD">
      <w:pPr>
        <w:tabs>
          <w:tab w:val="clear" w:pos="567"/>
        </w:tabs>
        <w:spacing w:line="240" w:lineRule="auto"/>
        <w:rPr>
          <w:szCs w:val="22"/>
          <w:lang w:val="lt-LT"/>
        </w:rPr>
      </w:pPr>
    </w:p>
    <w:p w14:paraId="43E90C61" w14:textId="77777777" w:rsidR="00F51FBD" w:rsidRPr="00900CEC" w:rsidRDefault="00F51FBD" w:rsidP="00F51FBD">
      <w:pPr>
        <w:pStyle w:val="Antrat4"/>
        <w:spacing w:line="240" w:lineRule="auto"/>
        <w:jc w:val="left"/>
        <w:rPr>
          <w:rFonts w:ascii="Times New Roman" w:hAnsi="Times New Roman"/>
          <w:sz w:val="22"/>
          <w:szCs w:val="22"/>
          <w:lang w:val="lt-LT"/>
        </w:rPr>
      </w:pPr>
      <w:r w:rsidRPr="00900CEC">
        <w:rPr>
          <w:rFonts w:ascii="Times New Roman" w:hAnsi="Times New Roman"/>
          <w:sz w:val="22"/>
          <w:szCs w:val="22"/>
          <w:lang w:val="lt-LT"/>
        </w:rPr>
        <w:t>6.3</w:t>
      </w:r>
      <w:r w:rsidRPr="00900CEC">
        <w:rPr>
          <w:rFonts w:ascii="Times New Roman" w:hAnsi="Times New Roman"/>
          <w:sz w:val="22"/>
          <w:szCs w:val="22"/>
          <w:lang w:val="lt-LT"/>
        </w:rPr>
        <w:tab/>
        <w:t>Tinkamumo laikas</w:t>
      </w:r>
    </w:p>
    <w:p w14:paraId="5E8CB243" w14:textId="77777777" w:rsidR="00F51FBD" w:rsidRPr="00900CEC" w:rsidRDefault="00F51FBD" w:rsidP="00F51FBD">
      <w:pPr>
        <w:tabs>
          <w:tab w:val="clear" w:pos="567"/>
        </w:tabs>
        <w:spacing w:line="240" w:lineRule="auto"/>
        <w:rPr>
          <w:szCs w:val="22"/>
          <w:lang w:val="lt-LT"/>
        </w:rPr>
      </w:pPr>
    </w:p>
    <w:p w14:paraId="569FAA0D" w14:textId="702D74E2" w:rsidR="00F51FBD" w:rsidRPr="00900CEC" w:rsidRDefault="00F51FBD" w:rsidP="00F51FBD">
      <w:pPr>
        <w:tabs>
          <w:tab w:val="clear" w:pos="567"/>
        </w:tabs>
        <w:spacing w:line="240" w:lineRule="auto"/>
        <w:rPr>
          <w:szCs w:val="22"/>
          <w:lang w:val="lt-LT"/>
        </w:rPr>
      </w:pPr>
      <w:r w:rsidRPr="00900CEC">
        <w:rPr>
          <w:szCs w:val="22"/>
          <w:lang w:val="lt-LT"/>
        </w:rPr>
        <w:t>2</w:t>
      </w:r>
      <w:r w:rsidR="00881995">
        <w:rPr>
          <w:szCs w:val="22"/>
          <w:lang w:val="lt-LT"/>
        </w:rPr>
        <w:t> </w:t>
      </w:r>
      <w:r w:rsidRPr="00900CEC">
        <w:rPr>
          <w:szCs w:val="22"/>
          <w:lang w:val="lt-LT"/>
        </w:rPr>
        <w:t xml:space="preserve">metai </w:t>
      </w:r>
    </w:p>
    <w:p w14:paraId="464B9C46" w14:textId="77777777" w:rsidR="00F51FBD" w:rsidRPr="00900CEC" w:rsidRDefault="00F51FBD" w:rsidP="00F51FBD">
      <w:pPr>
        <w:tabs>
          <w:tab w:val="clear" w:pos="567"/>
        </w:tabs>
        <w:spacing w:line="240" w:lineRule="auto"/>
        <w:rPr>
          <w:szCs w:val="22"/>
          <w:lang w:val="lt-LT"/>
        </w:rPr>
      </w:pPr>
    </w:p>
    <w:p w14:paraId="5DB70451" w14:textId="77777777" w:rsidR="00F51FBD" w:rsidRPr="00900CEC" w:rsidRDefault="00F51FBD" w:rsidP="00F51FBD">
      <w:pPr>
        <w:pStyle w:val="Antrat4"/>
        <w:spacing w:line="240" w:lineRule="auto"/>
        <w:jc w:val="left"/>
        <w:rPr>
          <w:rFonts w:ascii="Times New Roman" w:hAnsi="Times New Roman"/>
          <w:sz w:val="22"/>
          <w:szCs w:val="22"/>
          <w:lang w:val="lt-LT"/>
        </w:rPr>
      </w:pPr>
      <w:r w:rsidRPr="00900CEC">
        <w:rPr>
          <w:rFonts w:ascii="Times New Roman" w:hAnsi="Times New Roman"/>
          <w:sz w:val="22"/>
          <w:szCs w:val="22"/>
          <w:lang w:val="lt-LT"/>
        </w:rPr>
        <w:t>6.4</w:t>
      </w:r>
      <w:r w:rsidRPr="00900CEC">
        <w:rPr>
          <w:rFonts w:ascii="Times New Roman" w:hAnsi="Times New Roman"/>
          <w:sz w:val="22"/>
          <w:szCs w:val="22"/>
          <w:lang w:val="lt-LT"/>
        </w:rPr>
        <w:tab/>
        <w:t>Specialios laikymo sąlygos</w:t>
      </w:r>
    </w:p>
    <w:p w14:paraId="512D7DED" w14:textId="77777777" w:rsidR="00F51FBD" w:rsidRPr="00900CEC" w:rsidRDefault="00F51FBD" w:rsidP="00F51FBD">
      <w:pPr>
        <w:tabs>
          <w:tab w:val="clear" w:pos="567"/>
        </w:tabs>
        <w:spacing w:line="240" w:lineRule="auto"/>
        <w:rPr>
          <w:szCs w:val="22"/>
          <w:lang w:val="lt-LT"/>
        </w:rPr>
      </w:pPr>
    </w:p>
    <w:p w14:paraId="5944D985" w14:textId="77777777" w:rsidR="00F51FBD" w:rsidRPr="00900CEC" w:rsidRDefault="00F51FBD" w:rsidP="00F51FBD">
      <w:pPr>
        <w:spacing w:line="240" w:lineRule="auto"/>
        <w:rPr>
          <w:szCs w:val="22"/>
          <w:lang w:val="lt-LT"/>
        </w:rPr>
      </w:pPr>
      <w:r w:rsidRPr="00900CEC">
        <w:rPr>
          <w:lang w:val="lt-LT"/>
        </w:rPr>
        <w:t>Laikyti žemesnėje kaip 25 </w:t>
      </w:r>
      <w:r w:rsidRPr="00900CEC">
        <w:rPr>
          <w:szCs w:val="22"/>
          <w:lang w:val="lt-LT"/>
        </w:rPr>
        <w:sym w:font="Symbol" w:char="F0B0"/>
      </w:r>
      <w:r w:rsidRPr="00900CEC">
        <w:rPr>
          <w:lang w:val="lt-LT"/>
        </w:rPr>
        <w:t>C temperatūroje</w:t>
      </w:r>
      <w:r w:rsidRPr="00900CEC">
        <w:rPr>
          <w:szCs w:val="22"/>
          <w:lang w:val="lt-LT"/>
        </w:rPr>
        <w:t>. Negalima šaldyti ar užšaldyti. Laikyti gamintojo dėžutėje, kad vaistinis preparatas būtų apsaugotas nuo šviesos.</w:t>
      </w:r>
    </w:p>
    <w:p w14:paraId="415996C9" w14:textId="77777777" w:rsidR="00F51FBD" w:rsidRPr="00900CEC" w:rsidRDefault="00F51FBD" w:rsidP="00F51FBD">
      <w:pPr>
        <w:tabs>
          <w:tab w:val="clear" w:pos="567"/>
        </w:tabs>
        <w:spacing w:line="240" w:lineRule="auto"/>
        <w:rPr>
          <w:szCs w:val="22"/>
          <w:lang w:val="lt-LT"/>
        </w:rPr>
      </w:pPr>
    </w:p>
    <w:p w14:paraId="24FA8433" w14:textId="77777777" w:rsidR="00F51FBD" w:rsidRPr="00900CEC" w:rsidRDefault="00F51FBD" w:rsidP="00F51FBD">
      <w:pPr>
        <w:pStyle w:val="Antrat4"/>
        <w:spacing w:line="240" w:lineRule="auto"/>
        <w:jc w:val="left"/>
        <w:rPr>
          <w:rFonts w:ascii="Times New Roman" w:hAnsi="Times New Roman"/>
          <w:sz w:val="22"/>
          <w:szCs w:val="22"/>
          <w:lang w:val="lt-LT"/>
        </w:rPr>
      </w:pPr>
      <w:r w:rsidRPr="00900CEC">
        <w:rPr>
          <w:rFonts w:ascii="Times New Roman" w:hAnsi="Times New Roman"/>
          <w:sz w:val="22"/>
          <w:szCs w:val="22"/>
          <w:lang w:val="lt-LT"/>
        </w:rPr>
        <w:t>6.5</w:t>
      </w:r>
      <w:r w:rsidRPr="00900CEC">
        <w:rPr>
          <w:rFonts w:ascii="Times New Roman" w:hAnsi="Times New Roman"/>
          <w:sz w:val="22"/>
          <w:szCs w:val="22"/>
          <w:lang w:val="lt-LT"/>
        </w:rPr>
        <w:tab/>
        <w:t>Talpyklės pobūdis ir jos turinys</w:t>
      </w:r>
    </w:p>
    <w:p w14:paraId="39AE5093" w14:textId="77777777" w:rsidR="00F51FBD" w:rsidRPr="00900CEC" w:rsidRDefault="00F51FBD" w:rsidP="00F51FBD">
      <w:pPr>
        <w:keepNext/>
        <w:tabs>
          <w:tab w:val="clear" w:pos="567"/>
        </w:tabs>
        <w:spacing w:line="240" w:lineRule="auto"/>
        <w:rPr>
          <w:szCs w:val="22"/>
          <w:lang w:val="lt-LT"/>
        </w:rPr>
      </w:pPr>
    </w:p>
    <w:p w14:paraId="6F55EC25" w14:textId="3B299D81" w:rsidR="00F51FBD" w:rsidRPr="00900CEC" w:rsidRDefault="006A24B2" w:rsidP="00F51FBD">
      <w:pPr>
        <w:keepNext/>
        <w:spacing w:line="240" w:lineRule="auto"/>
        <w:rPr>
          <w:szCs w:val="22"/>
          <w:lang w:val="lt-LT"/>
        </w:rPr>
      </w:pPr>
      <w:proofErr w:type="spellStart"/>
      <w:r>
        <w:rPr>
          <w:szCs w:val="22"/>
          <w:lang w:val="lt-LT"/>
        </w:rPr>
        <w:t>Paracetamol</w:t>
      </w:r>
      <w:proofErr w:type="spellEnd"/>
      <w:r>
        <w:rPr>
          <w:szCs w:val="22"/>
          <w:lang w:val="lt-LT"/>
        </w:rPr>
        <w:t>/</w:t>
      </w:r>
      <w:proofErr w:type="spellStart"/>
      <w:r>
        <w:rPr>
          <w:szCs w:val="22"/>
          <w:lang w:val="lt-LT"/>
        </w:rPr>
        <w:t>Ibuprofen</w:t>
      </w:r>
      <w:proofErr w:type="spellEnd"/>
      <w:r>
        <w:rPr>
          <w:szCs w:val="22"/>
          <w:lang w:val="lt-LT"/>
        </w:rPr>
        <w:t xml:space="preserve"> AFT </w:t>
      </w:r>
      <w:proofErr w:type="spellStart"/>
      <w:r>
        <w:rPr>
          <w:szCs w:val="22"/>
          <w:lang w:val="lt-LT"/>
        </w:rPr>
        <w:t>Pharmaceuticals</w:t>
      </w:r>
      <w:proofErr w:type="spellEnd"/>
      <w:r w:rsidR="00F51FBD">
        <w:rPr>
          <w:szCs w:val="22"/>
          <w:lang w:val="lt-LT"/>
        </w:rPr>
        <w:t xml:space="preserve"> </w:t>
      </w:r>
      <w:r w:rsidR="00F51FBD" w:rsidRPr="00900CEC">
        <w:rPr>
          <w:szCs w:val="22"/>
          <w:lang w:val="lt-LT"/>
        </w:rPr>
        <w:t>tiekiamas 100</w:t>
      </w:r>
      <w:r w:rsidR="00881995">
        <w:rPr>
          <w:szCs w:val="22"/>
          <w:lang w:val="lt-LT"/>
        </w:rPr>
        <w:t> </w:t>
      </w:r>
      <w:r w:rsidR="00F51FBD" w:rsidRPr="00900CEC">
        <w:rPr>
          <w:szCs w:val="22"/>
          <w:lang w:val="lt-LT"/>
        </w:rPr>
        <w:t>ml skaidraus II</w:t>
      </w:r>
      <w:r w:rsidR="00881995">
        <w:rPr>
          <w:szCs w:val="22"/>
          <w:lang w:val="lt-LT"/>
        </w:rPr>
        <w:t> </w:t>
      </w:r>
      <w:r w:rsidR="00F51FBD" w:rsidRPr="00900CEC">
        <w:rPr>
          <w:szCs w:val="22"/>
          <w:lang w:val="lt-LT"/>
        </w:rPr>
        <w:t xml:space="preserve">tipo stiklo flakonuose, uždarytuose pilkos spalvos </w:t>
      </w:r>
      <w:proofErr w:type="spellStart"/>
      <w:r w:rsidR="00F51FBD" w:rsidRPr="00900CEC">
        <w:rPr>
          <w:szCs w:val="22"/>
          <w:lang w:val="lt-LT"/>
        </w:rPr>
        <w:t>bromobutilo</w:t>
      </w:r>
      <w:proofErr w:type="spellEnd"/>
      <w:r w:rsidR="00F51FBD" w:rsidRPr="00900CEC">
        <w:rPr>
          <w:szCs w:val="22"/>
          <w:lang w:val="lt-LT"/>
        </w:rPr>
        <w:t xml:space="preserve"> gumos kamščiu ir nuplėšiamu aliuminio dangteliu, pakuotėse po 10</w:t>
      </w:r>
      <w:r w:rsidR="00881995">
        <w:rPr>
          <w:szCs w:val="22"/>
          <w:lang w:val="lt-LT"/>
        </w:rPr>
        <w:t> </w:t>
      </w:r>
      <w:r w:rsidR="00F51FBD" w:rsidRPr="00900CEC">
        <w:rPr>
          <w:szCs w:val="22"/>
          <w:lang w:val="lt-LT"/>
        </w:rPr>
        <w:t>flakonų.</w:t>
      </w:r>
    </w:p>
    <w:p w14:paraId="4E5131FD" w14:textId="77777777" w:rsidR="00F51FBD" w:rsidRPr="00900CEC" w:rsidRDefault="00F51FBD" w:rsidP="00F51FBD">
      <w:pPr>
        <w:tabs>
          <w:tab w:val="clear" w:pos="567"/>
        </w:tabs>
        <w:spacing w:line="240" w:lineRule="auto"/>
        <w:rPr>
          <w:szCs w:val="22"/>
          <w:lang w:val="lt-LT"/>
        </w:rPr>
      </w:pPr>
    </w:p>
    <w:p w14:paraId="1BF79C24" w14:textId="77777777" w:rsidR="00F51FBD" w:rsidRPr="00900CEC" w:rsidRDefault="00F51FBD" w:rsidP="00F51FBD">
      <w:pPr>
        <w:pStyle w:val="Antrat4"/>
        <w:spacing w:line="240" w:lineRule="auto"/>
        <w:jc w:val="left"/>
        <w:rPr>
          <w:rFonts w:ascii="Times New Roman" w:hAnsi="Times New Roman"/>
          <w:sz w:val="22"/>
          <w:szCs w:val="22"/>
          <w:lang w:val="lt-LT"/>
        </w:rPr>
      </w:pPr>
      <w:bookmarkStart w:id="2" w:name="OLE_LINK1"/>
      <w:r w:rsidRPr="00900CEC">
        <w:rPr>
          <w:rFonts w:ascii="Times New Roman" w:hAnsi="Times New Roman"/>
          <w:sz w:val="22"/>
          <w:szCs w:val="22"/>
          <w:lang w:val="lt-LT"/>
        </w:rPr>
        <w:t>6.6</w:t>
      </w:r>
      <w:r w:rsidRPr="00900CEC">
        <w:rPr>
          <w:rFonts w:ascii="Times New Roman" w:hAnsi="Times New Roman"/>
          <w:sz w:val="22"/>
          <w:szCs w:val="22"/>
          <w:lang w:val="lt-LT"/>
        </w:rPr>
        <w:tab/>
        <w:t xml:space="preserve">Specialūs reikalavimai atliekoms tvarkyti </w:t>
      </w:r>
    </w:p>
    <w:bookmarkEnd w:id="2"/>
    <w:p w14:paraId="052DD3C5" w14:textId="77777777" w:rsidR="00F51FBD" w:rsidRPr="00900CEC" w:rsidRDefault="00F51FBD" w:rsidP="00F51FBD">
      <w:pPr>
        <w:tabs>
          <w:tab w:val="clear" w:pos="567"/>
        </w:tabs>
        <w:spacing w:line="240" w:lineRule="auto"/>
        <w:rPr>
          <w:szCs w:val="22"/>
          <w:lang w:val="lt-LT"/>
        </w:rPr>
      </w:pPr>
    </w:p>
    <w:p w14:paraId="4A21D301" w14:textId="468C3647" w:rsidR="00F51FBD" w:rsidRPr="00900CEC" w:rsidRDefault="00F51FBD" w:rsidP="00F51FBD">
      <w:pPr>
        <w:tabs>
          <w:tab w:val="clear" w:pos="567"/>
        </w:tabs>
        <w:spacing w:line="240" w:lineRule="auto"/>
        <w:rPr>
          <w:szCs w:val="22"/>
          <w:lang w:val="lt-LT"/>
        </w:rPr>
      </w:pPr>
      <w:r w:rsidRPr="00900CEC">
        <w:rPr>
          <w:szCs w:val="22"/>
          <w:lang w:val="lt-LT"/>
        </w:rPr>
        <w:t>Prieš vartojimą</w:t>
      </w:r>
      <w:r>
        <w:rPr>
          <w:szCs w:val="22"/>
          <w:lang w:val="lt-LT"/>
        </w:rPr>
        <w:t>, jeigu įmanoma,</w:t>
      </w:r>
      <w:r w:rsidRPr="00900CEC">
        <w:rPr>
          <w:szCs w:val="22"/>
          <w:lang w:val="lt-LT"/>
        </w:rPr>
        <w:t xml:space="preserve"> reikia apžiūrėti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Pr="00900CEC">
        <w:rPr>
          <w:szCs w:val="22"/>
          <w:lang w:val="lt-LT"/>
        </w:rPr>
        <w:t>, ar nėra dalelių ir ar nepakitusi spalva. Jei pastebimos akivaizdžiai nepermatomos dalelės, pakitusi spalva ar kitos pašalinės dalelės, tirpalo vartoti negalima.</w:t>
      </w:r>
    </w:p>
    <w:p w14:paraId="0EA8AE2D" w14:textId="77777777" w:rsidR="00F51FBD" w:rsidRPr="00900CEC" w:rsidRDefault="00F51FBD" w:rsidP="00F51FBD">
      <w:pPr>
        <w:tabs>
          <w:tab w:val="clear" w:pos="567"/>
        </w:tabs>
        <w:spacing w:line="240" w:lineRule="auto"/>
        <w:rPr>
          <w:szCs w:val="22"/>
          <w:lang w:val="lt-LT"/>
        </w:rPr>
      </w:pPr>
    </w:p>
    <w:p w14:paraId="782E9B88" w14:textId="0C0B2886" w:rsidR="00F51FBD" w:rsidRPr="00900CEC" w:rsidRDefault="00F51FBD" w:rsidP="00F51FBD">
      <w:pPr>
        <w:tabs>
          <w:tab w:val="clear" w:pos="567"/>
        </w:tabs>
        <w:spacing w:line="240" w:lineRule="auto"/>
        <w:rPr>
          <w:szCs w:val="22"/>
          <w:lang w:val="lt-LT"/>
        </w:rPr>
      </w:pPr>
      <w:r w:rsidRPr="00900CEC">
        <w:rPr>
          <w:szCs w:val="22"/>
          <w:lang w:val="lt-LT"/>
        </w:rPr>
        <w:t>Nesant suderinamumo tyrimų, šio vaistinio preparato negalima maišyti su skiedikliais. Jei vienai dozei reikia mažiau nei pilno flakono, reikia suleisti reikiamą kiekį, o likusį tirpalą sunaikinti (taip pat žr. 4.2</w:t>
      </w:r>
      <w:r w:rsidR="00881995">
        <w:rPr>
          <w:szCs w:val="22"/>
          <w:lang w:val="lt-LT"/>
        </w:rPr>
        <w:t> </w:t>
      </w:r>
      <w:r w:rsidRPr="00900CEC">
        <w:rPr>
          <w:szCs w:val="22"/>
          <w:lang w:val="lt-LT"/>
        </w:rPr>
        <w:t>skyrių).</w:t>
      </w:r>
    </w:p>
    <w:p w14:paraId="2F11B089" w14:textId="77777777" w:rsidR="00F51FBD" w:rsidRPr="00900CEC" w:rsidRDefault="00F51FBD" w:rsidP="00F51FBD">
      <w:pPr>
        <w:tabs>
          <w:tab w:val="clear" w:pos="567"/>
        </w:tabs>
        <w:spacing w:line="240" w:lineRule="auto"/>
        <w:rPr>
          <w:szCs w:val="22"/>
          <w:lang w:val="lt-LT"/>
        </w:rPr>
      </w:pPr>
    </w:p>
    <w:p w14:paraId="54AE429F" w14:textId="231E5148" w:rsidR="00F51FBD" w:rsidRPr="00900CEC" w:rsidRDefault="006A24B2" w:rsidP="00F51FBD">
      <w:pPr>
        <w:tabs>
          <w:tab w:val="clear" w:pos="567"/>
        </w:tabs>
        <w:spacing w:line="240" w:lineRule="auto"/>
        <w:rPr>
          <w:szCs w:val="22"/>
          <w:lang w:val="lt-LT"/>
        </w:rPr>
      </w:pPr>
      <w:proofErr w:type="spellStart"/>
      <w:r>
        <w:rPr>
          <w:szCs w:val="22"/>
          <w:lang w:val="lt-LT"/>
        </w:rPr>
        <w:t>Paracetamol</w:t>
      </w:r>
      <w:proofErr w:type="spellEnd"/>
      <w:r>
        <w:rPr>
          <w:szCs w:val="22"/>
          <w:lang w:val="lt-LT"/>
        </w:rPr>
        <w:t>/</w:t>
      </w:r>
      <w:proofErr w:type="spellStart"/>
      <w:r>
        <w:rPr>
          <w:szCs w:val="22"/>
          <w:lang w:val="lt-LT"/>
        </w:rPr>
        <w:t>Ibuprofen</w:t>
      </w:r>
      <w:proofErr w:type="spellEnd"/>
      <w:r>
        <w:rPr>
          <w:szCs w:val="22"/>
          <w:lang w:val="lt-LT"/>
        </w:rPr>
        <w:t xml:space="preserve"> AFT </w:t>
      </w:r>
      <w:proofErr w:type="spellStart"/>
      <w:r>
        <w:rPr>
          <w:szCs w:val="22"/>
          <w:lang w:val="lt-LT"/>
        </w:rPr>
        <w:t>Pharmaceuticals</w:t>
      </w:r>
      <w:proofErr w:type="spellEnd"/>
      <w:r w:rsidR="00F51FBD" w:rsidRPr="00900CEC">
        <w:rPr>
          <w:szCs w:val="22"/>
          <w:lang w:val="lt-LT"/>
        </w:rPr>
        <w:t xml:space="preserve"> turi būti vartojamas tik vienu atveju vienam pacientui. Sudėtyje nėra antimikrobinio konservanto. Nesuvartotą tirpalą reikia išmesti.</w:t>
      </w:r>
    </w:p>
    <w:p w14:paraId="77C23A11" w14:textId="3C3EB936" w:rsidR="00F34163" w:rsidRPr="00900CEC" w:rsidRDefault="00F34163" w:rsidP="00F51FBD">
      <w:pPr>
        <w:pStyle w:val="Antrat3"/>
        <w:spacing w:before="0" w:after="0" w:line="240" w:lineRule="auto"/>
        <w:rPr>
          <w:szCs w:val="22"/>
          <w:lang w:val="lt-LT"/>
        </w:rPr>
      </w:pPr>
    </w:p>
    <w:p w14:paraId="713AA246" w14:textId="77777777" w:rsidR="00F34163" w:rsidRPr="00900CEC" w:rsidRDefault="00F34163" w:rsidP="00F5233B">
      <w:pPr>
        <w:tabs>
          <w:tab w:val="clear" w:pos="567"/>
        </w:tabs>
        <w:spacing w:line="240" w:lineRule="auto"/>
        <w:rPr>
          <w:szCs w:val="22"/>
          <w:lang w:val="lt-LT"/>
        </w:rPr>
      </w:pPr>
    </w:p>
    <w:p w14:paraId="71703A42" w14:textId="77777777" w:rsidR="00F34163" w:rsidRPr="00900CEC" w:rsidRDefault="00F34163" w:rsidP="00F5233B">
      <w:pPr>
        <w:pStyle w:val="Antrat3"/>
        <w:spacing w:before="0" w:after="0" w:line="240" w:lineRule="auto"/>
        <w:rPr>
          <w:rFonts w:ascii="Times New Roman" w:hAnsi="Times New Roman"/>
          <w:sz w:val="22"/>
          <w:szCs w:val="22"/>
          <w:lang w:val="lt-LT"/>
        </w:rPr>
      </w:pPr>
      <w:r w:rsidRPr="00900CEC">
        <w:rPr>
          <w:rFonts w:ascii="Times New Roman" w:hAnsi="Times New Roman"/>
          <w:sz w:val="22"/>
          <w:szCs w:val="22"/>
          <w:lang w:val="lt-LT"/>
        </w:rPr>
        <w:t>7.</w:t>
      </w:r>
      <w:r w:rsidRPr="00900CEC">
        <w:rPr>
          <w:rFonts w:ascii="Times New Roman" w:hAnsi="Times New Roman"/>
          <w:sz w:val="22"/>
          <w:szCs w:val="22"/>
          <w:lang w:val="lt-LT"/>
        </w:rPr>
        <w:tab/>
      </w:r>
      <w:r w:rsidR="00126F6D" w:rsidRPr="00900CEC">
        <w:rPr>
          <w:rFonts w:ascii="Times New Roman" w:hAnsi="Times New Roman"/>
          <w:sz w:val="22"/>
          <w:szCs w:val="22"/>
          <w:lang w:val="lt-LT"/>
        </w:rPr>
        <w:t>REGISTRUOTOJAS</w:t>
      </w:r>
    </w:p>
    <w:p w14:paraId="7977E64A" w14:textId="77777777" w:rsidR="00F34163" w:rsidRPr="00900CEC" w:rsidRDefault="00F34163" w:rsidP="00F5233B">
      <w:pPr>
        <w:tabs>
          <w:tab w:val="clear" w:pos="567"/>
        </w:tabs>
        <w:spacing w:line="240" w:lineRule="auto"/>
        <w:rPr>
          <w:szCs w:val="22"/>
          <w:lang w:val="lt-LT"/>
        </w:rPr>
      </w:pPr>
    </w:p>
    <w:p w14:paraId="2C48E8FE" w14:textId="77777777" w:rsidR="00C03FB5" w:rsidRPr="00C03FB5" w:rsidRDefault="00C03FB5" w:rsidP="00C03FB5">
      <w:pPr>
        <w:tabs>
          <w:tab w:val="clear" w:pos="567"/>
        </w:tabs>
        <w:spacing w:line="240" w:lineRule="auto"/>
        <w:jc w:val="both"/>
        <w:rPr>
          <w:szCs w:val="22"/>
          <w:lang w:val="lt-LT"/>
        </w:rPr>
      </w:pPr>
      <w:r w:rsidRPr="00C03FB5">
        <w:rPr>
          <w:szCs w:val="22"/>
          <w:lang w:val="lt-LT"/>
        </w:rPr>
        <w:t xml:space="preserve">AFT </w:t>
      </w:r>
      <w:proofErr w:type="spellStart"/>
      <w:r w:rsidRPr="00C03FB5">
        <w:rPr>
          <w:szCs w:val="22"/>
          <w:lang w:val="lt-LT"/>
        </w:rPr>
        <w:t>Pharmaceuticals</w:t>
      </w:r>
      <w:proofErr w:type="spellEnd"/>
      <w:r w:rsidRPr="00C03FB5">
        <w:rPr>
          <w:szCs w:val="22"/>
          <w:lang w:val="lt-LT"/>
        </w:rPr>
        <w:t xml:space="preserve"> (EUR) </w:t>
      </w:r>
      <w:proofErr w:type="spellStart"/>
      <w:r w:rsidRPr="00C03FB5">
        <w:rPr>
          <w:szCs w:val="22"/>
          <w:lang w:val="lt-LT"/>
        </w:rPr>
        <w:t>Limited</w:t>
      </w:r>
      <w:proofErr w:type="spellEnd"/>
      <w:r w:rsidRPr="00C03FB5">
        <w:rPr>
          <w:szCs w:val="22"/>
          <w:lang w:val="lt-LT"/>
        </w:rPr>
        <w:t>,</w:t>
      </w:r>
    </w:p>
    <w:p w14:paraId="041F236E" w14:textId="77777777" w:rsidR="00C03FB5" w:rsidRPr="00C03FB5" w:rsidRDefault="00C03FB5" w:rsidP="00C03FB5">
      <w:pPr>
        <w:tabs>
          <w:tab w:val="clear" w:pos="567"/>
        </w:tabs>
        <w:spacing w:line="240" w:lineRule="auto"/>
        <w:jc w:val="both"/>
        <w:rPr>
          <w:szCs w:val="22"/>
          <w:lang w:val="lt-LT"/>
        </w:rPr>
      </w:pPr>
      <w:proofErr w:type="spellStart"/>
      <w:r w:rsidRPr="00C03FB5">
        <w:rPr>
          <w:szCs w:val="22"/>
          <w:lang w:val="lt-LT"/>
        </w:rPr>
        <w:t>Sinnottstown</w:t>
      </w:r>
      <w:proofErr w:type="spellEnd"/>
      <w:r w:rsidRPr="00C03FB5">
        <w:rPr>
          <w:szCs w:val="22"/>
          <w:lang w:val="lt-LT"/>
        </w:rPr>
        <w:t xml:space="preserve"> </w:t>
      </w:r>
      <w:proofErr w:type="spellStart"/>
      <w:r w:rsidRPr="00C03FB5">
        <w:rPr>
          <w:szCs w:val="22"/>
          <w:lang w:val="lt-LT"/>
        </w:rPr>
        <w:t>Business</w:t>
      </w:r>
      <w:proofErr w:type="spellEnd"/>
      <w:r w:rsidRPr="00C03FB5">
        <w:rPr>
          <w:szCs w:val="22"/>
          <w:lang w:val="lt-LT"/>
        </w:rPr>
        <w:t xml:space="preserve"> </w:t>
      </w:r>
      <w:proofErr w:type="spellStart"/>
      <w:r w:rsidRPr="00C03FB5">
        <w:rPr>
          <w:szCs w:val="22"/>
          <w:lang w:val="lt-LT"/>
        </w:rPr>
        <w:t>Park</w:t>
      </w:r>
      <w:proofErr w:type="spellEnd"/>
      <w:r w:rsidRPr="00C03FB5">
        <w:rPr>
          <w:szCs w:val="22"/>
          <w:lang w:val="lt-LT"/>
        </w:rPr>
        <w:t>,</w:t>
      </w:r>
    </w:p>
    <w:p w14:paraId="399EED8E" w14:textId="77777777" w:rsidR="00C03FB5" w:rsidRPr="00C03FB5" w:rsidRDefault="00C03FB5" w:rsidP="00C03FB5">
      <w:pPr>
        <w:tabs>
          <w:tab w:val="clear" w:pos="567"/>
        </w:tabs>
        <w:spacing w:line="240" w:lineRule="auto"/>
        <w:jc w:val="both"/>
        <w:rPr>
          <w:szCs w:val="22"/>
          <w:lang w:val="lt-LT"/>
        </w:rPr>
      </w:pPr>
      <w:proofErr w:type="spellStart"/>
      <w:r w:rsidRPr="00C03FB5">
        <w:rPr>
          <w:szCs w:val="22"/>
          <w:lang w:val="lt-LT"/>
        </w:rPr>
        <w:t>Sinnottstown</w:t>
      </w:r>
      <w:proofErr w:type="spellEnd"/>
      <w:r w:rsidRPr="00C03FB5">
        <w:rPr>
          <w:szCs w:val="22"/>
          <w:lang w:val="lt-LT"/>
        </w:rPr>
        <w:t xml:space="preserve"> Lane, </w:t>
      </w:r>
    </w:p>
    <w:p w14:paraId="210C3C13" w14:textId="52C78B5C" w:rsidR="00C03FB5" w:rsidRPr="00C03FB5" w:rsidRDefault="00C03FB5" w:rsidP="00C03FB5">
      <w:pPr>
        <w:tabs>
          <w:tab w:val="clear" w:pos="567"/>
        </w:tabs>
        <w:spacing w:line="240" w:lineRule="auto"/>
        <w:jc w:val="both"/>
        <w:rPr>
          <w:szCs w:val="22"/>
          <w:lang w:val="lt-LT"/>
        </w:rPr>
      </w:pPr>
      <w:proofErr w:type="spellStart"/>
      <w:r w:rsidRPr="00C03FB5">
        <w:rPr>
          <w:szCs w:val="22"/>
          <w:lang w:val="lt-LT"/>
        </w:rPr>
        <w:t>Drinagh</w:t>
      </w:r>
      <w:proofErr w:type="spellEnd"/>
      <w:r w:rsidRPr="00C03FB5">
        <w:rPr>
          <w:szCs w:val="22"/>
          <w:lang w:val="lt-LT"/>
        </w:rPr>
        <w:t>,</w:t>
      </w:r>
      <w:r>
        <w:rPr>
          <w:szCs w:val="22"/>
          <w:lang w:val="lt-LT"/>
        </w:rPr>
        <w:t xml:space="preserve"> </w:t>
      </w:r>
      <w:proofErr w:type="spellStart"/>
      <w:r w:rsidRPr="00C03FB5">
        <w:rPr>
          <w:szCs w:val="22"/>
          <w:lang w:val="lt-LT"/>
        </w:rPr>
        <w:t>Wexford</w:t>
      </w:r>
      <w:proofErr w:type="spellEnd"/>
      <w:r w:rsidRPr="00C03FB5">
        <w:rPr>
          <w:szCs w:val="22"/>
          <w:lang w:val="lt-LT"/>
        </w:rPr>
        <w:t>,</w:t>
      </w:r>
    </w:p>
    <w:p w14:paraId="00B66500" w14:textId="3955CF89" w:rsidR="00F34163" w:rsidRPr="00900CEC" w:rsidRDefault="00C03FB5" w:rsidP="005F127A">
      <w:pPr>
        <w:tabs>
          <w:tab w:val="clear" w:pos="567"/>
        </w:tabs>
        <w:spacing w:line="240" w:lineRule="auto"/>
        <w:rPr>
          <w:szCs w:val="22"/>
          <w:lang w:val="lt-LT"/>
        </w:rPr>
      </w:pPr>
      <w:r w:rsidRPr="00C03FB5">
        <w:rPr>
          <w:szCs w:val="22"/>
          <w:lang w:val="lt-LT"/>
        </w:rPr>
        <w:t>Y35 AKX5</w:t>
      </w:r>
      <w:r w:rsidR="0011669E">
        <w:rPr>
          <w:szCs w:val="22"/>
          <w:lang w:val="lt-LT"/>
        </w:rPr>
        <w:t>,</w:t>
      </w:r>
      <w:r w:rsidR="00756E91" w:rsidRPr="00900CEC">
        <w:rPr>
          <w:szCs w:val="22"/>
          <w:lang w:val="lt-LT"/>
        </w:rPr>
        <w:t xml:space="preserve"> </w:t>
      </w:r>
      <w:r w:rsidR="005F127A" w:rsidRPr="00900CEC">
        <w:rPr>
          <w:szCs w:val="22"/>
          <w:lang w:val="lt-LT"/>
        </w:rPr>
        <w:t>Airija</w:t>
      </w:r>
    </w:p>
    <w:p w14:paraId="218081BB" w14:textId="77777777" w:rsidR="005F127A" w:rsidRPr="00900CEC" w:rsidRDefault="005F127A" w:rsidP="005F127A">
      <w:pPr>
        <w:tabs>
          <w:tab w:val="clear" w:pos="567"/>
        </w:tabs>
        <w:spacing w:line="240" w:lineRule="auto"/>
        <w:rPr>
          <w:szCs w:val="22"/>
          <w:lang w:val="lt-LT"/>
        </w:rPr>
      </w:pPr>
    </w:p>
    <w:p w14:paraId="704D6C44" w14:textId="77777777" w:rsidR="00F34163" w:rsidRPr="00900CEC" w:rsidRDefault="00F34163" w:rsidP="00F5233B">
      <w:pPr>
        <w:tabs>
          <w:tab w:val="clear" w:pos="567"/>
        </w:tabs>
        <w:spacing w:line="240" w:lineRule="auto"/>
        <w:rPr>
          <w:szCs w:val="22"/>
          <w:lang w:val="lt-LT"/>
        </w:rPr>
      </w:pPr>
    </w:p>
    <w:p w14:paraId="653F608B" w14:textId="77777777" w:rsidR="00F34163" w:rsidRPr="00900CEC" w:rsidRDefault="00F34163" w:rsidP="00F5233B">
      <w:pPr>
        <w:pStyle w:val="Antrat3"/>
        <w:spacing w:before="0" w:after="0" w:line="240" w:lineRule="auto"/>
        <w:rPr>
          <w:rFonts w:ascii="Times New Roman" w:hAnsi="Times New Roman"/>
          <w:sz w:val="22"/>
          <w:szCs w:val="22"/>
          <w:lang w:val="lt-LT"/>
        </w:rPr>
      </w:pPr>
      <w:r w:rsidRPr="00900CEC">
        <w:rPr>
          <w:rFonts w:ascii="Times New Roman" w:hAnsi="Times New Roman"/>
          <w:sz w:val="22"/>
          <w:szCs w:val="22"/>
          <w:lang w:val="lt-LT"/>
        </w:rPr>
        <w:t>8.</w:t>
      </w:r>
      <w:r w:rsidRPr="00900CEC">
        <w:rPr>
          <w:rFonts w:ascii="Times New Roman" w:hAnsi="Times New Roman"/>
          <w:sz w:val="22"/>
          <w:szCs w:val="22"/>
          <w:lang w:val="lt-LT"/>
        </w:rPr>
        <w:tab/>
      </w:r>
      <w:r w:rsidR="00826CB6" w:rsidRPr="00900CEC">
        <w:rPr>
          <w:rFonts w:ascii="Times New Roman" w:hAnsi="Times New Roman"/>
          <w:sz w:val="22"/>
          <w:szCs w:val="22"/>
          <w:lang w:val="lt-LT"/>
        </w:rPr>
        <w:t xml:space="preserve">REGISTRACIJOS </w:t>
      </w:r>
      <w:r w:rsidRPr="00900CEC">
        <w:rPr>
          <w:rFonts w:ascii="Times New Roman" w:hAnsi="Times New Roman"/>
          <w:sz w:val="22"/>
          <w:szCs w:val="22"/>
          <w:lang w:val="lt-LT"/>
        </w:rPr>
        <w:t xml:space="preserve">PAŽYMĖJIMO NUMERIS (-IAI) </w:t>
      </w:r>
    </w:p>
    <w:p w14:paraId="7F59CEB0" w14:textId="77777777" w:rsidR="00006EC2" w:rsidRPr="00900CEC" w:rsidRDefault="00006EC2" w:rsidP="00F5233B">
      <w:pPr>
        <w:tabs>
          <w:tab w:val="clear" w:pos="567"/>
        </w:tabs>
        <w:spacing w:line="240" w:lineRule="auto"/>
        <w:rPr>
          <w:szCs w:val="22"/>
          <w:lang w:val="lt-LT"/>
        </w:rPr>
      </w:pPr>
    </w:p>
    <w:p w14:paraId="5F78C327" w14:textId="4D8750B9" w:rsidR="00F34163" w:rsidRDefault="00006EC2" w:rsidP="00F5233B">
      <w:pPr>
        <w:tabs>
          <w:tab w:val="clear" w:pos="567"/>
        </w:tabs>
        <w:spacing w:line="240" w:lineRule="auto"/>
        <w:rPr>
          <w:szCs w:val="22"/>
          <w:lang w:val="lt-LT"/>
        </w:rPr>
      </w:pPr>
      <w:r w:rsidRPr="00006EC2">
        <w:rPr>
          <w:szCs w:val="22"/>
          <w:lang w:val="lt-LT"/>
        </w:rPr>
        <w:t>LT/1/20/4594/001</w:t>
      </w:r>
    </w:p>
    <w:p w14:paraId="5B30B3AE" w14:textId="306F222C" w:rsidR="00006EC2" w:rsidRDefault="00006EC2" w:rsidP="00F5233B">
      <w:pPr>
        <w:tabs>
          <w:tab w:val="clear" w:pos="567"/>
        </w:tabs>
        <w:spacing w:line="240" w:lineRule="auto"/>
        <w:rPr>
          <w:szCs w:val="22"/>
          <w:lang w:val="lt-LT"/>
        </w:rPr>
      </w:pPr>
    </w:p>
    <w:p w14:paraId="327EC83A" w14:textId="77777777" w:rsidR="00006EC2" w:rsidRPr="00900CEC" w:rsidRDefault="00006EC2" w:rsidP="00F5233B">
      <w:pPr>
        <w:tabs>
          <w:tab w:val="clear" w:pos="567"/>
        </w:tabs>
        <w:spacing w:line="240" w:lineRule="auto"/>
        <w:rPr>
          <w:szCs w:val="22"/>
          <w:lang w:val="lt-LT"/>
        </w:rPr>
      </w:pPr>
    </w:p>
    <w:p w14:paraId="36E39DD7" w14:textId="77777777" w:rsidR="00F34163" w:rsidRPr="00900CEC" w:rsidRDefault="00F34163" w:rsidP="00F5233B">
      <w:pPr>
        <w:pStyle w:val="Antrat3"/>
        <w:spacing w:before="0" w:after="0" w:line="240" w:lineRule="auto"/>
        <w:rPr>
          <w:rFonts w:ascii="Times New Roman" w:hAnsi="Times New Roman"/>
          <w:sz w:val="22"/>
          <w:szCs w:val="22"/>
          <w:lang w:val="lt-LT"/>
        </w:rPr>
      </w:pPr>
      <w:r w:rsidRPr="00900CEC">
        <w:rPr>
          <w:rFonts w:ascii="Times New Roman" w:hAnsi="Times New Roman"/>
          <w:sz w:val="22"/>
          <w:szCs w:val="22"/>
          <w:lang w:val="lt-LT"/>
        </w:rPr>
        <w:lastRenderedPageBreak/>
        <w:t>9.</w:t>
      </w:r>
      <w:r w:rsidRPr="00900CEC">
        <w:rPr>
          <w:rFonts w:ascii="Times New Roman" w:hAnsi="Times New Roman"/>
          <w:sz w:val="22"/>
          <w:szCs w:val="22"/>
          <w:lang w:val="lt-LT"/>
        </w:rPr>
        <w:tab/>
      </w:r>
      <w:r w:rsidR="00826CB6" w:rsidRPr="00900CEC">
        <w:rPr>
          <w:rFonts w:ascii="Times New Roman" w:hAnsi="Times New Roman"/>
          <w:sz w:val="22"/>
          <w:szCs w:val="22"/>
          <w:lang w:val="lt-LT"/>
        </w:rPr>
        <w:t>REGISTRA</w:t>
      </w:r>
      <w:r w:rsidR="00B51C06" w:rsidRPr="00900CEC">
        <w:rPr>
          <w:rFonts w:ascii="Times New Roman" w:hAnsi="Times New Roman"/>
          <w:sz w:val="22"/>
          <w:szCs w:val="22"/>
          <w:lang w:val="lt-LT"/>
        </w:rPr>
        <w:t>VIMO</w:t>
      </w:r>
      <w:r w:rsidRPr="00900CEC">
        <w:rPr>
          <w:rFonts w:ascii="Times New Roman" w:hAnsi="Times New Roman"/>
          <w:sz w:val="22"/>
          <w:szCs w:val="22"/>
          <w:lang w:val="lt-LT"/>
        </w:rPr>
        <w:t xml:space="preserve"> / </w:t>
      </w:r>
      <w:r w:rsidR="00CE6EC2" w:rsidRPr="00900CEC">
        <w:rPr>
          <w:rFonts w:ascii="Times New Roman" w:hAnsi="Times New Roman"/>
          <w:sz w:val="22"/>
          <w:szCs w:val="22"/>
          <w:lang w:val="lt-LT"/>
        </w:rPr>
        <w:t xml:space="preserve">PERREGISTRAVIMO </w:t>
      </w:r>
      <w:r w:rsidRPr="00900CEC">
        <w:rPr>
          <w:rFonts w:ascii="Times New Roman" w:hAnsi="Times New Roman"/>
          <w:sz w:val="22"/>
          <w:szCs w:val="22"/>
          <w:lang w:val="lt-LT"/>
        </w:rPr>
        <w:t>DATA</w:t>
      </w:r>
    </w:p>
    <w:p w14:paraId="552AFF72" w14:textId="77777777" w:rsidR="00F34163" w:rsidRPr="00900CEC" w:rsidRDefault="00F34163" w:rsidP="00F5233B">
      <w:pPr>
        <w:tabs>
          <w:tab w:val="clear" w:pos="567"/>
        </w:tabs>
        <w:spacing w:line="240" w:lineRule="auto"/>
        <w:rPr>
          <w:szCs w:val="22"/>
          <w:lang w:val="lt-LT"/>
        </w:rPr>
      </w:pPr>
    </w:p>
    <w:p w14:paraId="12434E89" w14:textId="77777777" w:rsidR="00520FEC" w:rsidRPr="00900CEC" w:rsidRDefault="00520FEC" w:rsidP="00520FEC">
      <w:pPr>
        <w:tabs>
          <w:tab w:val="clear" w:pos="567"/>
        </w:tabs>
        <w:spacing w:line="240" w:lineRule="auto"/>
        <w:rPr>
          <w:szCs w:val="22"/>
          <w:lang w:val="lt-LT"/>
        </w:rPr>
      </w:pPr>
      <w:r w:rsidRPr="00900CEC">
        <w:rPr>
          <w:szCs w:val="22"/>
          <w:lang w:val="lt-LT"/>
        </w:rPr>
        <w:t xml:space="preserve">Registravimo data </w:t>
      </w:r>
      <w:r>
        <w:rPr>
          <w:szCs w:val="22"/>
          <w:lang w:val="lt-LT"/>
        </w:rPr>
        <w:t>2020 m. liepos 15 d.</w:t>
      </w:r>
    </w:p>
    <w:p w14:paraId="3B289644" w14:textId="77777777" w:rsidR="00520FEC" w:rsidRPr="006D21DF" w:rsidRDefault="00520FEC" w:rsidP="00520FEC">
      <w:pPr>
        <w:tabs>
          <w:tab w:val="clear" w:pos="567"/>
        </w:tabs>
        <w:spacing w:line="240" w:lineRule="auto"/>
        <w:rPr>
          <w:szCs w:val="24"/>
          <w:lang w:val="it-CH"/>
        </w:rPr>
      </w:pPr>
      <w:r w:rsidRPr="006D21DF">
        <w:rPr>
          <w:szCs w:val="22"/>
          <w:lang w:val="it-CH"/>
        </w:rPr>
        <w:t xml:space="preserve">Paskutinio </w:t>
      </w:r>
      <w:r w:rsidRPr="006D21DF">
        <w:rPr>
          <w:szCs w:val="24"/>
          <w:lang w:val="it-CH"/>
        </w:rPr>
        <w:t>perregistravimo data</w:t>
      </w:r>
      <w:r>
        <w:rPr>
          <w:szCs w:val="24"/>
          <w:lang w:val="it-CH"/>
        </w:rPr>
        <w:t xml:space="preserve"> 2025 m. sausio 28 d.</w:t>
      </w:r>
    </w:p>
    <w:p w14:paraId="452D9102" w14:textId="77777777" w:rsidR="00F34163" w:rsidRPr="00900CEC" w:rsidRDefault="00F34163" w:rsidP="00F5233B">
      <w:pPr>
        <w:tabs>
          <w:tab w:val="clear" w:pos="567"/>
        </w:tabs>
        <w:spacing w:line="240" w:lineRule="auto"/>
        <w:rPr>
          <w:szCs w:val="22"/>
          <w:lang w:val="lt-LT"/>
        </w:rPr>
      </w:pPr>
    </w:p>
    <w:p w14:paraId="0020D811" w14:textId="77777777" w:rsidR="002657B7" w:rsidRPr="00900CEC" w:rsidRDefault="002657B7" w:rsidP="00BA698D">
      <w:pPr>
        <w:tabs>
          <w:tab w:val="clear" w:pos="567"/>
        </w:tabs>
        <w:spacing w:line="240" w:lineRule="auto"/>
        <w:rPr>
          <w:szCs w:val="22"/>
          <w:lang w:val="lt-LT"/>
        </w:rPr>
      </w:pPr>
    </w:p>
    <w:p w14:paraId="070DAB98" w14:textId="77777777" w:rsidR="00F34163" w:rsidRPr="00900CEC" w:rsidRDefault="00F34163" w:rsidP="00BA698D">
      <w:pPr>
        <w:pStyle w:val="Antrat3"/>
        <w:spacing w:before="0" w:after="0" w:line="240" w:lineRule="auto"/>
        <w:rPr>
          <w:rFonts w:ascii="Times New Roman" w:hAnsi="Times New Roman"/>
          <w:sz w:val="22"/>
          <w:szCs w:val="22"/>
          <w:lang w:val="lt-LT"/>
        </w:rPr>
      </w:pPr>
      <w:r w:rsidRPr="00900CEC">
        <w:rPr>
          <w:rFonts w:ascii="Times New Roman" w:hAnsi="Times New Roman"/>
          <w:sz w:val="22"/>
          <w:szCs w:val="22"/>
          <w:lang w:val="lt-LT"/>
        </w:rPr>
        <w:t>1</w:t>
      </w:r>
      <w:r w:rsidR="009329B5" w:rsidRPr="00900CEC">
        <w:rPr>
          <w:rFonts w:ascii="Times New Roman" w:hAnsi="Times New Roman"/>
          <w:sz w:val="22"/>
          <w:szCs w:val="22"/>
          <w:lang w:val="lt-LT"/>
        </w:rPr>
        <w:t>0</w:t>
      </w:r>
      <w:r w:rsidR="00915B65" w:rsidRPr="00900CEC">
        <w:rPr>
          <w:rFonts w:ascii="Times New Roman" w:hAnsi="Times New Roman"/>
          <w:sz w:val="22"/>
          <w:szCs w:val="22"/>
          <w:lang w:val="lt-LT"/>
        </w:rPr>
        <w:t>.</w:t>
      </w:r>
      <w:r w:rsidRPr="00900CEC">
        <w:rPr>
          <w:rFonts w:ascii="Times New Roman" w:hAnsi="Times New Roman"/>
          <w:sz w:val="22"/>
          <w:szCs w:val="22"/>
          <w:lang w:val="lt-LT"/>
        </w:rPr>
        <w:tab/>
        <w:t>TEKSTO PERŽIŪROS DATA</w:t>
      </w:r>
    </w:p>
    <w:p w14:paraId="1C4ECFAD" w14:textId="77777777" w:rsidR="006F675B" w:rsidRDefault="006F675B" w:rsidP="00BA698D">
      <w:pPr>
        <w:tabs>
          <w:tab w:val="clear" w:pos="567"/>
        </w:tabs>
        <w:spacing w:line="240" w:lineRule="auto"/>
        <w:rPr>
          <w:szCs w:val="22"/>
          <w:lang w:val="lt-LT"/>
        </w:rPr>
      </w:pPr>
    </w:p>
    <w:p w14:paraId="6B70B439" w14:textId="606BD947" w:rsidR="000A09DD" w:rsidRDefault="003A22EF" w:rsidP="00BA698D">
      <w:pPr>
        <w:tabs>
          <w:tab w:val="clear" w:pos="567"/>
        </w:tabs>
        <w:spacing w:line="240" w:lineRule="auto"/>
        <w:rPr>
          <w:szCs w:val="24"/>
          <w:lang w:val="it-CH"/>
        </w:rPr>
      </w:pPr>
      <w:r>
        <w:rPr>
          <w:szCs w:val="24"/>
          <w:lang w:val="it-CH"/>
        </w:rPr>
        <w:t xml:space="preserve">2025 m. lapkričio 7 d. </w:t>
      </w:r>
    </w:p>
    <w:p w14:paraId="65DA1EEA" w14:textId="77777777" w:rsidR="003009EE" w:rsidRPr="00900CEC" w:rsidRDefault="003009EE" w:rsidP="00BA698D">
      <w:pPr>
        <w:tabs>
          <w:tab w:val="clear" w:pos="567"/>
        </w:tabs>
        <w:spacing w:line="240" w:lineRule="auto"/>
        <w:rPr>
          <w:szCs w:val="22"/>
          <w:lang w:val="lt-LT"/>
        </w:rPr>
      </w:pPr>
    </w:p>
    <w:p w14:paraId="3671F996" w14:textId="2ECDA6EE" w:rsidR="00AE408A" w:rsidRPr="00900CEC" w:rsidRDefault="00F34163" w:rsidP="00CF24F2">
      <w:pPr>
        <w:pStyle w:val="Paprastasistekstas"/>
        <w:tabs>
          <w:tab w:val="left" w:pos="5954"/>
          <w:tab w:val="left" w:pos="6237"/>
          <w:tab w:val="left" w:pos="6663"/>
          <w:tab w:val="left" w:pos="6946"/>
        </w:tabs>
        <w:rPr>
          <w:b/>
          <w:szCs w:val="22"/>
          <w:lang w:val="lt-LT"/>
        </w:rPr>
      </w:pPr>
      <w:r w:rsidRPr="00900CEC">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900CEC">
        <w:rPr>
          <w:rFonts w:ascii="Times New Roman" w:hAnsi="Times New Roman"/>
          <w:i/>
          <w:sz w:val="22"/>
          <w:szCs w:val="22"/>
          <w:lang w:val="lt-LT"/>
        </w:rPr>
        <w:t xml:space="preserve"> </w:t>
      </w:r>
      <w:hyperlink r:id="rId13" w:history="1">
        <w:r w:rsidR="003A22EF" w:rsidRPr="004B2DA2">
          <w:rPr>
            <w:rStyle w:val="Hipersaitas"/>
            <w:rFonts w:ascii="Times New Roman" w:hAnsi="Times New Roman"/>
            <w:sz w:val="22"/>
            <w:szCs w:val="22"/>
            <w:lang w:val="lt-LT"/>
          </w:rPr>
          <w:t>https://vvkt.lrv.lt/lt/</w:t>
        </w:r>
      </w:hyperlink>
      <w:r w:rsidR="003A22EF">
        <w:rPr>
          <w:rFonts w:ascii="Times New Roman" w:hAnsi="Times New Roman"/>
          <w:sz w:val="22"/>
          <w:szCs w:val="22"/>
          <w:lang w:val="lt-LT"/>
        </w:rPr>
        <w:t xml:space="preserve"> </w:t>
      </w:r>
      <w:r w:rsidR="00331196" w:rsidRPr="00900CEC">
        <w:rPr>
          <w:szCs w:val="22"/>
          <w:lang w:val="lt-LT"/>
        </w:rPr>
        <w:br w:type="page"/>
      </w:r>
    </w:p>
    <w:p w14:paraId="4D80AF2E" w14:textId="77777777" w:rsidR="00AE408A" w:rsidRPr="00900CEC" w:rsidRDefault="00AE408A" w:rsidP="00BA698D">
      <w:pPr>
        <w:tabs>
          <w:tab w:val="left" w:pos="-1440"/>
          <w:tab w:val="left" w:pos="-720"/>
        </w:tabs>
        <w:spacing w:line="240" w:lineRule="auto"/>
        <w:rPr>
          <w:b/>
          <w:szCs w:val="22"/>
          <w:lang w:val="lt-LT"/>
        </w:rPr>
      </w:pPr>
    </w:p>
    <w:p w14:paraId="5CCD60AF" w14:textId="77777777" w:rsidR="00AE408A" w:rsidRPr="00900CEC" w:rsidRDefault="00AE408A" w:rsidP="00BA698D">
      <w:pPr>
        <w:tabs>
          <w:tab w:val="left" w:pos="-1440"/>
          <w:tab w:val="left" w:pos="-720"/>
        </w:tabs>
        <w:spacing w:line="240" w:lineRule="auto"/>
        <w:rPr>
          <w:b/>
          <w:szCs w:val="22"/>
          <w:lang w:val="lt-LT"/>
        </w:rPr>
      </w:pPr>
    </w:p>
    <w:p w14:paraId="4E0305C5" w14:textId="77777777" w:rsidR="00AE408A" w:rsidRPr="00900CEC" w:rsidRDefault="00AE408A" w:rsidP="00BA698D">
      <w:pPr>
        <w:tabs>
          <w:tab w:val="left" w:pos="-1440"/>
          <w:tab w:val="left" w:pos="-720"/>
        </w:tabs>
        <w:spacing w:line="240" w:lineRule="auto"/>
        <w:rPr>
          <w:b/>
          <w:szCs w:val="22"/>
          <w:lang w:val="lt-LT"/>
        </w:rPr>
      </w:pPr>
    </w:p>
    <w:p w14:paraId="65013B7E" w14:textId="77777777" w:rsidR="00AE408A" w:rsidRPr="00900CEC" w:rsidRDefault="00AE408A" w:rsidP="00BA698D">
      <w:pPr>
        <w:tabs>
          <w:tab w:val="left" w:pos="-1440"/>
          <w:tab w:val="left" w:pos="-720"/>
        </w:tabs>
        <w:spacing w:line="240" w:lineRule="auto"/>
        <w:rPr>
          <w:b/>
          <w:szCs w:val="22"/>
          <w:lang w:val="lt-LT"/>
        </w:rPr>
      </w:pPr>
    </w:p>
    <w:p w14:paraId="7B54444F" w14:textId="77777777" w:rsidR="00AE408A" w:rsidRPr="00900CEC" w:rsidRDefault="00AE408A" w:rsidP="00BA698D">
      <w:pPr>
        <w:tabs>
          <w:tab w:val="left" w:pos="-1440"/>
          <w:tab w:val="left" w:pos="-720"/>
        </w:tabs>
        <w:spacing w:line="240" w:lineRule="auto"/>
        <w:rPr>
          <w:b/>
          <w:szCs w:val="22"/>
          <w:lang w:val="lt-LT"/>
        </w:rPr>
      </w:pPr>
    </w:p>
    <w:p w14:paraId="6ACD8E59" w14:textId="77777777" w:rsidR="00AE408A" w:rsidRPr="00900CEC" w:rsidRDefault="00AE408A" w:rsidP="00BA698D">
      <w:pPr>
        <w:tabs>
          <w:tab w:val="left" w:pos="-1440"/>
          <w:tab w:val="left" w:pos="-720"/>
        </w:tabs>
        <w:spacing w:line="240" w:lineRule="auto"/>
        <w:rPr>
          <w:b/>
          <w:szCs w:val="22"/>
          <w:lang w:val="lt-LT"/>
        </w:rPr>
      </w:pPr>
    </w:p>
    <w:p w14:paraId="6ADACBB7" w14:textId="77777777" w:rsidR="00AE408A" w:rsidRPr="00900CEC" w:rsidRDefault="00AE408A" w:rsidP="00BA698D">
      <w:pPr>
        <w:tabs>
          <w:tab w:val="left" w:pos="-1440"/>
          <w:tab w:val="left" w:pos="-720"/>
        </w:tabs>
        <w:spacing w:line="240" w:lineRule="auto"/>
        <w:rPr>
          <w:b/>
          <w:szCs w:val="22"/>
          <w:lang w:val="lt-LT"/>
        </w:rPr>
      </w:pPr>
    </w:p>
    <w:p w14:paraId="66C60E29" w14:textId="77777777" w:rsidR="00AE408A" w:rsidRPr="00900CEC" w:rsidRDefault="00AE408A" w:rsidP="00BA698D">
      <w:pPr>
        <w:tabs>
          <w:tab w:val="left" w:pos="-1440"/>
          <w:tab w:val="left" w:pos="-720"/>
        </w:tabs>
        <w:spacing w:line="240" w:lineRule="auto"/>
        <w:rPr>
          <w:b/>
          <w:szCs w:val="22"/>
          <w:lang w:val="lt-LT"/>
        </w:rPr>
      </w:pPr>
    </w:p>
    <w:p w14:paraId="571A1D46" w14:textId="77777777" w:rsidR="00AE408A" w:rsidRPr="00900CEC" w:rsidRDefault="00AE408A" w:rsidP="00BA698D">
      <w:pPr>
        <w:tabs>
          <w:tab w:val="left" w:pos="-1440"/>
          <w:tab w:val="left" w:pos="-720"/>
        </w:tabs>
        <w:spacing w:line="240" w:lineRule="auto"/>
        <w:rPr>
          <w:b/>
          <w:szCs w:val="22"/>
          <w:lang w:val="lt-LT"/>
        </w:rPr>
      </w:pPr>
    </w:p>
    <w:p w14:paraId="1FE1F33A" w14:textId="77777777" w:rsidR="00AE408A" w:rsidRPr="00900CEC" w:rsidRDefault="00AE408A" w:rsidP="00BA698D">
      <w:pPr>
        <w:tabs>
          <w:tab w:val="left" w:pos="-1440"/>
          <w:tab w:val="left" w:pos="-720"/>
        </w:tabs>
        <w:spacing w:line="240" w:lineRule="auto"/>
        <w:rPr>
          <w:b/>
          <w:szCs w:val="22"/>
          <w:lang w:val="lt-LT"/>
        </w:rPr>
      </w:pPr>
    </w:p>
    <w:p w14:paraId="3A3CC805" w14:textId="77777777" w:rsidR="00AE408A" w:rsidRPr="00900CEC" w:rsidRDefault="00AE408A" w:rsidP="00BA698D">
      <w:pPr>
        <w:tabs>
          <w:tab w:val="left" w:pos="-1440"/>
          <w:tab w:val="left" w:pos="-720"/>
        </w:tabs>
        <w:spacing w:line="240" w:lineRule="auto"/>
        <w:rPr>
          <w:b/>
          <w:szCs w:val="22"/>
          <w:lang w:val="lt-LT"/>
        </w:rPr>
      </w:pPr>
    </w:p>
    <w:p w14:paraId="48D23A63" w14:textId="77777777" w:rsidR="00AE408A" w:rsidRPr="00900CEC" w:rsidRDefault="00AE408A" w:rsidP="00BA698D">
      <w:pPr>
        <w:tabs>
          <w:tab w:val="left" w:pos="-1440"/>
          <w:tab w:val="left" w:pos="-720"/>
        </w:tabs>
        <w:spacing w:line="240" w:lineRule="auto"/>
        <w:rPr>
          <w:b/>
          <w:szCs w:val="22"/>
          <w:lang w:val="lt-LT"/>
        </w:rPr>
      </w:pPr>
    </w:p>
    <w:p w14:paraId="4416C83F" w14:textId="77777777" w:rsidR="00AE408A" w:rsidRPr="00900CEC" w:rsidRDefault="00AE408A" w:rsidP="00BA698D">
      <w:pPr>
        <w:tabs>
          <w:tab w:val="left" w:pos="-1440"/>
          <w:tab w:val="left" w:pos="-720"/>
        </w:tabs>
        <w:spacing w:line="240" w:lineRule="auto"/>
        <w:rPr>
          <w:b/>
          <w:szCs w:val="22"/>
          <w:lang w:val="lt-LT"/>
        </w:rPr>
      </w:pPr>
    </w:p>
    <w:p w14:paraId="390D0263" w14:textId="77777777" w:rsidR="00AE408A" w:rsidRPr="00900CEC" w:rsidRDefault="00AE408A" w:rsidP="00BA698D">
      <w:pPr>
        <w:tabs>
          <w:tab w:val="left" w:pos="-1440"/>
          <w:tab w:val="left" w:pos="-720"/>
        </w:tabs>
        <w:spacing w:line="240" w:lineRule="auto"/>
        <w:rPr>
          <w:b/>
          <w:szCs w:val="22"/>
          <w:lang w:val="lt-LT"/>
        </w:rPr>
      </w:pPr>
    </w:p>
    <w:p w14:paraId="43216037" w14:textId="77777777" w:rsidR="00AE408A" w:rsidRPr="00900CEC" w:rsidRDefault="00AE408A" w:rsidP="00BA698D">
      <w:pPr>
        <w:tabs>
          <w:tab w:val="left" w:pos="-1440"/>
          <w:tab w:val="left" w:pos="-720"/>
        </w:tabs>
        <w:spacing w:line="240" w:lineRule="auto"/>
        <w:rPr>
          <w:b/>
          <w:szCs w:val="22"/>
          <w:lang w:val="lt-LT"/>
        </w:rPr>
      </w:pPr>
    </w:p>
    <w:p w14:paraId="7274E60F" w14:textId="77777777" w:rsidR="00AE408A" w:rsidRPr="00900CEC" w:rsidRDefault="00AE408A" w:rsidP="00BA698D">
      <w:pPr>
        <w:tabs>
          <w:tab w:val="left" w:pos="-1440"/>
          <w:tab w:val="left" w:pos="-720"/>
        </w:tabs>
        <w:spacing w:line="240" w:lineRule="auto"/>
        <w:rPr>
          <w:b/>
          <w:szCs w:val="22"/>
          <w:lang w:val="lt-LT"/>
        </w:rPr>
      </w:pPr>
    </w:p>
    <w:p w14:paraId="09AAC39D" w14:textId="77777777" w:rsidR="00AE408A" w:rsidRPr="00900CEC" w:rsidRDefault="00AE408A" w:rsidP="00BA698D">
      <w:pPr>
        <w:tabs>
          <w:tab w:val="left" w:pos="-1440"/>
          <w:tab w:val="left" w:pos="-720"/>
        </w:tabs>
        <w:spacing w:line="240" w:lineRule="auto"/>
        <w:rPr>
          <w:b/>
          <w:szCs w:val="22"/>
          <w:lang w:val="lt-LT"/>
        </w:rPr>
      </w:pPr>
    </w:p>
    <w:p w14:paraId="771F22BE" w14:textId="77777777" w:rsidR="00AE408A" w:rsidRPr="00900CEC" w:rsidRDefault="00AE408A" w:rsidP="00BA698D">
      <w:pPr>
        <w:tabs>
          <w:tab w:val="left" w:pos="-1440"/>
          <w:tab w:val="left" w:pos="-720"/>
        </w:tabs>
        <w:spacing w:line="240" w:lineRule="auto"/>
        <w:rPr>
          <w:b/>
          <w:szCs w:val="22"/>
          <w:lang w:val="lt-LT"/>
        </w:rPr>
      </w:pPr>
    </w:p>
    <w:p w14:paraId="0084C285" w14:textId="77777777" w:rsidR="00AE408A" w:rsidRPr="00900CEC" w:rsidRDefault="00AE408A" w:rsidP="00BA698D">
      <w:pPr>
        <w:tabs>
          <w:tab w:val="left" w:pos="-1440"/>
          <w:tab w:val="left" w:pos="-720"/>
        </w:tabs>
        <w:spacing w:line="240" w:lineRule="auto"/>
        <w:rPr>
          <w:b/>
          <w:szCs w:val="22"/>
          <w:lang w:val="lt-LT"/>
        </w:rPr>
      </w:pPr>
    </w:p>
    <w:p w14:paraId="00272696" w14:textId="77777777" w:rsidR="00AE408A" w:rsidRPr="00900CEC" w:rsidRDefault="00AE408A" w:rsidP="00BA698D">
      <w:pPr>
        <w:tabs>
          <w:tab w:val="left" w:pos="-1440"/>
          <w:tab w:val="left" w:pos="-720"/>
        </w:tabs>
        <w:spacing w:line="240" w:lineRule="auto"/>
        <w:rPr>
          <w:b/>
          <w:szCs w:val="22"/>
          <w:lang w:val="lt-LT"/>
        </w:rPr>
      </w:pPr>
    </w:p>
    <w:p w14:paraId="78FFF9CB" w14:textId="77777777" w:rsidR="00AE408A" w:rsidRPr="00900CEC" w:rsidRDefault="00AE408A" w:rsidP="00BA698D">
      <w:pPr>
        <w:tabs>
          <w:tab w:val="left" w:pos="-1440"/>
          <w:tab w:val="left" w:pos="-720"/>
        </w:tabs>
        <w:spacing w:line="240" w:lineRule="auto"/>
        <w:rPr>
          <w:b/>
          <w:szCs w:val="22"/>
          <w:lang w:val="lt-LT"/>
        </w:rPr>
      </w:pPr>
    </w:p>
    <w:p w14:paraId="0F1EDA05" w14:textId="77777777" w:rsidR="00AE408A" w:rsidRPr="00900CEC" w:rsidRDefault="00AE408A" w:rsidP="00BA698D">
      <w:pPr>
        <w:tabs>
          <w:tab w:val="left" w:pos="-1440"/>
          <w:tab w:val="left" w:pos="-720"/>
        </w:tabs>
        <w:spacing w:line="240" w:lineRule="auto"/>
        <w:rPr>
          <w:b/>
          <w:szCs w:val="22"/>
          <w:lang w:val="lt-LT"/>
        </w:rPr>
      </w:pPr>
    </w:p>
    <w:p w14:paraId="2D9EA3CC" w14:textId="77777777" w:rsidR="007C52A6" w:rsidRPr="00900CEC" w:rsidRDefault="007C52A6" w:rsidP="00BA698D">
      <w:pPr>
        <w:pStyle w:val="Antrat2"/>
        <w:spacing w:before="0" w:after="0" w:line="240" w:lineRule="auto"/>
        <w:jc w:val="center"/>
        <w:rPr>
          <w:rFonts w:ascii="Times New Roman" w:hAnsi="Times New Roman"/>
          <w:i w:val="0"/>
          <w:sz w:val="22"/>
          <w:szCs w:val="22"/>
          <w:lang w:val="lt-LT"/>
        </w:rPr>
      </w:pPr>
    </w:p>
    <w:p w14:paraId="39FE8281" w14:textId="77777777" w:rsidR="00F34163" w:rsidRPr="00900CEC" w:rsidRDefault="00F34163" w:rsidP="00BA698D">
      <w:pPr>
        <w:pStyle w:val="Antrat2"/>
        <w:spacing w:before="0" w:after="0" w:line="240" w:lineRule="auto"/>
        <w:jc w:val="center"/>
        <w:rPr>
          <w:rFonts w:ascii="Times New Roman" w:hAnsi="Times New Roman"/>
          <w:i w:val="0"/>
          <w:sz w:val="22"/>
          <w:szCs w:val="22"/>
          <w:lang w:val="lt-LT"/>
        </w:rPr>
      </w:pPr>
      <w:r w:rsidRPr="00900CEC">
        <w:rPr>
          <w:rFonts w:ascii="Times New Roman" w:hAnsi="Times New Roman"/>
          <w:i w:val="0"/>
          <w:sz w:val="22"/>
          <w:szCs w:val="22"/>
          <w:lang w:val="lt-LT"/>
        </w:rPr>
        <w:t>II PRIEDAS</w:t>
      </w:r>
    </w:p>
    <w:p w14:paraId="73E16DF2" w14:textId="77777777" w:rsidR="00F34163" w:rsidRPr="00900CEC" w:rsidRDefault="00F34163" w:rsidP="00BA698D">
      <w:pPr>
        <w:tabs>
          <w:tab w:val="left" w:pos="-1440"/>
          <w:tab w:val="left" w:pos="-720"/>
        </w:tabs>
        <w:spacing w:line="240" w:lineRule="auto"/>
        <w:rPr>
          <w:b/>
          <w:szCs w:val="22"/>
          <w:lang w:val="lt-LT"/>
        </w:rPr>
      </w:pPr>
    </w:p>
    <w:p w14:paraId="2A43CA03" w14:textId="77777777" w:rsidR="00F34163" w:rsidRPr="00900CEC" w:rsidRDefault="00CE6EC2" w:rsidP="00BA698D">
      <w:pPr>
        <w:pStyle w:val="Antrat2"/>
        <w:spacing w:before="0" w:after="0" w:line="240" w:lineRule="auto"/>
        <w:jc w:val="center"/>
        <w:rPr>
          <w:rFonts w:ascii="Times New Roman" w:hAnsi="Times New Roman"/>
          <w:i w:val="0"/>
          <w:sz w:val="22"/>
          <w:szCs w:val="22"/>
          <w:lang w:val="lt-LT"/>
        </w:rPr>
      </w:pPr>
      <w:r w:rsidRPr="00900CEC">
        <w:rPr>
          <w:rFonts w:ascii="Times New Roman" w:hAnsi="Times New Roman"/>
          <w:i w:val="0"/>
          <w:sz w:val="22"/>
          <w:szCs w:val="22"/>
          <w:lang w:val="lt-LT"/>
        </w:rPr>
        <w:t xml:space="preserve">REGISTRACIJOS </w:t>
      </w:r>
      <w:r w:rsidR="00F34163" w:rsidRPr="00900CEC">
        <w:rPr>
          <w:rFonts w:ascii="Times New Roman" w:hAnsi="Times New Roman"/>
          <w:i w:val="0"/>
          <w:sz w:val="22"/>
          <w:szCs w:val="22"/>
          <w:lang w:val="lt-LT"/>
        </w:rPr>
        <w:t>SĄLYGOS</w:t>
      </w:r>
    </w:p>
    <w:p w14:paraId="05A99A8D" w14:textId="77777777" w:rsidR="00F34163" w:rsidRPr="00900CEC" w:rsidRDefault="00F34163" w:rsidP="00BA698D">
      <w:pPr>
        <w:spacing w:line="240" w:lineRule="auto"/>
        <w:rPr>
          <w:szCs w:val="22"/>
          <w:lang w:val="lt-LT"/>
        </w:rPr>
      </w:pPr>
    </w:p>
    <w:p w14:paraId="569AD54F" w14:textId="336DC91B" w:rsidR="00F34163" w:rsidRPr="00900CEC" w:rsidRDefault="00F34163" w:rsidP="00B57D0B">
      <w:pPr>
        <w:tabs>
          <w:tab w:val="clear" w:pos="567"/>
          <w:tab w:val="left" w:pos="1701"/>
        </w:tabs>
        <w:spacing w:line="240" w:lineRule="auto"/>
        <w:ind w:left="1701" w:right="567" w:hanging="567"/>
        <w:rPr>
          <w:b/>
          <w:szCs w:val="22"/>
          <w:lang w:val="lt-LT"/>
        </w:rPr>
      </w:pPr>
      <w:r w:rsidRPr="00900CEC">
        <w:rPr>
          <w:b/>
          <w:szCs w:val="22"/>
          <w:lang w:val="lt-LT"/>
        </w:rPr>
        <w:t>A.</w:t>
      </w:r>
      <w:r w:rsidRPr="00900CEC">
        <w:rPr>
          <w:b/>
          <w:szCs w:val="22"/>
          <w:lang w:val="lt-LT"/>
        </w:rPr>
        <w:tab/>
      </w:r>
      <w:r w:rsidR="007C52A6" w:rsidRPr="00900CEC">
        <w:rPr>
          <w:b/>
          <w:szCs w:val="24"/>
          <w:lang w:val="lt-LT"/>
        </w:rPr>
        <w:t xml:space="preserve">GAMINTOJAS (-AI), ATSAKINGAS (-I) </w:t>
      </w:r>
      <w:r w:rsidRPr="00900CEC">
        <w:rPr>
          <w:b/>
          <w:szCs w:val="22"/>
          <w:lang w:val="lt-LT"/>
        </w:rPr>
        <w:t>UŽ SERIJŲ IŠLEIDIMĄ</w:t>
      </w:r>
    </w:p>
    <w:p w14:paraId="0CF6197C" w14:textId="77777777" w:rsidR="00F34163" w:rsidRPr="00900CEC" w:rsidRDefault="00F34163" w:rsidP="00C060EC">
      <w:pPr>
        <w:tabs>
          <w:tab w:val="clear" w:pos="567"/>
          <w:tab w:val="left" w:pos="1701"/>
        </w:tabs>
        <w:spacing w:line="240" w:lineRule="auto"/>
        <w:ind w:left="567" w:right="567" w:hanging="567"/>
        <w:jc w:val="center"/>
        <w:rPr>
          <w:szCs w:val="22"/>
          <w:lang w:val="lt-LT"/>
        </w:rPr>
      </w:pPr>
    </w:p>
    <w:p w14:paraId="583C5F18" w14:textId="77777777" w:rsidR="00F34163" w:rsidRPr="00900CEC" w:rsidRDefault="00F34163" w:rsidP="00C060EC">
      <w:pPr>
        <w:tabs>
          <w:tab w:val="clear" w:pos="567"/>
          <w:tab w:val="left" w:pos="1560"/>
        </w:tabs>
        <w:spacing w:line="240" w:lineRule="auto"/>
        <w:ind w:left="1701" w:right="567" w:hanging="567"/>
        <w:rPr>
          <w:b/>
          <w:szCs w:val="22"/>
          <w:lang w:val="lt-LT"/>
        </w:rPr>
      </w:pPr>
      <w:r w:rsidRPr="00900CEC">
        <w:rPr>
          <w:b/>
          <w:szCs w:val="22"/>
          <w:lang w:val="lt-LT"/>
        </w:rPr>
        <w:t>B.</w:t>
      </w:r>
      <w:r w:rsidRPr="00900CEC">
        <w:rPr>
          <w:b/>
          <w:szCs w:val="22"/>
          <w:lang w:val="lt-LT"/>
        </w:rPr>
        <w:tab/>
        <w:t>TIEKIMO IR VARTOJIMO SĄLYGOS AR APRIBOJIMAI</w:t>
      </w:r>
    </w:p>
    <w:p w14:paraId="1F190CA3" w14:textId="15C8D0F3" w:rsidR="00F34163" w:rsidRPr="00900CEC" w:rsidRDefault="00F34163" w:rsidP="00BA698D">
      <w:pPr>
        <w:spacing w:line="240" w:lineRule="auto"/>
        <w:rPr>
          <w:b/>
          <w:szCs w:val="22"/>
          <w:lang w:val="lt-LT"/>
        </w:rPr>
      </w:pPr>
      <w:r w:rsidRPr="00900CEC">
        <w:rPr>
          <w:szCs w:val="22"/>
          <w:lang w:val="lt-LT"/>
        </w:rPr>
        <w:br w:type="page"/>
      </w:r>
      <w:r w:rsidRPr="00900CEC">
        <w:rPr>
          <w:b/>
          <w:szCs w:val="22"/>
          <w:lang w:val="lt-LT"/>
        </w:rPr>
        <w:lastRenderedPageBreak/>
        <w:t>A.</w:t>
      </w:r>
      <w:r w:rsidRPr="00900CEC">
        <w:rPr>
          <w:b/>
          <w:szCs w:val="22"/>
          <w:lang w:val="lt-LT"/>
        </w:rPr>
        <w:tab/>
      </w:r>
      <w:r w:rsidR="002268F6" w:rsidRPr="00900CEC">
        <w:rPr>
          <w:b/>
          <w:szCs w:val="24"/>
          <w:lang w:val="lt-LT"/>
        </w:rPr>
        <w:t>GAMINTOJAS (-AI), ATSAKINGAS (-I)</w:t>
      </w:r>
      <w:r w:rsidRPr="00900CEC">
        <w:rPr>
          <w:b/>
          <w:szCs w:val="22"/>
          <w:lang w:val="lt-LT"/>
        </w:rPr>
        <w:t xml:space="preserve"> UŽ SERIJŲ IŠLEIDIMĄ</w:t>
      </w:r>
    </w:p>
    <w:p w14:paraId="1F0698CB" w14:textId="77777777" w:rsidR="00F34163" w:rsidRPr="00900CEC" w:rsidRDefault="00F34163" w:rsidP="00BA698D">
      <w:pPr>
        <w:spacing w:line="240" w:lineRule="auto"/>
        <w:rPr>
          <w:szCs w:val="22"/>
          <w:lang w:val="lt-LT"/>
        </w:rPr>
      </w:pPr>
    </w:p>
    <w:p w14:paraId="5B205379" w14:textId="1474EE43" w:rsidR="002268F6" w:rsidRPr="00900CEC" w:rsidRDefault="002268F6" w:rsidP="002268F6">
      <w:pPr>
        <w:spacing w:line="240" w:lineRule="auto"/>
        <w:jc w:val="both"/>
        <w:rPr>
          <w:szCs w:val="24"/>
          <w:lang w:val="lt-LT"/>
        </w:rPr>
      </w:pPr>
      <w:r w:rsidRPr="00900CEC">
        <w:rPr>
          <w:szCs w:val="24"/>
          <w:u w:val="single"/>
          <w:lang w:val="lt-LT"/>
        </w:rPr>
        <w:t>Gamintojo (-ų), atsakingo (-ų) už serijų išleidimą, pavadinimas (-ai) ir adresas (-ai)</w:t>
      </w:r>
    </w:p>
    <w:p w14:paraId="008410CC" w14:textId="77777777" w:rsidR="00D426E2" w:rsidRDefault="00D426E2" w:rsidP="007B3562">
      <w:pPr>
        <w:rPr>
          <w:lang w:val="lt-LT"/>
        </w:rPr>
      </w:pPr>
    </w:p>
    <w:p w14:paraId="0F994A49" w14:textId="5913ACBC" w:rsidR="007B3562" w:rsidRPr="00900CEC" w:rsidRDefault="007B3562" w:rsidP="007B3562">
      <w:pPr>
        <w:rPr>
          <w:lang w:val="lt-LT"/>
        </w:rPr>
      </w:pPr>
      <w:r w:rsidRPr="00900CEC">
        <w:rPr>
          <w:lang w:val="lt-LT"/>
        </w:rPr>
        <w:t xml:space="preserve">S.M. </w:t>
      </w:r>
      <w:proofErr w:type="spellStart"/>
      <w:r w:rsidRPr="00900CEC">
        <w:rPr>
          <w:lang w:val="lt-LT"/>
        </w:rPr>
        <w:t>Farmaceutici</w:t>
      </w:r>
      <w:proofErr w:type="spellEnd"/>
      <w:r w:rsidRPr="00900CEC">
        <w:rPr>
          <w:lang w:val="lt-LT"/>
        </w:rPr>
        <w:t xml:space="preserve"> </w:t>
      </w:r>
      <w:proofErr w:type="spellStart"/>
      <w:r w:rsidRPr="00900CEC">
        <w:rPr>
          <w:lang w:val="lt-LT"/>
        </w:rPr>
        <w:t>S</w:t>
      </w:r>
      <w:r w:rsidR="00B14980">
        <w:rPr>
          <w:lang w:val="lt-LT"/>
        </w:rPr>
        <w:t>.r.l</w:t>
      </w:r>
      <w:proofErr w:type="spellEnd"/>
      <w:r w:rsidR="00B14980">
        <w:rPr>
          <w:lang w:val="lt-LT"/>
        </w:rPr>
        <w:t>.</w:t>
      </w:r>
    </w:p>
    <w:p w14:paraId="55A967F4" w14:textId="2429A4F0" w:rsidR="007B3562" w:rsidRPr="00900CEC" w:rsidRDefault="007B3562" w:rsidP="007B3562">
      <w:pPr>
        <w:rPr>
          <w:lang w:val="lt-LT"/>
        </w:rPr>
      </w:pPr>
      <w:r w:rsidRPr="00900CEC">
        <w:rPr>
          <w:lang w:val="lt-LT"/>
        </w:rPr>
        <w:t xml:space="preserve">Zona </w:t>
      </w:r>
      <w:proofErr w:type="spellStart"/>
      <w:r w:rsidRPr="00900CEC">
        <w:rPr>
          <w:lang w:val="lt-LT"/>
        </w:rPr>
        <w:t>Industriale</w:t>
      </w:r>
      <w:proofErr w:type="spellEnd"/>
      <w:r w:rsidR="00B14980">
        <w:rPr>
          <w:lang w:val="lt-LT"/>
        </w:rPr>
        <w:t xml:space="preserve"> Tito </w:t>
      </w:r>
      <w:proofErr w:type="spellStart"/>
      <w:r w:rsidR="00B14980">
        <w:rPr>
          <w:lang w:val="lt-LT"/>
        </w:rPr>
        <w:t>Scalo</w:t>
      </w:r>
      <w:proofErr w:type="spellEnd"/>
      <w:r w:rsidR="00B14980">
        <w:rPr>
          <w:lang w:val="lt-LT"/>
        </w:rPr>
        <w:t xml:space="preserve"> </w:t>
      </w:r>
      <w:proofErr w:type="spellStart"/>
      <w:r w:rsidR="00B14980">
        <w:rPr>
          <w:lang w:val="lt-LT"/>
        </w:rPr>
        <w:t>Snc</w:t>
      </w:r>
      <w:proofErr w:type="spellEnd"/>
    </w:p>
    <w:p w14:paraId="2674A92E" w14:textId="77777777" w:rsidR="007B3562" w:rsidRPr="00900CEC" w:rsidRDefault="007B3562" w:rsidP="007B3562">
      <w:pPr>
        <w:rPr>
          <w:lang w:val="lt-LT"/>
        </w:rPr>
      </w:pPr>
      <w:r w:rsidRPr="00900CEC">
        <w:rPr>
          <w:lang w:val="lt-LT"/>
        </w:rPr>
        <w:t>85050 Tito (PZ)</w:t>
      </w:r>
    </w:p>
    <w:p w14:paraId="69646F18" w14:textId="45A2EB2D" w:rsidR="00F34163" w:rsidRPr="00900CEC" w:rsidRDefault="007B3562" w:rsidP="007B3562">
      <w:pPr>
        <w:rPr>
          <w:szCs w:val="22"/>
          <w:lang w:val="lt-LT"/>
        </w:rPr>
      </w:pPr>
      <w:r w:rsidRPr="00900CEC">
        <w:rPr>
          <w:lang w:val="lt-LT"/>
        </w:rPr>
        <w:t>Italija</w:t>
      </w:r>
    </w:p>
    <w:p w14:paraId="486DADB5" w14:textId="367F73C7" w:rsidR="009C5A6D" w:rsidRPr="00900CEC" w:rsidRDefault="009C5A6D" w:rsidP="009C5A6D">
      <w:pPr>
        <w:tabs>
          <w:tab w:val="clear" w:pos="567"/>
        </w:tabs>
        <w:spacing w:line="240" w:lineRule="auto"/>
        <w:rPr>
          <w:iCs/>
          <w:szCs w:val="22"/>
          <w:lang w:val="lt-LT"/>
        </w:rPr>
      </w:pPr>
    </w:p>
    <w:p w14:paraId="59CE804F" w14:textId="77777777" w:rsidR="00F34163" w:rsidRPr="00900CEC" w:rsidRDefault="00F34163" w:rsidP="00BA698D">
      <w:pPr>
        <w:spacing w:line="240" w:lineRule="auto"/>
        <w:rPr>
          <w:szCs w:val="22"/>
          <w:lang w:val="lt-LT"/>
        </w:rPr>
      </w:pPr>
    </w:p>
    <w:p w14:paraId="621D491D" w14:textId="77777777" w:rsidR="00F34163" w:rsidRPr="00900CEC" w:rsidRDefault="00F34163" w:rsidP="00BA698D">
      <w:pPr>
        <w:spacing w:line="240" w:lineRule="auto"/>
        <w:ind w:left="567" w:hanging="567"/>
        <w:rPr>
          <w:szCs w:val="22"/>
          <w:lang w:val="lt-LT"/>
        </w:rPr>
      </w:pPr>
      <w:r w:rsidRPr="00900CEC">
        <w:rPr>
          <w:b/>
          <w:szCs w:val="22"/>
          <w:lang w:val="lt-LT"/>
        </w:rPr>
        <w:t>B.</w:t>
      </w:r>
      <w:r w:rsidRPr="00900CEC">
        <w:rPr>
          <w:b/>
          <w:szCs w:val="22"/>
          <w:lang w:val="lt-LT"/>
        </w:rPr>
        <w:tab/>
        <w:t>TIEKIMO IR VARTOJIMO SĄLYGOS AR APRIBOJIMAI</w:t>
      </w:r>
    </w:p>
    <w:p w14:paraId="188AC563" w14:textId="77777777" w:rsidR="00F34163" w:rsidRPr="00900CEC" w:rsidRDefault="00F34163" w:rsidP="00BA698D">
      <w:pPr>
        <w:spacing w:line="240" w:lineRule="auto"/>
        <w:rPr>
          <w:szCs w:val="22"/>
          <w:lang w:val="lt-LT"/>
        </w:rPr>
      </w:pPr>
    </w:p>
    <w:p w14:paraId="1EC3375E" w14:textId="552CFDFF" w:rsidR="00EC46F9" w:rsidRPr="00900CEC" w:rsidRDefault="009319E5" w:rsidP="00BA1E7A">
      <w:pPr>
        <w:spacing w:line="240" w:lineRule="auto"/>
        <w:rPr>
          <w:szCs w:val="22"/>
          <w:lang w:val="lt-LT"/>
        </w:rPr>
      </w:pPr>
      <w:r w:rsidRPr="00900CEC">
        <w:rPr>
          <w:szCs w:val="22"/>
          <w:lang w:val="lt-LT"/>
        </w:rPr>
        <w:t>R</w:t>
      </w:r>
      <w:r w:rsidR="00F34163" w:rsidRPr="00900CEC">
        <w:rPr>
          <w:szCs w:val="22"/>
          <w:lang w:val="lt-LT"/>
        </w:rPr>
        <w:t>eceptinis vaistinis preparatas.</w:t>
      </w:r>
    </w:p>
    <w:p w14:paraId="422FC0CE" w14:textId="77777777" w:rsidR="00E104BF" w:rsidRPr="00900CEC" w:rsidRDefault="00E104BF" w:rsidP="00BA1E7A">
      <w:pPr>
        <w:spacing w:line="240" w:lineRule="auto"/>
        <w:rPr>
          <w:szCs w:val="22"/>
          <w:lang w:val="lt-LT"/>
        </w:rPr>
      </w:pPr>
    </w:p>
    <w:p w14:paraId="3D046665" w14:textId="77777777" w:rsidR="00E104BF" w:rsidRPr="00900CEC" w:rsidRDefault="00E104BF" w:rsidP="00BA1E7A">
      <w:pPr>
        <w:spacing w:line="240" w:lineRule="auto"/>
        <w:rPr>
          <w:szCs w:val="22"/>
          <w:lang w:val="lt-LT"/>
        </w:rPr>
      </w:pPr>
    </w:p>
    <w:p w14:paraId="6CD8F613" w14:textId="77777777" w:rsidR="00E104BF" w:rsidRPr="00900CEC" w:rsidRDefault="00E104BF">
      <w:pPr>
        <w:tabs>
          <w:tab w:val="clear" w:pos="567"/>
        </w:tabs>
        <w:spacing w:line="240" w:lineRule="auto"/>
        <w:rPr>
          <w:szCs w:val="22"/>
          <w:lang w:val="lt-LT"/>
        </w:rPr>
      </w:pPr>
      <w:r w:rsidRPr="00900CEC">
        <w:rPr>
          <w:szCs w:val="22"/>
          <w:lang w:val="lt-LT"/>
        </w:rPr>
        <w:br w:type="page"/>
      </w:r>
    </w:p>
    <w:p w14:paraId="5A651862" w14:textId="77777777" w:rsidR="00E57449" w:rsidRPr="00900CEC" w:rsidRDefault="00E57449" w:rsidP="00E57449">
      <w:pPr>
        <w:rPr>
          <w:lang w:val="lt-LT"/>
        </w:rPr>
      </w:pPr>
    </w:p>
    <w:p w14:paraId="73654D93" w14:textId="77777777" w:rsidR="00E57449" w:rsidRPr="00900CEC" w:rsidRDefault="00E57449" w:rsidP="00E57449">
      <w:pPr>
        <w:rPr>
          <w:lang w:val="lt-LT"/>
        </w:rPr>
      </w:pPr>
    </w:p>
    <w:p w14:paraId="105E08C6" w14:textId="77777777" w:rsidR="00E57449" w:rsidRPr="00900CEC" w:rsidRDefault="00E57449" w:rsidP="00E57449">
      <w:pPr>
        <w:rPr>
          <w:lang w:val="lt-LT"/>
        </w:rPr>
      </w:pPr>
    </w:p>
    <w:p w14:paraId="02835DE3" w14:textId="77777777" w:rsidR="00E57449" w:rsidRPr="00900CEC" w:rsidRDefault="00E57449" w:rsidP="00E57449">
      <w:pPr>
        <w:rPr>
          <w:lang w:val="lt-LT"/>
        </w:rPr>
      </w:pPr>
    </w:p>
    <w:p w14:paraId="04B58BA9" w14:textId="77777777" w:rsidR="00E57449" w:rsidRPr="00900CEC" w:rsidRDefault="00E57449" w:rsidP="00E57449">
      <w:pPr>
        <w:rPr>
          <w:lang w:val="lt-LT"/>
        </w:rPr>
      </w:pPr>
    </w:p>
    <w:p w14:paraId="43BB7CBB" w14:textId="77777777" w:rsidR="00E57449" w:rsidRPr="00900CEC" w:rsidRDefault="00E57449" w:rsidP="00E57449">
      <w:pPr>
        <w:rPr>
          <w:lang w:val="lt-LT"/>
        </w:rPr>
      </w:pPr>
    </w:p>
    <w:p w14:paraId="0AACF475" w14:textId="77777777" w:rsidR="00E57449" w:rsidRPr="00900CEC" w:rsidRDefault="00E57449" w:rsidP="00E57449">
      <w:pPr>
        <w:rPr>
          <w:lang w:val="lt-LT"/>
        </w:rPr>
      </w:pPr>
    </w:p>
    <w:p w14:paraId="282AF197" w14:textId="77777777" w:rsidR="00E57449" w:rsidRPr="00900CEC" w:rsidRDefault="00E57449" w:rsidP="00E57449">
      <w:pPr>
        <w:rPr>
          <w:lang w:val="lt-LT"/>
        </w:rPr>
      </w:pPr>
    </w:p>
    <w:p w14:paraId="1282F378" w14:textId="77777777" w:rsidR="00E57449" w:rsidRPr="00900CEC" w:rsidRDefault="00E57449" w:rsidP="00E57449">
      <w:pPr>
        <w:rPr>
          <w:lang w:val="lt-LT"/>
        </w:rPr>
      </w:pPr>
    </w:p>
    <w:p w14:paraId="44C2EC41" w14:textId="77777777" w:rsidR="00E57449" w:rsidRPr="00900CEC" w:rsidRDefault="00E57449" w:rsidP="00E57449">
      <w:pPr>
        <w:rPr>
          <w:lang w:val="lt-LT"/>
        </w:rPr>
      </w:pPr>
    </w:p>
    <w:p w14:paraId="04EE5328" w14:textId="77777777" w:rsidR="00E57449" w:rsidRPr="00900CEC" w:rsidRDefault="00E57449" w:rsidP="00E57449">
      <w:pPr>
        <w:rPr>
          <w:lang w:val="lt-LT"/>
        </w:rPr>
      </w:pPr>
    </w:p>
    <w:p w14:paraId="45F8DB54" w14:textId="77777777" w:rsidR="00E57449" w:rsidRPr="00900CEC" w:rsidRDefault="00E57449" w:rsidP="00E57449">
      <w:pPr>
        <w:rPr>
          <w:lang w:val="lt-LT"/>
        </w:rPr>
      </w:pPr>
    </w:p>
    <w:p w14:paraId="77030F63" w14:textId="77777777" w:rsidR="00E57449" w:rsidRPr="00900CEC" w:rsidRDefault="00E57449" w:rsidP="00E57449">
      <w:pPr>
        <w:rPr>
          <w:lang w:val="lt-LT"/>
        </w:rPr>
      </w:pPr>
    </w:p>
    <w:p w14:paraId="4B723C0E" w14:textId="77777777" w:rsidR="00E57449" w:rsidRPr="00900CEC" w:rsidRDefault="00E57449" w:rsidP="00E57449">
      <w:pPr>
        <w:rPr>
          <w:lang w:val="lt-LT"/>
        </w:rPr>
      </w:pPr>
    </w:p>
    <w:p w14:paraId="7876BEEC" w14:textId="77777777" w:rsidR="00E57449" w:rsidRPr="00900CEC" w:rsidRDefault="00E57449" w:rsidP="00E57449">
      <w:pPr>
        <w:rPr>
          <w:lang w:val="lt-LT"/>
        </w:rPr>
      </w:pPr>
    </w:p>
    <w:p w14:paraId="7E875BC4" w14:textId="77777777" w:rsidR="00E57449" w:rsidRPr="00900CEC" w:rsidRDefault="00E57449" w:rsidP="00E57449">
      <w:pPr>
        <w:rPr>
          <w:lang w:val="lt-LT"/>
        </w:rPr>
      </w:pPr>
    </w:p>
    <w:p w14:paraId="29D86E1B" w14:textId="77777777" w:rsidR="00E57449" w:rsidRPr="00900CEC" w:rsidRDefault="00E57449" w:rsidP="00E57449">
      <w:pPr>
        <w:outlineLvl w:val="0"/>
        <w:rPr>
          <w:b/>
          <w:lang w:val="lt-LT"/>
        </w:rPr>
      </w:pPr>
    </w:p>
    <w:p w14:paraId="6F04DE0B" w14:textId="77777777" w:rsidR="00E57449" w:rsidRPr="00900CEC" w:rsidRDefault="00E57449" w:rsidP="00E57449">
      <w:pPr>
        <w:outlineLvl w:val="0"/>
        <w:rPr>
          <w:b/>
          <w:lang w:val="lt-LT"/>
        </w:rPr>
      </w:pPr>
    </w:p>
    <w:p w14:paraId="28C73CD7" w14:textId="77777777" w:rsidR="00E57449" w:rsidRPr="00900CEC" w:rsidRDefault="00E57449" w:rsidP="00E57449">
      <w:pPr>
        <w:outlineLvl w:val="0"/>
        <w:rPr>
          <w:b/>
          <w:lang w:val="lt-LT"/>
        </w:rPr>
      </w:pPr>
    </w:p>
    <w:p w14:paraId="7E75CCDB" w14:textId="77777777" w:rsidR="00E57449" w:rsidRPr="00900CEC" w:rsidRDefault="00E57449" w:rsidP="00E57449">
      <w:pPr>
        <w:outlineLvl w:val="0"/>
        <w:rPr>
          <w:b/>
          <w:lang w:val="lt-LT"/>
        </w:rPr>
      </w:pPr>
    </w:p>
    <w:p w14:paraId="0840FC13" w14:textId="77777777" w:rsidR="00E57449" w:rsidRPr="00900CEC" w:rsidRDefault="00E57449" w:rsidP="00E57449">
      <w:pPr>
        <w:outlineLvl w:val="0"/>
        <w:rPr>
          <w:b/>
          <w:lang w:val="lt-LT"/>
        </w:rPr>
      </w:pPr>
    </w:p>
    <w:p w14:paraId="40132AF6" w14:textId="77777777" w:rsidR="00E57449" w:rsidRPr="00900CEC" w:rsidRDefault="00E57449" w:rsidP="00E57449">
      <w:pPr>
        <w:outlineLvl w:val="0"/>
        <w:rPr>
          <w:b/>
          <w:lang w:val="lt-LT"/>
        </w:rPr>
      </w:pPr>
    </w:p>
    <w:p w14:paraId="3A63F2D7" w14:textId="77777777" w:rsidR="006D3379" w:rsidRPr="00900CEC" w:rsidRDefault="006D3379" w:rsidP="00E57449">
      <w:pPr>
        <w:keepNext/>
        <w:spacing w:line="240" w:lineRule="auto"/>
        <w:jc w:val="center"/>
        <w:outlineLvl w:val="1"/>
        <w:rPr>
          <w:b/>
          <w:bCs/>
          <w:iCs/>
          <w:szCs w:val="28"/>
          <w:lang w:val="lt-LT" w:eastAsia="x-none"/>
        </w:rPr>
      </w:pPr>
    </w:p>
    <w:p w14:paraId="2767E2EC" w14:textId="77777777" w:rsidR="00E57449" w:rsidRPr="00900CEC" w:rsidRDefault="00E57449" w:rsidP="00E57449">
      <w:pPr>
        <w:keepNext/>
        <w:spacing w:line="240" w:lineRule="auto"/>
        <w:jc w:val="center"/>
        <w:outlineLvl w:val="1"/>
        <w:rPr>
          <w:b/>
          <w:szCs w:val="24"/>
          <w:lang w:val="lt-LT" w:eastAsia="x-none"/>
        </w:rPr>
      </w:pPr>
      <w:r w:rsidRPr="00900CEC">
        <w:rPr>
          <w:b/>
          <w:bCs/>
          <w:iCs/>
          <w:szCs w:val="28"/>
          <w:lang w:val="lt-LT" w:eastAsia="x-none"/>
        </w:rPr>
        <w:t>III PRIEDAS</w:t>
      </w:r>
    </w:p>
    <w:p w14:paraId="57792FC8" w14:textId="77777777" w:rsidR="00E57449" w:rsidRPr="00900CEC" w:rsidRDefault="00E57449" w:rsidP="00E57449">
      <w:pPr>
        <w:rPr>
          <w:szCs w:val="24"/>
          <w:lang w:val="lt-LT"/>
        </w:rPr>
      </w:pPr>
    </w:p>
    <w:p w14:paraId="5F2AE066" w14:textId="77777777" w:rsidR="00E57449" w:rsidRPr="00900CEC" w:rsidRDefault="00E57449" w:rsidP="00E57449">
      <w:pPr>
        <w:keepNext/>
        <w:spacing w:line="240" w:lineRule="auto"/>
        <w:jc w:val="center"/>
        <w:outlineLvl w:val="1"/>
        <w:rPr>
          <w:b/>
          <w:szCs w:val="24"/>
          <w:lang w:val="lt-LT" w:eastAsia="x-none"/>
        </w:rPr>
      </w:pPr>
      <w:r w:rsidRPr="00900CEC">
        <w:rPr>
          <w:b/>
          <w:bCs/>
          <w:iCs/>
          <w:szCs w:val="28"/>
          <w:lang w:val="lt-LT" w:eastAsia="x-none"/>
        </w:rPr>
        <w:t>ŽENKLINIMAS IR PAKUOTĖS LAPELIS</w:t>
      </w:r>
    </w:p>
    <w:p w14:paraId="0AEF939B" w14:textId="77777777" w:rsidR="00E57449" w:rsidRPr="00900CEC" w:rsidRDefault="00E57449" w:rsidP="00E57449">
      <w:pPr>
        <w:rPr>
          <w:szCs w:val="24"/>
          <w:lang w:val="lt-LT"/>
        </w:rPr>
      </w:pPr>
      <w:r w:rsidRPr="00900CEC">
        <w:rPr>
          <w:szCs w:val="24"/>
          <w:lang w:val="lt-LT"/>
        </w:rPr>
        <w:br w:type="page"/>
      </w:r>
    </w:p>
    <w:p w14:paraId="23FE6007" w14:textId="77777777" w:rsidR="00E104BF" w:rsidRPr="00900CEC" w:rsidRDefault="00E104BF" w:rsidP="00E104BF">
      <w:pPr>
        <w:spacing w:line="240" w:lineRule="auto"/>
        <w:rPr>
          <w:szCs w:val="22"/>
          <w:lang w:val="lt-LT"/>
        </w:rPr>
      </w:pPr>
    </w:p>
    <w:p w14:paraId="70B6A14A" w14:textId="77777777" w:rsidR="00E104BF" w:rsidRPr="00900CEC" w:rsidRDefault="00E104BF" w:rsidP="00E104BF">
      <w:pPr>
        <w:spacing w:line="240" w:lineRule="auto"/>
        <w:rPr>
          <w:szCs w:val="22"/>
          <w:lang w:val="lt-LT"/>
        </w:rPr>
      </w:pPr>
    </w:p>
    <w:p w14:paraId="29568F4B" w14:textId="77777777" w:rsidR="00E104BF" w:rsidRPr="00900CEC" w:rsidRDefault="00E104BF" w:rsidP="00E104BF">
      <w:pPr>
        <w:spacing w:line="240" w:lineRule="auto"/>
        <w:rPr>
          <w:szCs w:val="22"/>
          <w:lang w:val="lt-LT"/>
        </w:rPr>
      </w:pPr>
    </w:p>
    <w:p w14:paraId="78C3EA03" w14:textId="77777777" w:rsidR="00E104BF" w:rsidRPr="00900CEC" w:rsidRDefault="00E104BF" w:rsidP="00E104BF">
      <w:pPr>
        <w:spacing w:line="240" w:lineRule="auto"/>
        <w:rPr>
          <w:szCs w:val="22"/>
          <w:lang w:val="lt-LT"/>
        </w:rPr>
      </w:pPr>
    </w:p>
    <w:p w14:paraId="0EF57705" w14:textId="77777777" w:rsidR="00E104BF" w:rsidRPr="00900CEC" w:rsidRDefault="00E104BF" w:rsidP="00E104BF">
      <w:pPr>
        <w:spacing w:line="240" w:lineRule="auto"/>
        <w:rPr>
          <w:szCs w:val="22"/>
          <w:lang w:val="lt-LT"/>
        </w:rPr>
      </w:pPr>
    </w:p>
    <w:p w14:paraId="79E3AD17" w14:textId="77777777" w:rsidR="00E104BF" w:rsidRPr="00900CEC" w:rsidRDefault="00E104BF" w:rsidP="00E104BF">
      <w:pPr>
        <w:spacing w:line="240" w:lineRule="auto"/>
        <w:rPr>
          <w:szCs w:val="22"/>
          <w:lang w:val="lt-LT"/>
        </w:rPr>
      </w:pPr>
    </w:p>
    <w:p w14:paraId="2E7446FD" w14:textId="77777777" w:rsidR="00E104BF" w:rsidRPr="00900CEC" w:rsidRDefault="00E104BF" w:rsidP="00E104BF">
      <w:pPr>
        <w:spacing w:line="240" w:lineRule="auto"/>
        <w:rPr>
          <w:szCs w:val="22"/>
          <w:lang w:val="lt-LT"/>
        </w:rPr>
      </w:pPr>
    </w:p>
    <w:p w14:paraId="3DD426A9" w14:textId="77777777" w:rsidR="00E104BF" w:rsidRPr="00900CEC" w:rsidRDefault="00E104BF" w:rsidP="00E104BF">
      <w:pPr>
        <w:spacing w:line="240" w:lineRule="auto"/>
        <w:rPr>
          <w:szCs w:val="22"/>
          <w:lang w:val="lt-LT"/>
        </w:rPr>
      </w:pPr>
    </w:p>
    <w:p w14:paraId="0EDBF791" w14:textId="77777777" w:rsidR="00E104BF" w:rsidRPr="00900CEC" w:rsidRDefault="00E104BF" w:rsidP="00E104BF">
      <w:pPr>
        <w:spacing w:line="240" w:lineRule="auto"/>
        <w:rPr>
          <w:szCs w:val="22"/>
          <w:lang w:val="lt-LT"/>
        </w:rPr>
      </w:pPr>
    </w:p>
    <w:p w14:paraId="27B524CF" w14:textId="77777777" w:rsidR="00E104BF" w:rsidRPr="00900CEC" w:rsidRDefault="00E104BF" w:rsidP="00E104BF">
      <w:pPr>
        <w:spacing w:line="240" w:lineRule="auto"/>
        <w:rPr>
          <w:szCs w:val="22"/>
          <w:lang w:val="lt-LT"/>
        </w:rPr>
      </w:pPr>
    </w:p>
    <w:p w14:paraId="6B51D657" w14:textId="77777777" w:rsidR="00E104BF" w:rsidRPr="00900CEC" w:rsidRDefault="00E104BF" w:rsidP="00E104BF">
      <w:pPr>
        <w:spacing w:line="240" w:lineRule="auto"/>
        <w:rPr>
          <w:szCs w:val="22"/>
          <w:lang w:val="lt-LT"/>
        </w:rPr>
      </w:pPr>
    </w:p>
    <w:p w14:paraId="3D98A9D6" w14:textId="77777777" w:rsidR="00E104BF" w:rsidRPr="00900CEC" w:rsidRDefault="00E104BF" w:rsidP="00E104BF">
      <w:pPr>
        <w:spacing w:line="240" w:lineRule="auto"/>
        <w:rPr>
          <w:szCs w:val="22"/>
          <w:lang w:val="lt-LT"/>
        </w:rPr>
      </w:pPr>
    </w:p>
    <w:p w14:paraId="24B855AE" w14:textId="77777777" w:rsidR="00E104BF" w:rsidRPr="00900CEC" w:rsidRDefault="00E104BF" w:rsidP="00E104BF">
      <w:pPr>
        <w:spacing w:line="240" w:lineRule="auto"/>
        <w:rPr>
          <w:szCs w:val="22"/>
          <w:lang w:val="lt-LT"/>
        </w:rPr>
      </w:pPr>
    </w:p>
    <w:p w14:paraId="4EBBAD02" w14:textId="77777777" w:rsidR="00E104BF" w:rsidRPr="00900CEC" w:rsidRDefault="00E104BF" w:rsidP="00E104BF">
      <w:pPr>
        <w:spacing w:line="240" w:lineRule="auto"/>
        <w:rPr>
          <w:szCs w:val="22"/>
          <w:lang w:val="lt-LT"/>
        </w:rPr>
      </w:pPr>
    </w:p>
    <w:p w14:paraId="10E8F36E" w14:textId="77777777" w:rsidR="00E104BF" w:rsidRPr="00900CEC" w:rsidRDefault="00E104BF" w:rsidP="00E104BF">
      <w:pPr>
        <w:spacing w:line="240" w:lineRule="auto"/>
        <w:rPr>
          <w:szCs w:val="22"/>
          <w:lang w:val="lt-LT"/>
        </w:rPr>
      </w:pPr>
    </w:p>
    <w:p w14:paraId="53CF844C" w14:textId="77777777" w:rsidR="00E104BF" w:rsidRPr="00900CEC" w:rsidRDefault="00E104BF" w:rsidP="00E104BF">
      <w:pPr>
        <w:spacing w:line="240" w:lineRule="auto"/>
        <w:rPr>
          <w:szCs w:val="22"/>
          <w:lang w:val="lt-LT"/>
        </w:rPr>
      </w:pPr>
    </w:p>
    <w:p w14:paraId="5B13406F" w14:textId="77777777" w:rsidR="00E104BF" w:rsidRPr="00900CEC" w:rsidRDefault="00E104BF" w:rsidP="00E104BF">
      <w:pPr>
        <w:spacing w:line="240" w:lineRule="auto"/>
        <w:rPr>
          <w:szCs w:val="22"/>
          <w:lang w:val="lt-LT"/>
        </w:rPr>
      </w:pPr>
    </w:p>
    <w:p w14:paraId="0C9BC096" w14:textId="77777777" w:rsidR="00E104BF" w:rsidRPr="00900CEC" w:rsidRDefault="00E104BF" w:rsidP="00E104BF">
      <w:pPr>
        <w:spacing w:line="240" w:lineRule="auto"/>
        <w:rPr>
          <w:szCs w:val="22"/>
          <w:lang w:val="lt-LT"/>
        </w:rPr>
      </w:pPr>
    </w:p>
    <w:p w14:paraId="4E38014D" w14:textId="77777777" w:rsidR="00E104BF" w:rsidRPr="00900CEC" w:rsidRDefault="00E104BF" w:rsidP="00E104BF">
      <w:pPr>
        <w:spacing w:line="240" w:lineRule="auto"/>
        <w:rPr>
          <w:szCs w:val="22"/>
          <w:lang w:val="lt-LT"/>
        </w:rPr>
      </w:pPr>
    </w:p>
    <w:p w14:paraId="5596B366" w14:textId="77777777" w:rsidR="00E104BF" w:rsidRPr="00900CEC" w:rsidRDefault="00E104BF" w:rsidP="00E104BF">
      <w:pPr>
        <w:spacing w:line="240" w:lineRule="auto"/>
        <w:rPr>
          <w:szCs w:val="22"/>
          <w:lang w:val="lt-LT"/>
        </w:rPr>
      </w:pPr>
    </w:p>
    <w:p w14:paraId="116D3463" w14:textId="77777777" w:rsidR="00E104BF" w:rsidRPr="00900CEC" w:rsidRDefault="00E104BF" w:rsidP="00E104BF">
      <w:pPr>
        <w:spacing w:line="240" w:lineRule="auto"/>
        <w:rPr>
          <w:szCs w:val="22"/>
          <w:lang w:val="lt-LT"/>
        </w:rPr>
      </w:pPr>
    </w:p>
    <w:p w14:paraId="257F75C2" w14:textId="77777777" w:rsidR="00E104BF" w:rsidRPr="00900CEC" w:rsidRDefault="00E104BF" w:rsidP="00E104BF">
      <w:pPr>
        <w:spacing w:line="240" w:lineRule="auto"/>
        <w:rPr>
          <w:szCs w:val="22"/>
          <w:lang w:val="lt-LT"/>
        </w:rPr>
      </w:pPr>
    </w:p>
    <w:p w14:paraId="25D56B5F" w14:textId="77777777" w:rsidR="006D3379" w:rsidRPr="00900CEC" w:rsidRDefault="006D3379" w:rsidP="00E104BF">
      <w:pPr>
        <w:pStyle w:val="Antrat2"/>
        <w:spacing w:before="0" w:after="0" w:line="240" w:lineRule="auto"/>
        <w:jc w:val="center"/>
        <w:rPr>
          <w:rFonts w:ascii="Times New Roman" w:hAnsi="Times New Roman"/>
          <w:i w:val="0"/>
          <w:sz w:val="22"/>
          <w:szCs w:val="22"/>
          <w:lang w:val="lt-LT"/>
        </w:rPr>
      </w:pPr>
    </w:p>
    <w:p w14:paraId="0784D177" w14:textId="77777777" w:rsidR="00E104BF" w:rsidRPr="00900CEC" w:rsidRDefault="00E104BF" w:rsidP="00E104BF">
      <w:pPr>
        <w:pStyle w:val="Antrat2"/>
        <w:spacing w:before="0" w:after="0" w:line="240" w:lineRule="auto"/>
        <w:jc w:val="center"/>
        <w:rPr>
          <w:rFonts w:ascii="Times New Roman" w:hAnsi="Times New Roman"/>
          <w:bCs w:val="0"/>
          <w:i w:val="0"/>
          <w:iCs w:val="0"/>
          <w:sz w:val="22"/>
          <w:szCs w:val="22"/>
          <w:lang w:val="lt-LT"/>
        </w:rPr>
      </w:pPr>
      <w:r w:rsidRPr="00900CEC">
        <w:rPr>
          <w:rFonts w:ascii="Times New Roman" w:hAnsi="Times New Roman"/>
          <w:i w:val="0"/>
          <w:sz w:val="22"/>
          <w:szCs w:val="22"/>
          <w:lang w:val="lt-LT"/>
        </w:rPr>
        <w:t>A. ŽENKLINIMAS</w:t>
      </w:r>
    </w:p>
    <w:p w14:paraId="0D646D51" w14:textId="77777777" w:rsidR="00E104BF" w:rsidRPr="00900CEC" w:rsidRDefault="00E104BF" w:rsidP="00E104BF">
      <w:pPr>
        <w:spacing w:line="240" w:lineRule="auto"/>
        <w:rPr>
          <w:szCs w:val="22"/>
          <w:lang w:val="lt-LT"/>
        </w:rPr>
      </w:pPr>
      <w:r w:rsidRPr="00900CEC">
        <w:rPr>
          <w:szCs w:val="22"/>
          <w:lang w:val="lt-LT"/>
        </w:rPr>
        <w:br w:type="page"/>
      </w:r>
    </w:p>
    <w:p w14:paraId="60C280E9" w14:textId="62A1A2B2" w:rsidR="00E104BF" w:rsidRPr="00900CEC" w:rsidRDefault="00E104BF" w:rsidP="00E104BF">
      <w:pPr>
        <w:pBdr>
          <w:top w:val="single" w:sz="4" w:space="1" w:color="auto"/>
          <w:left w:val="single" w:sz="4" w:space="4" w:color="auto"/>
          <w:bottom w:val="single" w:sz="4" w:space="1" w:color="auto"/>
          <w:right w:val="single" w:sz="4" w:space="4" w:color="auto"/>
        </w:pBdr>
        <w:spacing w:line="240" w:lineRule="auto"/>
        <w:rPr>
          <w:b/>
          <w:szCs w:val="22"/>
          <w:lang w:val="lt-LT"/>
        </w:rPr>
      </w:pPr>
      <w:r w:rsidRPr="00900CEC">
        <w:rPr>
          <w:b/>
          <w:szCs w:val="22"/>
          <w:lang w:val="lt-LT"/>
        </w:rPr>
        <w:lastRenderedPageBreak/>
        <w:t xml:space="preserve">INFORMACIJA ANT IŠORINĖS </w:t>
      </w:r>
      <w:r w:rsidR="00D24D26" w:rsidRPr="00900CEC">
        <w:rPr>
          <w:b/>
          <w:szCs w:val="22"/>
          <w:lang w:val="lt-LT"/>
        </w:rPr>
        <w:t xml:space="preserve">IR VIDINĖS </w:t>
      </w:r>
      <w:r w:rsidRPr="00900CEC">
        <w:rPr>
          <w:b/>
          <w:szCs w:val="22"/>
          <w:lang w:val="lt-LT"/>
        </w:rPr>
        <w:t>PAKUOTĖS</w:t>
      </w:r>
    </w:p>
    <w:p w14:paraId="20D8453C" w14:textId="77777777" w:rsidR="00E104BF" w:rsidRPr="00900CEC"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3E4D96D" w14:textId="2F45A0B9" w:rsidR="00E104BF" w:rsidRPr="00900CEC" w:rsidRDefault="002268F6" w:rsidP="00E104BF">
      <w:pPr>
        <w:pBdr>
          <w:top w:val="single" w:sz="4" w:space="1" w:color="auto"/>
          <w:left w:val="single" w:sz="4" w:space="4" w:color="auto"/>
          <w:bottom w:val="single" w:sz="4" w:space="1" w:color="auto"/>
          <w:right w:val="single" w:sz="4" w:space="4" w:color="auto"/>
        </w:pBdr>
        <w:spacing w:line="240" w:lineRule="auto"/>
        <w:rPr>
          <w:b/>
          <w:szCs w:val="22"/>
          <w:lang w:val="lt-LT"/>
        </w:rPr>
      </w:pPr>
      <w:r w:rsidRPr="00900CEC">
        <w:rPr>
          <w:b/>
          <w:szCs w:val="22"/>
          <w:lang w:val="lt-LT"/>
        </w:rPr>
        <w:t>KARTONO</w:t>
      </w:r>
      <w:r w:rsidR="00E104BF" w:rsidRPr="00900CEC">
        <w:rPr>
          <w:b/>
          <w:szCs w:val="22"/>
          <w:lang w:val="lt-LT"/>
        </w:rPr>
        <w:t xml:space="preserve"> DĖŽUTĖ</w:t>
      </w:r>
      <w:r w:rsidR="00D24D26" w:rsidRPr="00900CEC">
        <w:rPr>
          <w:b/>
          <w:szCs w:val="22"/>
          <w:lang w:val="lt-LT"/>
        </w:rPr>
        <w:t xml:space="preserve"> IR FLAKONO ETIKETĖ</w:t>
      </w:r>
    </w:p>
    <w:p w14:paraId="1D760124" w14:textId="77777777" w:rsidR="00E104BF" w:rsidRPr="00900CEC" w:rsidRDefault="00E104BF" w:rsidP="00E104BF">
      <w:pPr>
        <w:spacing w:line="240" w:lineRule="auto"/>
        <w:rPr>
          <w:szCs w:val="22"/>
          <w:lang w:val="lt-LT"/>
        </w:rPr>
      </w:pPr>
    </w:p>
    <w:p w14:paraId="5316940D" w14:textId="77777777" w:rsidR="00E104BF" w:rsidRPr="00900CEC" w:rsidRDefault="00E104BF" w:rsidP="00E104BF">
      <w:pPr>
        <w:spacing w:line="240" w:lineRule="auto"/>
        <w:rPr>
          <w:szCs w:val="22"/>
          <w:lang w:val="lt-LT"/>
        </w:rPr>
      </w:pPr>
    </w:p>
    <w:p w14:paraId="243A85A0" w14:textId="77777777" w:rsidR="00E104BF" w:rsidRPr="00900CEC"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00CEC">
        <w:rPr>
          <w:b/>
          <w:szCs w:val="22"/>
          <w:lang w:val="lt-LT"/>
        </w:rPr>
        <w:t>1.</w:t>
      </w:r>
      <w:r w:rsidRPr="00900CEC">
        <w:rPr>
          <w:b/>
          <w:szCs w:val="22"/>
          <w:lang w:val="lt-LT"/>
        </w:rPr>
        <w:tab/>
      </w:r>
      <w:r w:rsidRPr="00900CEC">
        <w:rPr>
          <w:b/>
          <w:caps/>
          <w:szCs w:val="22"/>
          <w:lang w:val="lt-LT"/>
        </w:rPr>
        <w:t>VAISTINIO</w:t>
      </w:r>
      <w:r w:rsidRPr="00900CEC">
        <w:rPr>
          <w:b/>
          <w:szCs w:val="22"/>
          <w:lang w:val="lt-LT"/>
        </w:rPr>
        <w:t xml:space="preserve"> PREPARATO PAVADINIMAS</w:t>
      </w:r>
    </w:p>
    <w:p w14:paraId="742508DD" w14:textId="77777777" w:rsidR="00E104BF" w:rsidRPr="00900CEC" w:rsidRDefault="00E104BF" w:rsidP="00E104BF">
      <w:pPr>
        <w:spacing w:line="240" w:lineRule="auto"/>
        <w:rPr>
          <w:szCs w:val="22"/>
          <w:lang w:val="lt-LT"/>
        </w:rPr>
      </w:pPr>
    </w:p>
    <w:p w14:paraId="306ABD00" w14:textId="50C9B9B0" w:rsidR="0024037B" w:rsidRPr="00900CEC" w:rsidRDefault="006A24B2" w:rsidP="0024037B">
      <w:pPr>
        <w:spacing w:line="240" w:lineRule="auto"/>
        <w:rPr>
          <w:snapToGrid/>
          <w:szCs w:val="22"/>
          <w:lang w:val="lt-LT"/>
        </w:rPr>
      </w:pPr>
      <w:proofErr w:type="spellStart"/>
      <w:r>
        <w:rPr>
          <w:snapToGrid/>
          <w:szCs w:val="22"/>
          <w:lang w:val="lt-LT"/>
        </w:rPr>
        <w:t>Paracetamol</w:t>
      </w:r>
      <w:proofErr w:type="spellEnd"/>
      <w:r>
        <w:rPr>
          <w:snapToGrid/>
          <w:szCs w:val="22"/>
          <w:lang w:val="lt-LT"/>
        </w:rPr>
        <w:t>/</w:t>
      </w:r>
      <w:proofErr w:type="spellStart"/>
      <w:r>
        <w:rPr>
          <w:snapToGrid/>
          <w:szCs w:val="22"/>
          <w:lang w:val="lt-LT"/>
        </w:rPr>
        <w:t>Ibuprofen</w:t>
      </w:r>
      <w:proofErr w:type="spellEnd"/>
      <w:r>
        <w:rPr>
          <w:snapToGrid/>
          <w:szCs w:val="22"/>
          <w:lang w:val="lt-LT"/>
        </w:rPr>
        <w:t xml:space="preserve"> AFT </w:t>
      </w:r>
      <w:proofErr w:type="spellStart"/>
      <w:r>
        <w:rPr>
          <w:snapToGrid/>
          <w:szCs w:val="22"/>
          <w:lang w:val="lt-LT"/>
        </w:rPr>
        <w:t>Pharmaceuticals</w:t>
      </w:r>
      <w:proofErr w:type="spellEnd"/>
      <w:r w:rsidR="0024037B">
        <w:rPr>
          <w:snapToGrid/>
          <w:szCs w:val="22"/>
          <w:lang w:val="lt-LT"/>
        </w:rPr>
        <w:t xml:space="preserve"> 10</w:t>
      </w:r>
      <w:r w:rsidR="00540940">
        <w:rPr>
          <w:snapToGrid/>
          <w:szCs w:val="22"/>
          <w:lang w:val="lt-LT"/>
        </w:rPr>
        <w:t> </w:t>
      </w:r>
      <w:r w:rsidR="0024037B">
        <w:rPr>
          <w:snapToGrid/>
          <w:szCs w:val="22"/>
          <w:lang w:val="lt-LT"/>
        </w:rPr>
        <w:t>mg/3</w:t>
      </w:r>
      <w:r w:rsidR="00540940">
        <w:rPr>
          <w:snapToGrid/>
          <w:szCs w:val="22"/>
          <w:lang w:val="lt-LT"/>
        </w:rPr>
        <w:t> </w:t>
      </w:r>
      <w:r w:rsidR="0024037B">
        <w:rPr>
          <w:snapToGrid/>
          <w:szCs w:val="22"/>
          <w:lang w:val="lt-LT"/>
        </w:rPr>
        <w:t>mg/ml infuzinis tirpalas</w:t>
      </w:r>
    </w:p>
    <w:p w14:paraId="09E17A13" w14:textId="77777777" w:rsidR="0024037B" w:rsidRPr="00900CEC" w:rsidRDefault="0024037B" w:rsidP="0024037B">
      <w:pPr>
        <w:tabs>
          <w:tab w:val="clear" w:pos="567"/>
        </w:tabs>
        <w:spacing w:line="240" w:lineRule="auto"/>
        <w:rPr>
          <w:szCs w:val="22"/>
          <w:lang w:val="lt-LT"/>
        </w:rPr>
      </w:pPr>
      <w:proofErr w:type="spellStart"/>
      <w:r w:rsidRPr="00900CEC">
        <w:rPr>
          <w:szCs w:val="22"/>
          <w:lang w:val="lt-LT"/>
        </w:rPr>
        <w:t>paracetamolis</w:t>
      </w:r>
      <w:proofErr w:type="spellEnd"/>
      <w:r w:rsidRPr="00900CEC">
        <w:rPr>
          <w:szCs w:val="22"/>
          <w:lang w:val="lt-LT"/>
        </w:rPr>
        <w:t xml:space="preserve"> / </w:t>
      </w:r>
      <w:proofErr w:type="spellStart"/>
      <w:r w:rsidRPr="00900CEC">
        <w:rPr>
          <w:szCs w:val="22"/>
          <w:lang w:val="lt-LT"/>
        </w:rPr>
        <w:t>ibuprofenas</w:t>
      </w:r>
      <w:proofErr w:type="spellEnd"/>
    </w:p>
    <w:p w14:paraId="56965042" w14:textId="77777777" w:rsidR="00E104BF" w:rsidRPr="00900CEC" w:rsidRDefault="00E104BF" w:rsidP="00E104BF">
      <w:pPr>
        <w:spacing w:line="240" w:lineRule="auto"/>
        <w:rPr>
          <w:szCs w:val="22"/>
          <w:lang w:val="lt-LT"/>
        </w:rPr>
      </w:pPr>
    </w:p>
    <w:p w14:paraId="5F91CBDE" w14:textId="77777777" w:rsidR="00E104BF" w:rsidRPr="00900CEC" w:rsidRDefault="00E104BF" w:rsidP="00E104BF">
      <w:pPr>
        <w:spacing w:line="240" w:lineRule="auto"/>
        <w:rPr>
          <w:szCs w:val="22"/>
          <w:lang w:val="lt-LT"/>
        </w:rPr>
      </w:pPr>
    </w:p>
    <w:p w14:paraId="7746DFF5" w14:textId="77777777" w:rsidR="00E104BF" w:rsidRPr="00900CEC"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900CEC">
        <w:rPr>
          <w:b/>
          <w:szCs w:val="22"/>
          <w:lang w:val="lt-LT"/>
        </w:rPr>
        <w:t>2.</w:t>
      </w:r>
      <w:r w:rsidRPr="00900CEC">
        <w:rPr>
          <w:b/>
          <w:szCs w:val="22"/>
          <w:lang w:val="lt-LT"/>
        </w:rPr>
        <w:tab/>
        <w:t>VEIKLIOJI (-IOS) MEDŽIAGA (-OS) IR JOS (-Ų) KIEKIS (-IAI)</w:t>
      </w:r>
    </w:p>
    <w:p w14:paraId="750AB1D0" w14:textId="77777777" w:rsidR="00E104BF" w:rsidRPr="00900CEC" w:rsidRDefault="00E104BF" w:rsidP="00E104BF">
      <w:pPr>
        <w:spacing w:line="240" w:lineRule="auto"/>
        <w:rPr>
          <w:szCs w:val="22"/>
          <w:lang w:val="lt-LT"/>
        </w:rPr>
      </w:pPr>
    </w:p>
    <w:p w14:paraId="3654637C" w14:textId="4A71B91D" w:rsidR="00E104BF" w:rsidRPr="00900CEC" w:rsidRDefault="00D24D26" w:rsidP="00E104BF">
      <w:pPr>
        <w:spacing w:line="240" w:lineRule="auto"/>
        <w:rPr>
          <w:szCs w:val="22"/>
          <w:lang w:val="lt-LT"/>
        </w:rPr>
      </w:pPr>
      <w:r w:rsidRPr="00900CEC">
        <w:rPr>
          <w:szCs w:val="22"/>
          <w:lang w:val="lt-LT"/>
        </w:rPr>
        <w:t>P</w:t>
      </w:r>
      <w:r w:rsidR="00E104BF" w:rsidRPr="00900CEC">
        <w:rPr>
          <w:szCs w:val="22"/>
          <w:lang w:val="lt-LT"/>
        </w:rPr>
        <w:t xml:space="preserve">aracetamolio </w:t>
      </w:r>
      <w:r w:rsidRPr="00900CEC">
        <w:rPr>
          <w:szCs w:val="22"/>
          <w:lang w:val="lt-LT"/>
        </w:rPr>
        <w:t xml:space="preserve">10 mg/ml </w:t>
      </w:r>
      <w:r w:rsidR="00E104BF" w:rsidRPr="00900CEC">
        <w:rPr>
          <w:szCs w:val="22"/>
          <w:lang w:val="lt-LT"/>
        </w:rPr>
        <w:t xml:space="preserve">ir </w:t>
      </w:r>
      <w:proofErr w:type="spellStart"/>
      <w:r w:rsidR="00E104BF" w:rsidRPr="00900CEC">
        <w:rPr>
          <w:szCs w:val="22"/>
          <w:lang w:val="lt-LT"/>
        </w:rPr>
        <w:t>ibuprofeno</w:t>
      </w:r>
      <w:proofErr w:type="spellEnd"/>
      <w:r w:rsidRPr="00900CEC">
        <w:rPr>
          <w:szCs w:val="22"/>
          <w:lang w:val="lt-LT"/>
        </w:rPr>
        <w:t xml:space="preserve"> (natrio druskos </w:t>
      </w:r>
      <w:proofErr w:type="spellStart"/>
      <w:r w:rsidRPr="00900CEC">
        <w:rPr>
          <w:szCs w:val="22"/>
          <w:lang w:val="lt-LT"/>
        </w:rPr>
        <w:t>dihidrato</w:t>
      </w:r>
      <w:proofErr w:type="spellEnd"/>
      <w:r w:rsidRPr="00900CEC">
        <w:rPr>
          <w:szCs w:val="22"/>
          <w:lang w:val="lt-LT"/>
        </w:rPr>
        <w:t xml:space="preserve"> pavidalu) 3 mg/ml</w:t>
      </w:r>
      <w:r w:rsidR="00E104BF" w:rsidRPr="00900CEC">
        <w:rPr>
          <w:szCs w:val="22"/>
          <w:lang w:val="lt-LT"/>
        </w:rPr>
        <w:t>.</w:t>
      </w:r>
    </w:p>
    <w:p w14:paraId="5E796DAD" w14:textId="77777777" w:rsidR="00E104BF" w:rsidRPr="00900CEC" w:rsidRDefault="00E104BF" w:rsidP="00E104BF">
      <w:pPr>
        <w:tabs>
          <w:tab w:val="clear" w:pos="567"/>
        </w:tabs>
        <w:spacing w:line="240" w:lineRule="auto"/>
        <w:rPr>
          <w:szCs w:val="22"/>
          <w:lang w:val="lt-LT"/>
        </w:rPr>
      </w:pPr>
    </w:p>
    <w:p w14:paraId="737179AF" w14:textId="77777777" w:rsidR="00E104BF" w:rsidRPr="00900CEC" w:rsidRDefault="00E104BF" w:rsidP="00E104BF">
      <w:pPr>
        <w:spacing w:line="240" w:lineRule="auto"/>
        <w:rPr>
          <w:szCs w:val="22"/>
          <w:lang w:val="lt-LT"/>
        </w:rPr>
      </w:pPr>
    </w:p>
    <w:p w14:paraId="635627BB" w14:textId="77777777" w:rsidR="00E104BF" w:rsidRPr="00900CEC"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00CEC">
        <w:rPr>
          <w:b/>
          <w:szCs w:val="22"/>
          <w:lang w:val="lt-LT"/>
        </w:rPr>
        <w:t>3.</w:t>
      </w:r>
      <w:r w:rsidRPr="00900CEC">
        <w:rPr>
          <w:b/>
          <w:szCs w:val="22"/>
          <w:lang w:val="lt-LT"/>
        </w:rPr>
        <w:tab/>
        <w:t>PAGALBINIŲ MEDŽIAGŲ SĄRAŠAS</w:t>
      </w:r>
    </w:p>
    <w:p w14:paraId="7B3F2631" w14:textId="77777777" w:rsidR="00E104BF" w:rsidRPr="00900CEC" w:rsidRDefault="00E104BF" w:rsidP="00E104BF">
      <w:pPr>
        <w:spacing w:line="240" w:lineRule="auto"/>
        <w:rPr>
          <w:szCs w:val="22"/>
          <w:lang w:val="lt-LT"/>
        </w:rPr>
      </w:pPr>
    </w:p>
    <w:p w14:paraId="7927682E" w14:textId="5520FEBE" w:rsidR="00D24D26" w:rsidRPr="00900CEC" w:rsidRDefault="00E104BF" w:rsidP="00D24D26">
      <w:pPr>
        <w:tabs>
          <w:tab w:val="clear" w:pos="567"/>
        </w:tabs>
        <w:spacing w:line="240" w:lineRule="auto"/>
        <w:rPr>
          <w:szCs w:val="22"/>
          <w:lang w:val="lt-LT"/>
        </w:rPr>
      </w:pPr>
      <w:r w:rsidRPr="00900CEC">
        <w:rPr>
          <w:iCs/>
          <w:szCs w:val="22"/>
          <w:lang w:val="lt-LT"/>
        </w:rPr>
        <w:t xml:space="preserve">Sudėtyje yra </w:t>
      </w:r>
      <w:r w:rsidR="00D24D26" w:rsidRPr="00900CEC">
        <w:rPr>
          <w:iCs/>
          <w:szCs w:val="22"/>
          <w:lang w:val="lt-LT"/>
        </w:rPr>
        <w:t>natrio</w:t>
      </w:r>
      <w:r w:rsidRPr="00900CEC">
        <w:rPr>
          <w:iCs/>
          <w:szCs w:val="22"/>
          <w:lang w:val="lt-LT"/>
        </w:rPr>
        <w:t xml:space="preserve">. </w:t>
      </w:r>
      <w:r w:rsidR="00D24D26" w:rsidRPr="00900CEC">
        <w:rPr>
          <w:iCs/>
          <w:szCs w:val="22"/>
          <w:lang w:val="lt-LT"/>
        </w:rPr>
        <w:t>Taip pat sud</w:t>
      </w:r>
      <w:r w:rsidR="00B14980">
        <w:rPr>
          <w:iCs/>
          <w:szCs w:val="22"/>
          <w:lang w:val="lt-LT"/>
        </w:rPr>
        <w:t>ė</w:t>
      </w:r>
      <w:r w:rsidR="00D24D26" w:rsidRPr="00900CEC">
        <w:rPr>
          <w:iCs/>
          <w:szCs w:val="22"/>
          <w:lang w:val="lt-LT"/>
        </w:rPr>
        <w:t xml:space="preserve">tyje yra </w:t>
      </w:r>
      <w:proofErr w:type="spellStart"/>
      <w:r w:rsidR="00D24D26" w:rsidRPr="00900CEC">
        <w:rPr>
          <w:szCs w:val="22"/>
          <w:lang w:val="lt-LT"/>
        </w:rPr>
        <w:t>cisteino</w:t>
      </w:r>
      <w:proofErr w:type="spellEnd"/>
      <w:r w:rsidR="00D24D26" w:rsidRPr="00900CEC">
        <w:rPr>
          <w:szCs w:val="22"/>
          <w:lang w:val="lt-LT"/>
        </w:rPr>
        <w:t xml:space="preserve"> hidrochlorid</w:t>
      </w:r>
      <w:r w:rsidR="00D426E2">
        <w:rPr>
          <w:szCs w:val="22"/>
          <w:lang w:val="lt-LT"/>
        </w:rPr>
        <w:t>o</w:t>
      </w:r>
      <w:r w:rsidR="00D24D26" w:rsidRPr="00900CEC">
        <w:rPr>
          <w:szCs w:val="22"/>
          <w:lang w:val="lt-LT"/>
        </w:rPr>
        <w:t xml:space="preserve"> </w:t>
      </w:r>
      <w:proofErr w:type="spellStart"/>
      <w:r w:rsidR="00D24D26" w:rsidRPr="00900CEC">
        <w:rPr>
          <w:szCs w:val="22"/>
          <w:lang w:val="lt-LT"/>
        </w:rPr>
        <w:t>monohidrato</w:t>
      </w:r>
      <w:proofErr w:type="spellEnd"/>
      <w:r w:rsidR="00D24D26" w:rsidRPr="00900CEC">
        <w:rPr>
          <w:szCs w:val="22"/>
          <w:lang w:val="lt-LT"/>
        </w:rPr>
        <w:t xml:space="preserve">, </w:t>
      </w:r>
      <w:proofErr w:type="spellStart"/>
      <w:r w:rsidR="00D24D26" w:rsidRPr="00900CEC">
        <w:rPr>
          <w:szCs w:val="22"/>
          <w:lang w:val="lt-LT"/>
        </w:rPr>
        <w:t>dinatrio</w:t>
      </w:r>
      <w:proofErr w:type="spellEnd"/>
      <w:r w:rsidR="00D24D26" w:rsidRPr="00900CEC">
        <w:rPr>
          <w:szCs w:val="22"/>
          <w:lang w:val="lt-LT"/>
        </w:rPr>
        <w:t xml:space="preserve"> fosfato </w:t>
      </w:r>
      <w:proofErr w:type="spellStart"/>
      <w:r w:rsidR="00D24D26" w:rsidRPr="00900CEC">
        <w:rPr>
          <w:szCs w:val="22"/>
          <w:lang w:val="lt-LT"/>
        </w:rPr>
        <w:t>dihidrato</w:t>
      </w:r>
      <w:proofErr w:type="spellEnd"/>
      <w:r w:rsidR="00D24D26" w:rsidRPr="00900CEC">
        <w:rPr>
          <w:szCs w:val="22"/>
          <w:lang w:val="lt-LT"/>
        </w:rPr>
        <w:t xml:space="preserve">, </w:t>
      </w:r>
      <w:proofErr w:type="spellStart"/>
      <w:r w:rsidR="00D24D26" w:rsidRPr="00900CEC">
        <w:rPr>
          <w:szCs w:val="22"/>
          <w:lang w:val="lt-LT"/>
        </w:rPr>
        <w:t>manitolio</w:t>
      </w:r>
      <w:proofErr w:type="spellEnd"/>
      <w:r w:rsidR="00D24D26" w:rsidRPr="00900CEC">
        <w:rPr>
          <w:szCs w:val="22"/>
          <w:lang w:val="lt-LT"/>
        </w:rPr>
        <w:t>, vandenilio chlorido rūgšties, natrio hidroksido, injekcinio vandens.</w:t>
      </w:r>
    </w:p>
    <w:p w14:paraId="5F1FCBAE" w14:textId="1E11DA40" w:rsidR="00E104BF" w:rsidRPr="00900CEC" w:rsidRDefault="00E104BF" w:rsidP="00E104BF">
      <w:pPr>
        <w:spacing w:line="240" w:lineRule="auto"/>
        <w:rPr>
          <w:szCs w:val="22"/>
          <w:lang w:val="lt-LT"/>
        </w:rPr>
      </w:pPr>
    </w:p>
    <w:p w14:paraId="2DEE78FB" w14:textId="77777777" w:rsidR="00D24D26" w:rsidRPr="00900CEC" w:rsidRDefault="00D24D26" w:rsidP="00E104BF">
      <w:pPr>
        <w:spacing w:line="240" w:lineRule="auto"/>
        <w:rPr>
          <w:szCs w:val="22"/>
          <w:lang w:val="lt-LT"/>
        </w:rPr>
      </w:pPr>
    </w:p>
    <w:p w14:paraId="61D5AD66" w14:textId="77777777" w:rsidR="00E104BF" w:rsidRPr="00900CEC"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00CEC">
        <w:rPr>
          <w:b/>
          <w:szCs w:val="22"/>
          <w:lang w:val="lt-LT"/>
        </w:rPr>
        <w:t>4.</w:t>
      </w:r>
      <w:r w:rsidRPr="00900CEC">
        <w:rPr>
          <w:b/>
          <w:szCs w:val="22"/>
          <w:lang w:val="lt-LT"/>
        </w:rPr>
        <w:tab/>
        <w:t>FARMACINĖ FORMA IR KIEKIS PAKUOTĖJE</w:t>
      </w:r>
    </w:p>
    <w:p w14:paraId="5D69FE11" w14:textId="77777777" w:rsidR="00E104BF" w:rsidRPr="00900CEC" w:rsidRDefault="00E104BF" w:rsidP="00E104BF">
      <w:pPr>
        <w:tabs>
          <w:tab w:val="clear" w:pos="567"/>
        </w:tabs>
        <w:spacing w:line="240" w:lineRule="auto"/>
        <w:rPr>
          <w:szCs w:val="22"/>
          <w:lang w:val="lt-LT"/>
        </w:rPr>
      </w:pPr>
    </w:p>
    <w:p w14:paraId="32B50B65" w14:textId="77777777" w:rsidR="00D24D26" w:rsidRPr="00900CEC" w:rsidRDefault="00D24D26" w:rsidP="00E104BF">
      <w:pPr>
        <w:tabs>
          <w:tab w:val="clear" w:pos="567"/>
        </w:tabs>
        <w:spacing w:line="240" w:lineRule="auto"/>
        <w:rPr>
          <w:i/>
          <w:iCs/>
          <w:szCs w:val="22"/>
          <w:lang w:val="lt-LT"/>
        </w:rPr>
      </w:pPr>
      <w:r w:rsidRPr="00900CEC">
        <w:rPr>
          <w:i/>
          <w:iCs/>
          <w:szCs w:val="22"/>
          <w:lang w:val="lt-LT"/>
        </w:rPr>
        <w:t>Dėžutė:</w:t>
      </w:r>
    </w:p>
    <w:p w14:paraId="75AD0784" w14:textId="07FBAC49" w:rsidR="00D24D26" w:rsidRPr="00900CEC" w:rsidRDefault="00D24D26" w:rsidP="00E104BF">
      <w:pPr>
        <w:tabs>
          <w:tab w:val="clear" w:pos="567"/>
        </w:tabs>
        <w:spacing w:line="240" w:lineRule="auto"/>
        <w:rPr>
          <w:szCs w:val="22"/>
          <w:lang w:val="lt-LT"/>
        </w:rPr>
      </w:pPr>
      <w:r w:rsidRPr="00900CEC">
        <w:rPr>
          <w:szCs w:val="22"/>
          <w:lang w:val="lt-LT"/>
        </w:rPr>
        <w:t>10</w:t>
      </w:r>
      <w:r w:rsidR="00540940">
        <w:rPr>
          <w:szCs w:val="22"/>
          <w:lang w:val="lt-LT"/>
        </w:rPr>
        <w:t> </w:t>
      </w:r>
      <w:r w:rsidRPr="00900CEC">
        <w:rPr>
          <w:szCs w:val="22"/>
          <w:lang w:val="lt-LT"/>
        </w:rPr>
        <w:t>x</w:t>
      </w:r>
      <w:r w:rsidR="00540940">
        <w:rPr>
          <w:szCs w:val="22"/>
          <w:lang w:val="lt-LT"/>
        </w:rPr>
        <w:t> </w:t>
      </w:r>
      <w:r w:rsidRPr="00900CEC">
        <w:rPr>
          <w:szCs w:val="22"/>
          <w:lang w:val="lt-LT"/>
        </w:rPr>
        <w:t>100 ml</w:t>
      </w:r>
    </w:p>
    <w:p w14:paraId="2B80C798" w14:textId="77777777" w:rsidR="00D24D26" w:rsidRPr="00900CEC" w:rsidRDefault="00D24D26" w:rsidP="00E104BF">
      <w:pPr>
        <w:tabs>
          <w:tab w:val="clear" w:pos="567"/>
        </w:tabs>
        <w:spacing w:line="240" w:lineRule="auto"/>
        <w:rPr>
          <w:szCs w:val="22"/>
          <w:lang w:val="lt-LT"/>
        </w:rPr>
      </w:pPr>
    </w:p>
    <w:p w14:paraId="547DD751" w14:textId="77777777" w:rsidR="00D24D26" w:rsidRPr="00900CEC" w:rsidRDefault="00D24D26" w:rsidP="00E104BF">
      <w:pPr>
        <w:tabs>
          <w:tab w:val="clear" w:pos="567"/>
        </w:tabs>
        <w:spacing w:line="240" w:lineRule="auto"/>
        <w:rPr>
          <w:i/>
          <w:iCs/>
          <w:szCs w:val="22"/>
          <w:lang w:val="lt-LT"/>
        </w:rPr>
      </w:pPr>
      <w:r w:rsidRPr="00900CEC">
        <w:rPr>
          <w:i/>
          <w:iCs/>
          <w:szCs w:val="22"/>
          <w:lang w:val="lt-LT"/>
        </w:rPr>
        <w:t>Flakonas:</w:t>
      </w:r>
    </w:p>
    <w:p w14:paraId="2F6E24F4" w14:textId="02E777DF" w:rsidR="00E104BF" w:rsidRPr="00900CEC" w:rsidRDefault="00D24D26" w:rsidP="00D24D26">
      <w:pPr>
        <w:tabs>
          <w:tab w:val="clear" w:pos="567"/>
        </w:tabs>
        <w:spacing w:line="240" w:lineRule="auto"/>
        <w:rPr>
          <w:snapToGrid/>
          <w:szCs w:val="22"/>
          <w:highlight w:val="lightGray"/>
          <w:lang w:val="lt-LT"/>
        </w:rPr>
      </w:pPr>
      <w:r w:rsidRPr="00900CEC">
        <w:rPr>
          <w:szCs w:val="22"/>
          <w:lang w:val="lt-LT"/>
        </w:rPr>
        <w:t>100 ml</w:t>
      </w:r>
    </w:p>
    <w:p w14:paraId="2A5E6F95" w14:textId="77777777" w:rsidR="00E104BF" w:rsidRPr="00900CEC" w:rsidRDefault="00E104BF" w:rsidP="00E104BF">
      <w:pPr>
        <w:spacing w:line="240" w:lineRule="auto"/>
        <w:rPr>
          <w:szCs w:val="22"/>
          <w:lang w:val="lt-LT"/>
        </w:rPr>
      </w:pPr>
    </w:p>
    <w:p w14:paraId="03EB7548" w14:textId="77777777" w:rsidR="00E104BF" w:rsidRPr="00900CEC" w:rsidRDefault="00E104BF" w:rsidP="00E104BF">
      <w:pPr>
        <w:spacing w:line="240" w:lineRule="auto"/>
        <w:rPr>
          <w:szCs w:val="22"/>
          <w:lang w:val="lt-LT"/>
        </w:rPr>
      </w:pPr>
    </w:p>
    <w:p w14:paraId="7AFF0FF0" w14:textId="77777777" w:rsidR="00E104BF" w:rsidRPr="00900CEC"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00CEC">
        <w:rPr>
          <w:b/>
          <w:szCs w:val="22"/>
          <w:lang w:val="lt-LT"/>
        </w:rPr>
        <w:t>5.</w:t>
      </w:r>
      <w:r w:rsidRPr="00900CEC">
        <w:rPr>
          <w:b/>
          <w:szCs w:val="22"/>
          <w:lang w:val="lt-LT"/>
        </w:rPr>
        <w:tab/>
        <w:t>VARTOJIMO METODAS IR BŪDAS (-AI)</w:t>
      </w:r>
    </w:p>
    <w:p w14:paraId="261360A7" w14:textId="77777777" w:rsidR="00E104BF" w:rsidRPr="00900CEC" w:rsidRDefault="00E104BF" w:rsidP="00E104BF">
      <w:pPr>
        <w:spacing w:line="240" w:lineRule="auto"/>
        <w:rPr>
          <w:szCs w:val="22"/>
          <w:lang w:val="lt-LT"/>
        </w:rPr>
      </w:pPr>
    </w:p>
    <w:p w14:paraId="7C2E9308" w14:textId="77777777" w:rsidR="00D24D26" w:rsidRPr="00900CEC" w:rsidRDefault="00D24D26" w:rsidP="00E104BF">
      <w:pPr>
        <w:tabs>
          <w:tab w:val="clear" w:pos="567"/>
        </w:tabs>
        <w:spacing w:line="240" w:lineRule="auto"/>
        <w:rPr>
          <w:szCs w:val="22"/>
          <w:lang w:val="lt-LT"/>
        </w:rPr>
      </w:pPr>
      <w:r w:rsidRPr="00900CEC">
        <w:rPr>
          <w:szCs w:val="22"/>
          <w:lang w:val="lt-LT"/>
        </w:rPr>
        <w:t>Leisti į veną</w:t>
      </w:r>
      <w:r w:rsidR="00E104BF" w:rsidRPr="00900CEC">
        <w:rPr>
          <w:szCs w:val="22"/>
          <w:lang w:val="lt-LT"/>
        </w:rPr>
        <w:t>.</w:t>
      </w:r>
    </w:p>
    <w:p w14:paraId="2079632C" w14:textId="77777777" w:rsidR="00D24D26" w:rsidRPr="00900CEC" w:rsidRDefault="00D24D26" w:rsidP="00D24D26">
      <w:pPr>
        <w:rPr>
          <w:szCs w:val="24"/>
          <w:lang w:val="lt-LT"/>
        </w:rPr>
      </w:pPr>
      <w:r w:rsidRPr="00900CEC">
        <w:rPr>
          <w:szCs w:val="24"/>
          <w:lang w:val="lt-LT"/>
        </w:rPr>
        <w:t>Prieš vartojimą perskaitykite pakuotės lapelį.</w:t>
      </w:r>
    </w:p>
    <w:p w14:paraId="657C0379" w14:textId="77777777" w:rsidR="00E104BF" w:rsidRPr="00900CEC" w:rsidRDefault="00E104BF" w:rsidP="00E104BF">
      <w:pPr>
        <w:spacing w:line="240" w:lineRule="auto"/>
        <w:rPr>
          <w:szCs w:val="22"/>
          <w:lang w:val="lt-LT"/>
        </w:rPr>
      </w:pPr>
    </w:p>
    <w:p w14:paraId="619E1F15" w14:textId="77777777" w:rsidR="00E104BF" w:rsidRPr="00900CEC" w:rsidRDefault="00E104BF" w:rsidP="00E104BF">
      <w:pPr>
        <w:spacing w:line="240" w:lineRule="auto"/>
        <w:rPr>
          <w:szCs w:val="22"/>
          <w:lang w:val="lt-LT"/>
        </w:rPr>
      </w:pPr>
    </w:p>
    <w:p w14:paraId="0A1B5893" w14:textId="77777777" w:rsidR="00E104BF" w:rsidRPr="00900CEC"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00CEC">
        <w:rPr>
          <w:b/>
          <w:szCs w:val="22"/>
          <w:lang w:val="lt-LT"/>
        </w:rPr>
        <w:t>6.</w:t>
      </w:r>
      <w:r w:rsidRPr="00900CEC">
        <w:rPr>
          <w:b/>
          <w:szCs w:val="22"/>
          <w:lang w:val="lt-LT"/>
        </w:rPr>
        <w:tab/>
        <w:t>SPECIALUS ĮSPĖJIMAS, KAD VAISTINĮ PREPARATĄ BŪTINA LAIKYTI VAIKAMS NEPASTEBIMOJE IR NEPASIEKIAMOJE VIETOJE</w:t>
      </w:r>
    </w:p>
    <w:p w14:paraId="5621C11D" w14:textId="77777777" w:rsidR="00E104BF" w:rsidRPr="00900CEC" w:rsidRDefault="00E104BF" w:rsidP="00E104BF">
      <w:pPr>
        <w:spacing w:line="240" w:lineRule="auto"/>
        <w:rPr>
          <w:szCs w:val="22"/>
          <w:lang w:val="lt-LT"/>
        </w:rPr>
      </w:pPr>
    </w:p>
    <w:p w14:paraId="67FA5AD6" w14:textId="77777777" w:rsidR="00E104BF" w:rsidRPr="00900CEC" w:rsidRDefault="00E104BF" w:rsidP="00E104BF">
      <w:pPr>
        <w:spacing w:line="240" w:lineRule="auto"/>
        <w:rPr>
          <w:szCs w:val="22"/>
          <w:lang w:val="lt-LT"/>
        </w:rPr>
      </w:pPr>
      <w:r w:rsidRPr="00900CEC">
        <w:rPr>
          <w:szCs w:val="22"/>
          <w:lang w:val="lt-LT"/>
        </w:rPr>
        <w:t>Laikyti vaikams nepastebimoje ir nepasiekiamoje vietoje.</w:t>
      </w:r>
    </w:p>
    <w:p w14:paraId="0A7BB3C3" w14:textId="77777777" w:rsidR="00E104BF" w:rsidRPr="00900CEC" w:rsidRDefault="00E104BF" w:rsidP="00E104BF">
      <w:pPr>
        <w:spacing w:line="240" w:lineRule="auto"/>
        <w:rPr>
          <w:szCs w:val="22"/>
          <w:lang w:val="lt-LT"/>
        </w:rPr>
      </w:pPr>
    </w:p>
    <w:p w14:paraId="46AC0885" w14:textId="77777777" w:rsidR="00E104BF" w:rsidRPr="00900CEC" w:rsidRDefault="00E104BF" w:rsidP="00E104BF">
      <w:pPr>
        <w:spacing w:line="240" w:lineRule="auto"/>
        <w:rPr>
          <w:szCs w:val="22"/>
          <w:lang w:val="lt-LT"/>
        </w:rPr>
      </w:pPr>
    </w:p>
    <w:p w14:paraId="50CFB77F" w14:textId="77777777" w:rsidR="00E104BF" w:rsidRPr="00900CEC"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00CEC">
        <w:rPr>
          <w:b/>
          <w:szCs w:val="22"/>
          <w:lang w:val="lt-LT"/>
        </w:rPr>
        <w:t>7.</w:t>
      </w:r>
      <w:r w:rsidRPr="00900CEC">
        <w:rPr>
          <w:b/>
          <w:szCs w:val="22"/>
          <w:lang w:val="lt-LT"/>
        </w:rPr>
        <w:tab/>
        <w:t>KITAS (-I) SPECIALUS (-ŪS) ĮSPĖJIMAS (-AI) (JEI REIKIA)</w:t>
      </w:r>
    </w:p>
    <w:p w14:paraId="4BBF7387" w14:textId="77777777" w:rsidR="00E104BF" w:rsidRPr="00900CEC" w:rsidRDefault="00E104BF" w:rsidP="00E104BF">
      <w:pPr>
        <w:spacing w:line="240" w:lineRule="auto"/>
        <w:rPr>
          <w:szCs w:val="22"/>
          <w:lang w:val="lt-LT"/>
        </w:rPr>
      </w:pPr>
    </w:p>
    <w:p w14:paraId="2430FE17" w14:textId="77777777" w:rsidR="00E104BF" w:rsidRPr="00900CEC" w:rsidRDefault="00E104BF" w:rsidP="00E104BF">
      <w:pPr>
        <w:spacing w:line="240" w:lineRule="auto"/>
        <w:rPr>
          <w:szCs w:val="22"/>
          <w:lang w:val="lt-LT"/>
        </w:rPr>
      </w:pPr>
    </w:p>
    <w:p w14:paraId="0690901A" w14:textId="77777777" w:rsidR="00E104BF" w:rsidRPr="00900CEC"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00CEC">
        <w:rPr>
          <w:b/>
          <w:szCs w:val="22"/>
          <w:lang w:val="lt-LT"/>
        </w:rPr>
        <w:t>8.</w:t>
      </w:r>
      <w:r w:rsidRPr="00900CEC">
        <w:rPr>
          <w:b/>
          <w:szCs w:val="22"/>
          <w:lang w:val="lt-LT"/>
        </w:rPr>
        <w:tab/>
        <w:t>TINKAMUMO LAIKAS</w:t>
      </w:r>
    </w:p>
    <w:p w14:paraId="72F4DD74" w14:textId="77777777" w:rsidR="00E104BF" w:rsidRPr="00900CEC" w:rsidRDefault="00E104BF" w:rsidP="00E104BF">
      <w:pPr>
        <w:spacing w:line="240" w:lineRule="auto"/>
        <w:rPr>
          <w:szCs w:val="22"/>
          <w:lang w:val="lt-LT"/>
        </w:rPr>
      </w:pPr>
    </w:p>
    <w:p w14:paraId="36E0AB32" w14:textId="7A7C5D0E" w:rsidR="00E104BF" w:rsidRPr="00647675" w:rsidRDefault="00D24D26" w:rsidP="00E104BF">
      <w:pPr>
        <w:spacing w:line="240" w:lineRule="auto"/>
        <w:rPr>
          <w:szCs w:val="22"/>
          <w:lang w:val="lt-LT"/>
        </w:rPr>
      </w:pPr>
      <w:r w:rsidRPr="00647675">
        <w:rPr>
          <w:szCs w:val="22"/>
          <w:lang w:val="lt-LT"/>
        </w:rPr>
        <w:t>EXP</w:t>
      </w:r>
      <w:r w:rsidR="00647675" w:rsidRPr="00647675">
        <w:rPr>
          <w:szCs w:val="22"/>
          <w:lang w:val="lt-LT"/>
        </w:rPr>
        <w:t>:</w:t>
      </w:r>
      <w:r w:rsidR="00647675">
        <w:rPr>
          <w:szCs w:val="22"/>
          <w:lang w:val="lt-LT"/>
        </w:rPr>
        <w:t xml:space="preserve"> </w:t>
      </w:r>
      <w:proofErr w:type="spellStart"/>
      <w:r w:rsidR="00647675" w:rsidRPr="009E2D9B">
        <w:rPr>
          <w:szCs w:val="22"/>
          <w:lang w:val="lt-LT"/>
        </w:rPr>
        <w:t>mm.MMMM</w:t>
      </w:r>
      <w:proofErr w:type="spellEnd"/>
    </w:p>
    <w:p w14:paraId="641460F9" w14:textId="77777777" w:rsidR="00E104BF" w:rsidRPr="00900CEC" w:rsidRDefault="00E104BF" w:rsidP="00E104BF">
      <w:pPr>
        <w:spacing w:line="240" w:lineRule="auto"/>
        <w:rPr>
          <w:szCs w:val="22"/>
          <w:lang w:val="lt-LT"/>
        </w:rPr>
      </w:pPr>
    </w:p>
    <w:p w14:paraId="7CD9190E" w14:textId="77777777" w:rsidR="00E104BF" w:rsidRPr="00900CEC" w:rsidRDefault="00E104BF" w:rsidP="00E104BF">
      <w:pPr>
        <w:spacing w:line="240" w:lineRule="auto"/>
        <w:rPr>
          <w:szCs w:val="22"/>
          <w:lang w:val="lt-LT"/>
        </w:rPr>
      </w:pPr>
    </w:p>
    <w:p w14:paraId="2FA31DCE" w14:textId="77777777" w:rsidR="00E104BF" w:rsidRPr="00900CEC" w:rsidRDefault="00E104BF" w:rsidP="00E104B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00CEC">
        <w:rPr>
          <w:b/>
          <w:szCs w:val="22"/>
          <w:lang w:val="lt-LT"/>
        </w:rPr>
        <w:t>9.</w:t>
      </w:r>
      <w:r w:rsidRPr="00900CEC">
        <w:rPr>
          <w:b/>
          <w:szCs w:val="22"/>
          <w:lang w:val="lt-LT"/>
        </w:rPr>
        <w:tab/>
        <w:t>SPECIALIOS LAIKYMO SĄLYGOS</w:t>
      </w:r>
    </w:p>
    <w:p w14:paraId="1FBB3B15" w14:textId="77777777" w:rsidR="00E104BF" w:rsidRPr="00900CEC" w:rsidRDefault="00E104BF" w:rsidP="00E104BF">
      <w:pPr>
        <w:spacing w:line="240" w:lineRule="auto"/>
        <w:rPr>
          <w:szCs w:val="22"/>
          <w:lang w:val="lt-LT"/>
        </w:rPr>
      </w:pPr>
    </w:p>
    <w:p w14:paraId="0DF04282" w14:textId="533E20EE" w:rsidR="00D24D26" w:rsidRPr="00900CEC" w:rsidRDefault="00D24D26" w:rsidP="00D24D26">
      <w:pPr>
        <w:spacing w:line="240" w:lineRule="auto"/>
        <w:rPr>
          <w:szCs w:val="22"/>
          <w:lang w:val="lt-LT"/>
        </w:rPr>
      </w:pPr>
      <w:r w:rsidRPr="00900CEC">
        <w:rPr>
          <w:lang w:val="lt-LT"/>
        </w:rPr>
        <w:t>Laikyti žemesnėje kaip 25 </w:t>
      </w:r>
      <w:r w:rsidRPr="00900CEC">
        <w:rPr>
          <w:szCs w:val="22"/>
          <w:lang w:val="lt-LT"/>
        </w:rPr>
        <w:sym w:font="Symbol" w:char="F0B0"/>
      </w:r>
      <w:r w:rsidRPr="00900CEC">
        <w:rPr>
          <w:lang w:val="lt-LT"/>
        </w:rPr>
        <w:t>C temperatūroje</w:t>
      </w:r>
      <w:r w:rsidRPr="00900CEC">
        <w:rPr>
          <w:szCs w:val="22"/>
          <w:lang w:val="lt-LT"/>
        </w:rPr>
        <w:t>. Negalima šaldyti ar užšaldyti. Laikyti gamintojo dėžutėje, kad vaist</w:t>
      </w:r>
      <w:r w:rsidR="00184C8B" w:rsidRPr="00900CEC">
        <w:rPr>
          <w:szCs w:val="22"/>
          <w:lang w:val="lt-LT"/>
        </w:rPr>
        <w:t xml:space="preserve">as </w:t>
      </w:r>
      <w:r w:rsidRPr="00900CEC">
        <w:rPr>
          <w:szCs w:val="22"/>
          <w:lang w:val="lt-LT"/>
        </w:rPr>
        <w:t>būtų apsaugotas nuo šviesos.</w:t>
      </w:r>
    </w:p>
    <w:p w14:paraId="78367053" w14:textId="77777777" w:rsidR="00E104BF" w:rsidRPr="00900CEC" w:rsidRDefault="00E104BF" w:rsidP="00E104BF">
      <w:pPr>
        <w:spacing w:line="240" w:lineRule="auto"/>
        <w:rPr>
          <w:szCs w:val="22"/>
          <w:lang w:val="lt-LT"/>
        </w:rPr>
      </w:pPr>
    </w:p>
    <w:p w14:paraId="5B801A36" w14:textId="77777777" w:rsidR="00E104BF" w:rsidRPr="00900CEC" w:rsidRDefault="00E104BF" w:rsidP="00E104BF">
      <w:pPr>
        <w:spacing w:line="240" w:lineRule="auto"/>
        <w:rPr>
          <w:szCs w:val="22"/>
          <w:lang w:val="lt-LT"/>
        </w:rPr>
      </w:pPr>
    </w:p>
    <w:p w14:paraId="5C7A5F69" w14:textId="77777777" w:rsidR="00E104BF" w:rsidRPr="00900CEC" w:rsidRDefault="00E104BF" w:rsidP="00E104B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00CEC">
        <w:rPr>
          <w:b/>
          <w:szCs w:val="22"/>
          <w:lang w:val="lt-LT"/>
        </w:rPr>
        <w:t>10.</w:t>
      </w:r>
      <w:r w:rsidRPr="00900CEC">
        <w:rPr>
          <w:b/>
          <w:szCs w:val="22"/>
          <w:lang w:val="lt-LT"/>
        </w:rPr>
        <w:tab/>
        <w:t>SPECIALIOS ATSARGUMO PRIEMONĖS DĖL NESUVARTOTO VAISTINIO PREPARATO AR JO ATLIEKŲ TVARKYMO (JEI REIKIA)</w:t>
      </w:r>
    </w:p>
    <w:p w14:paraId="5DAB1828" w14:textId="77777777" w:rsidR="00E104BF" w:rsidRPr="00900CEC" w:rsidRDefault="00E104BF" w:rsidP="00E104BF">
      <w:pPr>
        <w:spacing w:line="240" w:lineRule="auto"/>
        <w:rPr>
          <w:szCs w:val="22"/>
          <w:lang w:val="lt-LT"/>
        </w:rPr>
      </w:pPr>
    </w:p>
    <w:p w14:paraId="07CAAEA5" w14:textId="77777777" w:rsidR="00E104BF" w:rsidRPr="00900CEC" w:rsidRDefault="00E104BF" w:rsidP="00E104BF">
      <w:pPr>
        <w:spacing w:line="240" w:lineRule="auto"/>
        <w:rPr>
          <w:szCs w:val="22"/>
          <w:lang w:val="lt-LT"/>
        </w:rPr>
      </w:pPr>
    </w:p>
    <w:p w14:paraId="059AA9F1" w14:textId="77777777" w:rsidR="00E104BF" w:rsidRPr="00900CEC" w:rsidRDefault="00E104BF" w:rsidP="00E104B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00CEC">
        <w:rPr>
          <w:b/>
          <w:szCs w:val="22"/>
          <w:lang w:val="lt-LT"/>
        </w:rPr>
        <w:t>11.</w:t>
      </w:r>
      <w:r w:rsidRPr="00900CEC">
        <w:rPr>
          <w:b/>
          <w:szCs w:val="22"/>
          <w:lang w:val="lt-LT"/>
        </w:rPr>
        <w:tab/>
      </w:r>
      <w:r w:rsidRPr="00900CEC">
        <w:rPr>
          <w:b/>
          <w:caps/>
          <w:szCs w:val="22"/>
          <w:lang w:val="lt-LT"/>
        </w:rPr>
        <w:t xml:space="preserve"> REGISTRUOTOJO PAVADINIMAS IR ADRESAS</w:t>
      </w:r>
    </w:p>
    <w:p w14:paraId="1976264B" w14:textId="77777777" w:rsidR="00E104BF" w:rsidRPr="00900CEC" w:rsidRDefault="00E104BF" w:rsidP="00E104BF">
      <w:pPr>
        <w:spacing w:line="240" w:lineRule="auto"/>
        <w:rPr>
          <w:szCs w:val="22"/>
          <w:lang w:val="lt-LT"/>
        </w:rPr>
      </w:pPr>
    </w:p>
    <w:p w14:paraId="47198244" w14:textId="08DC7FBE" w:rsidR="00184C8B" w:rsidRPr="00900CEC" w:rsidRDefault="00C03FB5" w:rsidP="00F12D19">
      <w:pPr>
        <w:tabs>
          <w:tab w:val="clear" w:pos="567"/>
        </w:tabs>
        <w:spacing w:line="240" w:lineRule="auto"/>
        <w:rPr>
          <w:i/>
          <w:szCs w:val="22"/>
          <w:lang w:val="lt-LT"/>
        </w:rPr>
      </w:pPr>
      <w:bookmarkStart w:id="3" w:name="_Hlk137643910"/>
      <w:r w:rsidRPr="00C03FB5">
        <w:rPr>
          <w:szCs w:val="22"/>
          <w:lang w:val="lt-LT"/>
        </w:rPr>
        <w:t xml:space="preserve">AFT </w:t>
      </w:r>
      <w:proofErr w:type="spellStart"/>
      <w:r w:rsidRPr="00C03FB5">
        <w:rPr>
          <w:szCs w:val="22"/>
          <w:lang w:val="lt-LT"/>
        </w:rPr>
        <w:t>Pharmaceuticals</w:t>
      </w:r>
      <w:proofErr w:type="spellEnd"/>
      <w:r w:rsidRPr="00C03FB5">
        <w:rPr>
          <w:szCs w:val="22"/>
          <w:lang w:val="lt-LT"/>
        </w:rPr>
        <w:t xml:space="preserve"> (EUR) </w:t>
      </w:r>
      <w:proofErr w:type="spellStart"/>
      <w:r w:rsidRPr="00C03FB5">
        <w:rPr>
          <w:szCs w:val="22"/>
          <w:lang w:val="lt-LT"/>
        </w:rPr>
        <w:t>Limited</w:t>
      </w:r>
      <w:proofErr w:type="spellEnd"/>
      <w:r w:rsidRPr="00C03FB5">
        <w:rPr>
          <w:szCs w:val="22"/>
          <w:lang w:val="lt-LT"/>
        </w:rPr>
        <w:t xml:space="preserve">, </w:t>
      </w:r>
      <w:proofErr w:type="spellStart"/>
      <w:r w:rsidRPr="00C03FB5">
        <w:rPr>
          <w:szCs w:val="22"/>
          <w:lang w:val="lt-LT"/>
        </w:rPr>
        <w:t>Sinnottstown</w:t>
      </w:r>
      <w:proofErr w:type="spellEnd"/>
      <w:r w:rsidRPr="00C03FB5">
        <w:rPr>
          <w:szCs w:val="22"/>
          <w:lang w:val="lt-LT"/>
        </w:rPr>
        <w:t xml:space="preserve"> </w:t>
      </w:r>
      <w:proofErr w:type="spellStart"/>
      <w:r w:rsidRPr="00C03FB5">
        <w:rPr>
          <w:szCs w:val="22"/>
          <w:lang w:val="lt-LT"/>
        </w:rPr>
        <w:t>Business</w:t>
      </w:r>
      <w:proofErr w:type="spellEnd"/>
      <w:r w:rsidRPr="00C03FB5">
        <w:rPr>
          <w:szCs w:val="22"/>
          <w:lang w:val="lt-LT"/>
        </w:rPr>
        <w:t xml:space="preserve"> </w:t>
      </w:r>
      <w:proofErr w:type="spellStart"/>
      <w:r w:rsidRPr="00C03FB5">
        <w:rPr>
          <w:szCs w:val="22"/>
          <w:lang w:val="lt-LT"/>
        </w:rPr>
        <w:t>Park</w:t>
      </w:r>
      <w:proofErr w:type="spellEnd"/>
      <w:r w:rsidRPr="00C03FB5">
        <w:rPr>
          <w:szCs w:val="22"/>
          <w:lang w:val="lt-LT"/>
        </w:rPr>
        <w:t xml:space="preserve">, </w:t>
      </w:r>
      <w:proofErr w:type="spellStart"/>
      <w:r w:rsidRPr="00C03FB5">
        <w:rPr>
          <w:szCs w:val="22"/>
          <w:lang w:val="lt-LT"/>
        </w:rPr>
        <w:t>Sinnottstown</w:t>
      </w:r>
      <w:proofErr w:type="spellEnd"/>
      <w:r w:rsidRPr="00C03FB5">
        <w:rPr>
          <w:szCs w:val="22"/>
          <w:lang w:val="lt-LT"/>
        </w:rPr>
        <w:t xml:space="preserve"> Lane, </w:t>
      </w:r>
      <w:proofErr w:type="spellStart"/>
      <w:r w:rsidRPr="00C03FB5">
        <w:rPr>
          <w:szCs w:val="22"/>
          <w:lang w:val="lt-LT"/>
        </w:rPr>
        <w:t>Drinagh</w:t>
      </w:r>
      <w:proofErr w:type="spellEnd"/>
      <w:r w:rsidRPr="00C03FB5">
        <w:rPr>
          <w:szCs w:val="22"/>
          <w:lang w:val="lt-LT"/>
        </w:rPr>
        <w:t xml:space="preserve">, </w:t>
      </w:r>
      <w:proofErr w:type="spellStart"/>
      <w:r w:rsidRPr="00C03FB5">
        <w:rPr>
          <w:szCs w:val="22"/>
          <w:lang w:val="lt-LT"/>
        </w:rPr>
        <w:t>Wexford</w:t>
      </w:r>
      <w:proofErr w:type="spellEnd"/>
      <w:r w:rsidRPr="00C03FB5">
        <w:rPr>
          <w:szCs w:val="22"/>
          <w:lang w:val="lt-LT"/>
        </w:rPr>
        <w:t>, Y35 AKX5,</w:t>
      </w:r>
      <w:bookmarkEnd w:id="3"/>
      <w:r>
        <w:rPr>
          <w:szCs w:val="22"/>
          <w:lang w:val="lt-LT"/>
        </w:rPr>
        <w:t xml:space="preserve"> </w:t>
      </w:r>
      <w:r w:rsidR="00184C8B" w:rsidRPr="00900CEC">
        <w:rPr>
          <w:szCs w:val="22"/>
          <w:lang w:val="lt-LT"/>
        </w:rPr>
        <w:t>Airija</w:t>
      </w:r>
    </w:p>
    <w:p w14:paraId="5B583B22" w14:textId="77777777" w:rsidR="00E104BF" w:rsidRPr="00900CEC" w:rsidRDefault="00E104BF" w:rsidP="00E104BF">
      <w:pPr>
        <w:spacing w:line="240" w:lineRule="auto"/>
        <w:rPr>
          <w:szCs w:val="22"/>
          <w:lang w:val="lt-LT"/>
        </w:rPr>
      </w:pPr>
    </w:p>
    <w:p w14:paraId="62E15E7E" w14:textId="77777777" w:rsidR="00E104BF" w:rsidRPr="00900CEC" w:rsidRDefault="00E104BF" w:rsidP="00E104BF">
      <w:pPr>
        <w:spacing w:line="240" w:lineRule="auto"/>
        <w:rPr>
          <w:szCs w:val="22"/>
          <w:lang w:val="lt-LT"/>
        </w:rPr>
      </w:pPr>
    </w:p>
    <w:p w14:paraId="7AF2EB20" w14:textId="77777777" w:rsidR="00E104BF" w:rsidRPr="00900CEC" w:rsidRDefault="00E104BF" w:rsidP="00E104B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00CEC">
        <w:rPr>
          <w:b/>
          <w:szCs w:val="22"/>
          <w:lang w:val="lt-LT"/>
        </w:rPr>
        <w:t>12.</w:t>
      </w:r>
      <w:r w:rsidRPr="00900CEC">
        <w:rPr>
          <w:b/>
          <w:szCs w:val="22"/>
          <w:lang w:val="lt-LT"/>
        </w:rPr>
        <w:tab/>
        <w:t xml:space="preserve">REGISTRACIJOS PAŽYMĖJIMO NUMERIS (-IAI) </w:t>
      </w:r>
    </w:p>
    <w:p w14:paraId="54332548" w14:textId="77777777" w:rsidR="00E104BF" w:rsidRPr="00900CEC" w:rsidRDefault="00E104BF" w:rsidP="00E104BF">
      <w:pPr>
        <w:spacing w:line="240" w:lineRule="auto"/>
        <w:rPr>
          <w:szCs w:val="22"/>
          <w:lang w:val="lt-LT"/>
        </w:rPr>
      </w:pPr>
    </w:p>
    <w:p w14:paraId="2D02BD8B" w14:textId="66C6DE26" w:rsidR="00184C8B" w:rsidRDefault="00006EC2" w:rsidP="00E104BF">
      <w:pPr>
        <w:spacing w:line="240" w:lineRule="auto"/>
        <w:rPr>
          <w:szCs w:val="22"/>
          <w:lang w:val="lt-LT"/>
        </w:rPr>
      </w:pPr>
      <w:r w:rsidRPr="00006EC2">
        <w:rPr>
          <w:szCs w:val="22"/>
          <w:lang w:val="lt-LT"/>
        </w:rPr>
        <w:t>LT/1/20/4594/001</w:t>
      </w:r>
    </w:p>
    <w:p w14:paraId="76454CFD" w14:textId="77777777" w:rsidR="00006EC2" w:rsidRPr="00900CEC" w:rsidRDefault="00006EC2" w:rsidP="00E104BF">
      <w:pPr>
        <w:spacing w:line="240" w:lineRule="auto"/>
        <w:rPr>
          <w:szCs w:val="22"/>
          <w:lang w:val="lt-LT"/>
        </w:rPr>
      </w:pPr>
    </w:p>
    <w:p w14:paraId="2B95ECA1" w14:textId="77777777" w:rsidR="00E104BF" w:rsidRPr="00900CEC" w:rsidRDefault="00E104BF" w:rsidP="00E104BF">
      <w:pPr>
        <w:spacing w:line="240" w:lineRule="auto"/>
        <w:rPr>
          <w:szCs w:val="22"/>
          <w:lang w:val="lt-LT"/>
        </w:rPr>
      </w:pPr>
    </w:p>
    <w:p w14:paraId="31A3A0C0" w14:textId="77777777" w:rsidR="00E104BF" w:rsidRPr="00900CEC" w:rsidRDefault="00E104BF" w:rsidP="00E104B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00CEC">
        <w:rPr>
          <w:b/>
          <w:szCs w:val="22"/>
          <w:lang w:val="lt-LT"/>
        </w:rPr>
        <w:t>13.</w:t>
      </w:r>
      <w:r w:rsidRPr="00900CEC">
        <w:rPr>
          <w:b/>
          <w:szCs w:val="22"/>
          <w:lang w:val="lt-LT"/>
        </w:rPr>
        <w:tab/>
        <w:t xml:space="preserve">SERIJOS NUMERIS </w:t>
      </w:r>
    </w:p>
    <w:p w14:paraId="6D5AAB6E" w14:textId="77777777" w:rsidR="00E104BF" w:rsidRPr="00900CEC" w:rsidRDefault="00E104BF" w:rsidP="00E104BF">
      <w:pPr>
        <w:spacing w:line="240" w:lineRule="auto"/>
        <w:rPr>
          <w:szCs w:val="22"/>
          <w:lang w:val="lt-LT"/>
        </w:rPr>
      </w:pPr>
    </w:p>
    <w:p w14:paraId="7048D1CB" w14:textId="77777777" w:rsidR="00184C8B" w:rsidRPr="00900CEC" w:rsidRDefault="00184C8B" w:rsidP="00184C8B">
      <w:pPr>
        <w:spacing w:line="240" w:lineRule="auto"/>
        <w:rPr>
          <w:szCs w:val="22"/>
          <w:lang w:val="lt-LT"/>
        </w:rPr>
      </w:pPr>
      <w:r w:rsidRPr="00900CEC">
        <w:rPr>
          <w:szCs w:val="22"/>
          <w:lang w:val="lt-LT"/>
        </w:rPr>
        <w:t>Lot</w:t>
      </w:r>
    </w:p>
    <w:p w14:paraId="363330EB" w14:textId="77777777" w:rsidR="00E104BF" w:rsidRPr="00900CEC" w:rsidRDefault="00E104BF" w:rsidP="00E104BF">
      <w:pPr>
        <w:spacing w:line="240" w:lineRule="auto"/>
        <w:rPr>
          <w:szCs w:val="22"/>
          <w:lang w:val="lt-LT"/>
        </w:rPr>
      </w:pPr>
    </w:p>
    <w:p w14:paraId="64E88AE0" w14:textId="77777777" w:rsidR="00E104BF" w:rsidRPr="00900CEC" w:rsidRDefault="00E104BF" w:rsidP="00E104BF">
      <w:pPr>
        <w:spacing w:line="240" w:lineRule="auto"/>
        <w:rPr>
          <w:szCs w:val="22"/>
          <w:lang w:val="lt-LT"/>
        </w:rPr>
      </w:pPr>
    </w:p>
    <w:p w14:paraId="4824959B" w14:textId="77777777" w:rsidR="00E104BF" w:rsidRPr="00900CEC" w:rsidRDefault="00E104BF" w:rsidP="00E104B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00CEC">
        <w:rPr>
          <w:b/>
          <w:szCs w:val="22"/>
          <w:lang w:val="lt-LT"/>
        </w:rPr>
        <w:t>14.</w:t>
      </w:r>
      <w:r w:rsidRPr="00900CEC">
        <w:rPr>
          <w:b/>
          <w:szCs w:val="22"/>
          <w:lang w:val="lt-LT"/>
        </w:rPr>
        <w:tab/>
        <w:t>PARDAVIMO (IŠDAVIMO) TVARKA</w:t>
      </w:r>
    </w:p>
    <w:p w14:paraId="3E8C3A2B" w14:textId="77777777" w:rsidR="00E104BF" w:rsidRPr="00900CEC" w:rsidRDefault="00E104BF" w:rsidP="00E104BF">
      <w:pPr>
        <w:spacing w:line="240" w:lineRule="auto"/>
        <w:rPr>
          <w:szCs w:val="22"/>
          <w:lang w:val="lt-LT"/>
        </w:rPr>
      </w:pPr>
    </w:p>
    <w:p w14:paraId="24A05BD0" w14:textId="4297DEF6" w:rsidR="00E104BF" w:rsidRPr="00900CEC" w:rsidRDefault="00184C8B" w:rsidP="00E104BF">
      <w:pPr>
        <w:spacing w:line="240" w:lineRule="auto"/>
        <w:rPr>
          <w:szCs w:val="22"/>
          <w:lang w:val="lt-LT"/>
        </w:rPr>
      </w:pPr>
      <w:r w:rsidRPr="00900CEC">
        <w:rPr>
          <w:szCs w:val="22"/>
          <w:lang w:val="lt-LT"/>
        </w:rPr>
        <w:t>R</w:t>
      </w:r>
      <w:r w:rsidR="00E104BF" w:rsidRPr="00900CEC">
        <w:rPr>
          <w:szCs w:val="22"/>
          <w:lang w:val="lt-LT"/>
        </w:rPr>
        <w:t>eceptinis vaistas</w:t>
      </w:r>
    </w:p>
    <w:p w14:paraId="36EF0C63" w14:textId="77777777" w:rsidR="00E104BF" w:rsidRPr="00900CEC" w:rsidRDefault="00E104BF" w:rsidP="00E104BF">
      <w:pPr>
        <w:spacing w:line="240" w:lineRule="auto"/>
        <w:rPr>
          <w:szCs w:val="22"/>
          <w:lang w:val="lt-LT"/>
        </w:rPr>
      </w:pPr>
    </w:p>
    <w:p w14:paraId="0BBAF2EE" w14:textId="77777777" w:rsidR="00E104BF" w:rsidRPr="00900CEC" w:rsidRDefault="00E104BF" w:rsidP="00E104BF">
      <w:pPr>
        <w:spacing w:line="240" w:lineRule="auto"/>
        <w:rPr>
          <w:szCs w:val="22"/>
          <w:lang w:val="lt-LT"/>
        </w:rPr>
      </w:pPr>
    </w:p>
    <w:p w14:paraId="1E065A72" w14:textId="77777777" w:rsidR="00E104BF" w:rsidRPr="00900CEC" w:rsidRDefault="00E104BF" w:rsidP="00E104BF">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900CEC">
        <w:rPr>
          <w:b/>
          <w:szCs w:val="22"/>
          <w:lang w:val="lt-LT"/>
        </w:rPr>
        <w:t>15.</w:t>
      </w:r>
      <w:r w:rsidRPr="00900CEC">
        <w:rPr>
          <w:b/>
          <w:szCs w:val="22"/>
          <w:lang w:val="lt-LT"/>
        </w:rPr>
        <w:tab/>
        <w:t>VARTOJIMO INSTRUKCIJA</w:t>
      </w:r>
    </w:p>
    <w:p w14:paraId="74C893EA" w14:textId="77777777" w:rsidR="00E104BF" w:rsidRPr="00900CEC" w:rsidRDefault="00E104BF" w:rsidP="00E104BF">
      <w:pPr>
        <w:spacing w:line="240" w:lineRule="auto"/>
        <w:rPr>
          <w:szCs w:val="22"/>
          <w:lang w:val="lt-LT"/>
        </w:rPr>
      </w:pPr>
    </w:p>
    <w:p w14:paraId="2BD4E5B3" w14:textId="77777777" w:rsidR="00E104BF" w:rsidRPr="00900CEC" w:rsidRDefault="00E104BF" w:rsidP="00E104BF">
      <w:pPr>
        <w:spacing w:line="240" w:lineRule="auto"/>
        <w:rPr>
          <w:szCs w:val="22"/>
          <w:lang w:val="lt-LT"/>
        </w:rPr>
      </w:pPr>
    </w:p>
    <w:p w14:paraId="217CBCD3" w14:textId="77777777" w:rsidR="00E104BF" w:rsidRPr="00900CEC" w:rsidRDefault="00E104BF" w:rsidP="00E104BF">
      <w:pPr>
        <w:pBdr>
          <w:top w:val="single" w:sz="4" w:space="1" w:color="auto"/>
          <w:left w:val="single" w:sz="4" w:space="4" w:color="auto"/>
          <w:bottom w:val="single" w:sz="4" w:space="0" w:color="auto"/>
          <w:right w:val="single" w:sz="4" w:space="4" w:color="auto"/>
        </w:pBdr>
        <w:spacing w:line="240" w:lineRule="auto"/>
        <w:rPr>
          <w:szCs w:val="22"/>
          <w:lang w:val="lt-LT"/>
        </w:rPr>
      </w:pPr>
      <w:r w:rsidRPr="00900CEC">
        <w:rPr>
          <w:b/>
          <w:szCs w:val="22"/>
          <w:lang w:val="lt-LT"/>
        </w:rPr>
        <w:t>16.</w:t>
      </w:r>
      <w:r w:rsidRPr="00900CEC">
        <w:rPr>
          <w:b/>
          <w:szCs w:val="22"/>
          <w:lang w:val="lt-LT"/>
        </w:rPr>
        <w:tab/>
        <w:t>INFORMACIJA BRAILIO RAŠTU</w:t>
      </w:r>
    </w:p>
    <w:p w14:paraId="4964B85A" w14:textId="77777777" w:rsidR="00E104BF" w:rsidRPr="00900CEC" w:rsidRDefault="00E104BF" w:rsidP="00E104BF">
      <w:pPr>
        <w:tabs>
          <w:tab w:val="clear" w:pos="567"/>
        </w:tabs>
        <w:spacing w:line="240" w:lineRule="auto"/>
        <w:rPr>
          <w:bCs/>
          <w:szCs w:val="22"/>
          <w:lang w:val="lt-LT"/>
        </w:rPr>
      </w:pPr>
    </w:p>
    <w:p w14:paraId="667D36EB" w14:textId="3936D3E5" w:rsidR="00184C8B" w:rsidRPr="00900CEC" w:rsidRDefault="00184C8B" w:rsidP="00184C8B">
      <w:pPr>
        <w:rPr>
          <w:szCs w:val="24"/>
          <w:lang w:val="lt-LT"/>
        </w:rPr>
      </w:pPr>
      <w:r w:rsidRPr="00900CEC">
        <w:rPr>
          <w:szCs w:val="24"/>
          <w:highlight w:val="lightGray"/>
          <w:lang w:val="lt-LT"/>
        </w:rPr>
        <w:t>Priimtas pagrindimas informacijos Brailio raštu nepateikti.</w:t>
      </w:r>
    </w:p>
    <w:p w14:paraId="2276D785" w14:textId="77777777" w:rsidR="00E104BF" w:rsidRPr="00900CEC" w:rsidRDefault="00E104BF" w:rsidP="00E104BF">
      <w:pPr>
        <w:spacing w:line="240" w:lineRule="auto"/>
        <w:rPr>
          <w:szCs w:val="22"/>
          <w:lang w:val="lt-LT"/>
        </w:rPr>
      </w:pPr>
    </w:p>
    <w:p w14:paraId="4436C137" w14:textId="77777777" w:rsidR="00E104BF" w:rsidRPr="00900CEC" w:rsidRDefault="00E104BF" w:rsidP="00E104BF">
      <w:pPr>
        <w:spacing w:line="240" w:lineRule="auto"/>
        <w:rPr>
          <w:szCs w:val="22"/>
          <w:lang w:val="lt-LT"/>
        </w:rPr>
      </w:pPr>
    </w:p>
    <w:p w14:paraId="039F21CB" w14:textId="77777777" w:rsidR="00E104BF" w:rsidRPr="00900CEC" w:rsidRDefault="00E104BF" w:rsidP="00E104BF">
      <w:pPr>
        <w:keepNext/>
        <w:pBdr>
          <w:top w:val="single" w:sz="4" w:space="1" w:color="auto"/>
          <w:left w:val="single" w:sz="4" w:space="4" w:color="auto"/>
          <w:bottom w:val="single" w:sz="4" w:space="1" w:color="auto"/>
          <w:right w:val="single" w:sz="4" w:space="4" w:color="auto"/>
        </w:pBdr>
        <w:spacing w:line="240" w:lineRule="auto"/>
        <w:contextualSpacing/>
        <w:outlineLvl w:val="0"/>
        <w:rPr>
          <w:i/>
          <w:color w:val="000000" w:themeColor="text1"/>
          <w:szCs w:val="22"/>
          <w:lang w:val="lt-LT"/>
        </w:rPr>
      </w:pPr>
      <w:r w:rsidRPr="00900CEC">
        <w:rPr>
          <w:b/>
          <w:color w:val="000000" w:themeColor="text1"/>
          <w:szCs w:val="22"/>
          <w:lang w:val="lt-LT"/>
        </w:rPr>
        <w:t>17.</w:t>
      </w:r>
      <w:r w:rsidRPr="00900CEC">
        <w:rPr>
          <w:b/>
          <w:color w:val="000000" w:themeColor="text1"/>
          <w:szCs w:val="22"/>
          <w:lang w:val="lt-LT"/>
        </w:rPr>
        <w:tab/>
        <w:t>UNIKALUS IDENTIFIKATORIUS – 2D BRŪKŠNINIS KODAS</w:t>
      </w:r>
    </w:p>
    <w:p w14:paraId="0AE00ED0" w14:textId="77777777" w:rsidR="00E104BF" w:rsidRPr="00900CEC" w:rsidRDefault="00E104BF" w:rsidP="00E104BF">
      <w:pPr>
        <w:tabs>
          <w:tab w:val="clear" w:pos="567"/>
        </w:tabs>
        <w:spacing w:line="240" w:lineRule="auto"/>
        <w:contextualSpacing/>
        <w:rPr>
          <w:color w:val="000000" w:themeColor="text1"/>
          <w:szCs w:val="22"/>
          <w:lang w:val="lt-LT"/>
        </w:rPr>
      </w:pPr>
    </w:p>
    <w:p w14:paraId="74AD57F7" w14:textId="4276B268" w:rsidR="00184C8B" w:rsidRPr="00900CEC" w:rsidRDefault="00184C8B" w:rsidP="00184C8B">
      <w:pPr>
        <w:rPr>
          <w:szCs w:val="22"/>
          <w:shd w:val="clear" w:color="auto" w:fill="CCCCCC"/>
          <w:lang w:val="lt-LT"/>
        </w:rPr>
      </w:pPr>
      <w:r w:rsidRPr="00900CEC">
        <w:rPr>
          <w:highlight w:val="lightGray"/>
          <w:lang w:val="lt-LT"/>
        </w:rPr>
        <w:t>2D brūkšninis kodas su nurodytu unikaliu identifikatoriumi.</w:t>
      </w:r>
    </w:p>
    <w:p w14:paraId="64EBC032" w14:textId="77777777" w:rsidR="00E104BF" w:rsidRPr="00900CEC" w:rsidRDefault="00E104BF" w:rsidP="00E104BF">
      <w:pPr>
        <w:spacing w:line="240" w:lineRule="auto"/>
        <w:contextualSpacing/>
        <w:rPr>
          <w:color w:val="000000" w:themeColor="text1"/>
          <w:szCs w:val="22"/>
          <w:lang w:val="lt-LT"/>
        </w:rPr>
      </w:pPr>
    </w:p>
    <w:p w14:paraId="58BEBE2A" w14:textId="77777777" w:rsidR="00E104BF" w:rsidRPr="00900CEC" w:rsidRDefault="00E104BF" w:rsidP="00E104BF">
      <w:pPr>
        <w:tabs>
          <w:tab w:val="clear" w:pos="567"/>
        </w:tabs>
        <w:spacing w:line="240" w:lineRule="auto"/>
        <w:contextualSpacing/>
        <w:rPr>
          <w:color w:val="000000" w:themeColor="text1"/>
          <w:szCs w:val="22"/>
          <w:lang w:val="lt-LT"/>
        </w:rPr>
      </w:pPr>
    </w:p>
    <w:p w14:paraId="28922BD9" w14:textId="77777777" w:rsidR="00E104BF" w:rsidRPr="00900CEC" w:rsidRDefault="00E104BF" w:rsidP="00E104BF">
      <w:pPr>
        <w:keepNext/>
        <w:pBdr>
          <w:top w:val="single" w:sz="4" w:space="1" w:color="auto"/>
          <w:left w:val="single" w:sz="4" w:space="4" w:color="auto"/>
          <w:bottom w:val="single" w:sz="4" w:space="1" w:color="auto"/>
          <w:right w:val="single" w:sz="4" w:space="4" w:color="auto"/>
        </w:pBdr>
        <w:spacing w:line="240" w:lineRule="auto"/>
        <w:contextualSpacing/>
        <w:outlineLvl w:val="0"/>
        <w:rPr>
          <w:i/>
          <w:color w:val="000000" w:themeColor="text1"/>
          <w:szCs w:val="22"/>
          <w:lang w:val="lt-LT"/>
        </w:rPr>
      </w:pPr>
      <w:r w:rsidRPr="00900CEC">
        <w:rPr>
          <w:b/>
          <w:color w:val="000000" w:themeColor="text1"/>
          <w:szCs w:val="22"/>
          <w:lang w:val="lt-LT"/>
        </w:rPr>
        <w:t>18.</w:t>
      </w:r>
      <w:r w:rsidRPr="00900CEC">
        <w:rPr>
          <w:b/>
          <w:color w:val="000000" w:themeColor="text1"/>
          <w:szCs w:val="22"/>
          <w:lang w:val="lt-LT"/>
        </w:rPr>
        <w:tab/>
        <w:t>UNIKALUS IDENTIFIKATORIUS – ŽMONĖMS SUPRANTAMI DUOMENYS</w:t>
      </w:r>
    </w:p>
    <w:p w14:paraId="0AA8EE77" w14:textId="77777777" w:rsidR="00E104BF" w:rsidRPr="00900CEC" w:rsidRDefault="00E104BF" w:rsidP="00E104BF">
      <w:pPr>
        <w:tabs>
          <w:tab w:val="clear" w:pos="567"/>
        </w:tabs>
        <w:spacing w:line="240" w:lineRule="auto"/>
        <w:contextualSpacing/>
        <w:rPr>
          <w:color w:val="000000" w:themeColor="text1"/>
          <w:szCs w:val="22"/>
          <w:lang w:val="lt-LT"/>
        </w:rPr>
      </w:pPr>
    </w:p>
    <w:p w14:paraId="457DAAD2" w14:textId="1CD2C413" w:rsidR="00184C8B" w:rsidRPr="00C060EC" w:rsidRDefault="00184C8B" w:rsidP="00184C8B">
      <w:pPr>
        <w:rPr>
          <w:szCs w:val="22"/>
          <w:highlight w:val="lightGray"/>
          <w:lang w:val="lt-LT"/>
        </w:rPr>
      </w:pPr>
      <w:r w:rsidRPr="00C060EC">
        <w:rPr>
          <w:highlight w:val="lightGray"/>
          <w:lang w:val="lt-LT"/>
        </w:rPr>
        <w:t>PC: {numeris}</w:t>
      </w:r>
    </w:p>
    <w:p w14:paraId="010F1A93" w14:textId="34F7ADC9" w:rsidR="00184C8B" w:rsidRPr="00900CEC" w:rsidRDefault="00184C8B" w:rsidP="00184C8B">
      <w:pPr>
        <w:rPr>
          <w:szCs w:val="22"/>
          <w:lang w:val="lt-LT"/>
        </w:rPr>
      </w:pPr>
      <w:r w:rsidRPr="00C060EC">
        <w:rPr>
          <w:highlight w:val="lightGray"/>
          <w:lang w:val="lt-LT"/>
        </w:rPr>
        <w:t>SN: {numeris}</w:t>
      </w:r>
      <w:r w:rsidRPr="00900CEC">
        <w:rPr>
          <w:lang w:val="lt-LT"/>
        </w:rPr>
        <w:t xml:space="preserve"> </w:t>
      </w:r>
    </w:p>
    <w:p w14:paraId="3B7B3C8A" w14:textId="38D2A2BA" w:rsidR="00184C8B" w:rsidRPr="00900CEC" w:rsidRDefault="00184C8B" w:rsidP="00184C8B">
      <w:pPr>
        <w:rPr>
          <w:szCs w:val="22"/>
          <w:lang w:val="lt-LT"/>
        </w:rPr>
      </w:pPr>
      <w:r w:rsidRPr="00900CEC">
        <w:rPr>
          <w:highlight w:val="lightGray"/>
          <w:lang w:val="lt-LT"/>
        </w:rPr>
        <w:t xml:space="preserve">NN: {numeris} </w:t>
      </w:r>
    </w:p>
    <w:p w14:paraId="2549BD1E" w14:textId="77777777" w:rsidR="00E104BF" w:rsidRPr="00900CEC" w:rsidRDefault="00E104BF" w:rsidP="00E104BF">
      <w:pPr>
        <w:tabs>
          <w:tab w:val="clear" w:pos="567"/>
        </w:tabs>
        <w:spacing w:line="240" w:lineRule="auto"/>
        <w:rPr>
          <w:szCs w:val="22"/>
          <w:lang w:val="lt-LT"/>
        </w:rPr>
      </w:pPr>
    </w:p>
    <w:p w14:paraId="606EC4D3" w14:textId="4C539C1D" w:rsidR="00E104BF" w:rsidRPr="00900CEC" w:rsidRDefault="00E104BF" w:rsidP="00184C8B">
      <w:pPr>
        <w:spacing w:line="240" w:lineRule="auto"/>
        <w:rPr>
          <w:szCs w:val="22"/>
          <w:lang w:val="lt-LT"/>
        </w:rPr>
      </w:pPr>
      <w:r w:rsidRPr="00900CEC">
        <w:rPr>
          <w:szCs w:val="22"/>
          <w:lang w:val="lt-LT"/>
        </w:rPr>
        <w:br w:type="page"/>
      </w:r>
    </w:p>
    <w:p w14:paraId="1481B1BD" w14:textId="77777777" w:rsidR="00E104BF" w:rsidRPr="00900CEC" w:rsidRDefault="00E104BF" w:rsidP="00E104BF">
      <w:pPr>
        <w:spacing w:line="240" w:lineRule="auto"/>
        <w:outlineLvl w:val="0"/>
        <w:rPr>
          <w:szCs w:val="22"/>
          <w:lang w:val="lt-LT"/>
        </w:rPr>
      </w:pPr>
    </w:p>
    <w:p w14:paraId="4E8C6664" w14:textId="77777777" w:rsidR="00E104BF" w:rsidRPr="00900CEC" w:rsidRDefault="00E104BF" w:rsidP="00E104BF">
      <w:pPr>
        <w:spacing w:line="240" w:lineRule="auto"/>
        <w:outlineLvl w:val="0"/>
        <w:rPr>
          <w:szCs w:val="22"/>
          <w:lang w:val="lt-LT"/>
        </w:rPr>
      </w:pPr>
    </w:p>
    <w:p w14:paraId="7B40F626" w14:textId="77777777" w:rsidR="00E104BF" w:rsidRPr="00900CEC" w:rsidRDefault="00E104BF" w:rsidP="00E104BF">
      <w:pPr>
        <w:spacing w:line="240" w:lineRule="auto"/>
        <w:outlineLvl w:val="0"/>
        <w:rPr>
          <w:szCs w:val="22"/>
          <w:lang w:val="lt-LT"/>
        </w:rPr>
      </w:pPr>
    </w:p>
    <w:p w14:paraId="062FF842" w14:textId="77777777" w:rsidR="00E104BF" w:rsidRPr="00900CEC" w:rsidRDefault="00E104BF" w:rsidP="00E104BF">
      <w:pPr>
        <w:spacing w:line="240" w:lineRule="auto"/>
        <w:outlineLvl w:val="0"/>
        <w:rPr>
          <w:szCs w:val="22"/>
          <w:lang w:val="lt-LT"/>
        </w:rPr>
      </w:pPr>
    </w:p>
    <w:p w14:paraId="7953B78B" w14:textId="77777777" w:rsidR="00E104BF" w:rsidRPr="00900CEC" w:rsidRDefault="00E104BF" w:rsidP="00E104BF">
      <w:pPr>
        <w:spacing w:line="240" w:lineRule="auto"/>
        <w:outlineLvl w:val="0"/>
        <w:rPr>
          <w:szCs w:val="22"/>
          <w:lang w:val="lt-LT"/>
        </w:rPr>
      </w:pPr>
    </w:p>
    <w:p w14:paraId="1BB538D9" w14:textId="77777777" w:rsidR="00E104BF" w:rsidRPr="00900CEC" w:rsidRDefault="00E104BF" w:rsidP="00E104BF">
      <w:pPr>
        <w:spacing w:line="240" w:lineRule="auto"/>
        <w:outlineLvl w:val="0"/>
        <w:rPr>
          <w:szCs w:val="22"/>
          <w:lang w:val="lt-LT"/>
        </w:rPr>
      </w:pPr>
    </w:p>
    <w:p w14:paraId="12529F4C" w14:textId="77777777" w:rsidR="00E104BF" w:rsidRPr="00900CEC" w:rsidRDefault="00E104BF" w:rsidP="00E104BF">
      <w:pPr>
        <w:spacing w:line="240" w:lineRule="auto"/>
        <w:outlineLvl w:val="0"/>
        <w:rPr>
          <w:szCs w:val="22"/>
          <w:lang w:val="lt-LT"/>
        </w:rPr>
      </w:pPr>
    </w:p>
    <w:p w14:paraId="06B5DE82" w14:textId="77777777" w:rsidR="00E104BF" w:rsidRPr="00900CEC" w:rsidRDefault="00E104BF" w:rsidP="00E104BF">
      <w:pPr>
        <w:spacing w:line="240" w:lineRule="auto"/>
        <w:outlineLvl w:val="0"/>
        <w:rPr>
          <w:szCs w:val="22"/>
          <w:lang w:val="lt-LT"/>
        </w:rPr>
      </w:pPr>
    </w:p>
    <w:p w14:paraId="0A25E80A" w14:textId="77777777" w:rsidR="00E104BF" w:rsidRPr="00900CEC" w:rsidRDefault="00E104BF" w:rsidP="00E104BF">
      <w:pPr>
        <w:spacing w:line="240" w:lineRule="auto"/>
        <w:outlineLvl w:val="0"/>
        <w:rPr>
          <w:szCs w:val="22"/>
          <w:lang w:val="lt-LT"/>
        </w:rPr>
      </w:pPr>
    </w:p>
    <w:p w14:paraId="6B436DB2" w14:textId="77777777" w:rsidR="00E104BF" w:rsidRPr="00900CEC" w:rsidRDefault="00E104BF" w:rsidP="00E104BF">
      <w:pPr>
        <w:spacing w:line="240" w:lineRule="auto"/>
        <w:outlineLvl w:val="0"/>
        <w:rPr>
          <w:szCs w:val="22"/>
          <w:lang w:val="lt-LT"/>
        </w:rPr>
      </w:pPr>
    </w:p>
    <w:p w14:paraId="14D429FF" w14:textId="77777777" w:rsidR="00E104BF" w:rsidRPr="00900CEC" w:rsidRDefault="00E104BF" w:rsidP="00E104BF">
      <w:pPr>
        <w:spacing w:line="240" w:lineRule="auto"/>
        <w:outlineLvl w:val="0"/>
        <w:rPr>
          <w:szCs w:val="22"/>
          <w:lang w:val="lt-LT"/>
        </w:rPr>
      </w:pPr>
    </w:p>
    <w:p w14:paraId="2A5BD782" w14:textId="77777777" w:rsidR="00E104BF" w:rsidRPr="00900CEC" w:rsidRDefault="00E104BF" w:rsidP="00E104BF">
      <w:pPr>
        <w:spacing w:line="240" w:lineRule="auto"/>
        <w:outlineLvl w:val="0"/>
        <w:rPr>
          <w:szCs w:val="22"/>
          <w:lang w:val="lt-LT"/>
        </w:rPr>
      </w:pPr>
    </w:p>
    <w:p w14:paraId="20674EBA" w14:textId="77777777" w:rsidR="00E104BF" w:rsidRPr="00900CEC" w:rsidRDefault="00E104BF" w:rsidP="00E104BF">
      <w:pPr>
        <w:spacing w:line="240" w:lineRule="auto"/>
        <w:outlineLvl w:val="0"/>
        <w:rPr>
          <w:szCs w:val="22"/>
          <w:lang w:val="lt-LT"/>
        </w:rPr>
      </w:pPr>
    </w:p>
    <w:p w14:paraId="3643E766" w14:textId="77777777" w:rsidR="00E104BF" w:rsidRPr="00900CEC" w:rsidRDefault="00E104BF" w:rsidP="00E104BF">
      <w:pPr>
        <w:spacing w:line="240" w:lineRule="auto"/>
        <w:outlineLvl w:val="0"/>
        <w:rPr>
          <w:szCs w:val="22"/>
          <w:lang w:val="lt-LT"/>
        </w:rPr>
      </w:pPr>
    </w:p>
    <w:p w14:paraId="661105E0" w14:textId="77777777" w:rsidR="00E104BF" w:rsidRPr="00900CEC" w:rsidRDefault="00E104BF" w:rsidP="00E104BF">
      <w:pPr>
        <w:spacing w:line="240" w:lineRule="auto"/>
        <w:outlineLvl w:val="0"/>
        <w:rPr>
          <w:szCs w:val="22"/>
          <w:lang w:val="lt-LT"/>
        </w:rPr>
      </w:pPr>
    </w:p>
    <w:p w14:paraId="361B49B4" w14:textId="77777777" w:rsidR="00E104BF" w:rsidRPr="00900CEC" w:rsidRDefault="00E104BF" w:rsidP="00E104BF">
      <w:pPr>
        <w:spacing w:line="240" w:lineRule="auto"/>
        <w:outlineLvl w:val="0"/>
        <w:rPr>
          <w:szCs w:val="22"/>
          <w:lang w:val="lt-LT"/>
        </w:rPr>
      </w:pPr>
    </w:p>
    <w:p w14:paraId="4FE7445F" w14:textId="77777777" w:rsidR="00E104BF" w:rsidRPr="00900CEC" w:rsidRDefault="00E104BF" w:rsidP="00E104BF">
      <w:pPr>
        <w:spacing w:line="240" w:lineRule="auto"/>
        <w:outlineLvl w:val="0"/>
        <w:rPr>
          <w:szCs w:val="22"/>
          <w:lang w:val="lt-LT"/>
        </w:rPr>
      </w:pPr>
    </w:p>
    <w:p w14:paraId="7636E360" w14:textId="77777777" w:rsidR="00E104BF" w:rsidRPr="00900CEC" w:rsidRDefault="00E104BF" w:rsidP="00E104BF">
      <w:pPr>
        <w:spacing w:line="240" w:lineRule="auto"/>
        <w:outlineLvl w:val="0"/>
        <w:rPr>
          <w:szCs w:val="22"/>
          <w:lang w:val="lt-LT"/>
        </w:rPr>
      </w:pPr>
    </w:p>
    <w:p w14:paraId="32BDC52C" w14:textId="77777777" w:rsidR="00E104BF" w:rsidRPr="00900CEC" w:rsidRDefault="00E104BF" w:rsidP="00E104BF">
      <w:pPr>
        <w:spacing w:line="240" w:lineRule="auto"/>
        <w:outlineLvl w:val="0"/>
        <w:rPr>
          <w:szCs w:val="22"/>
          <w:lang w:val="lt-LT"/>
        </w:rPr>
      </w:pPr>
    </w:p>
    <w:p w14:paraId="35420705" w14:textId="77777777" w:rsidR="00E104BF" w:rsidRPr="00900CEC" w:rsidRDefault="00E104BF" w:rsidP="00E104BF">
      <w:pPr>
        <w:spacing w:line="240" w:lineRule="auto"/>
        <w:outlineLvl w:val="0"/>
        <w:rPr>
          <w:szCs w:val="22"/>
          <w:lang w:val="lt-LT"/>
        </w:rPr>
      </w:pPr>
    </w:p>
    <w:p w14:paraId="41142315" w14:textId="77777777" w:rsidR="00E104BF" w:rsidRPr="00900CEC" w:rsidRDefault="00E104BF" w:rsidP="00E104BF">
      <w:pPr>
        <w:spacing w:line="240" w:lineRule="auto"/>
        <w:outlineLvl w:val="0"/>
        <w:rPr>
          <w:szCs w:val="22"/>
          <w:lang w:val="lt-LT"/>
        </w:rPr>
      </w:pPr>
    </w:p>
    <w:p w14:paraId="3C92B56B" w14:textId="77777777" w:rsidR="00E104BF" w:rsidRPr="00900CEC" w:rsidRDefault="00E104BF" w:rsidP="00E104BF">
      <w:pPr>
        <w:spacing w:line="240" w:lineRule="auto"/>
        <w:outlineLvl w:val="0"/>
        <w:rPr>
          <w:szCs w:val="22"/>
          <w:lang w:val="lt-LT"/>
        </w:rPr>
      </w:pPr>
    </w:p>
    <w:p w14:paraId="6346AD13" w14:textId="77777777" w:rsidR="00D3074E" w:rsidRPr="00900CEC" w:rsidRDefault="00D3074E" w:rsidP="00E104BF">
      <w:pPr>
        <w:spacing w:line="240" w:lineRule="auto"/>
        <w:jc w:val="center"/>
        <w:outlineLvl w:val="0"/>
        <w:rPr>
          <w:b/>
          <w:szCs w:val="22"/>
          <w:lang w:val="lt-LT"/>
        </w:rPr>
      </w:pPr>
    </w:p>
    <w:p w14:paraId="296A9EA0" w14:textId="77777777" w:rsidR="00E104BF" w:rsidRPr="00900CEC" w:rsidRDefault="00E104BF" w:rsidP="00E104BF">
      <w:pPr>
        <w:spacing w:line="240" w:lineRule="auto"/>
        <w:jc w:val="center"/>
        <w:outlineLvl w:val="0"/>
        <w:rPr>
          <w:b/>
          <w:szCs w:val="22"/>
          <w:lang w:val="lt-LT"/>
        </w:rPr>
      </w:pPr>
      <w:r w:rsidRPr="00900CEC">
        <w:rPr>
          <w:b/>
          <w:szCs w:val="22"/>
          <w:lang w:val="lt-LT"/>
        </w:rPr>
        <w:t>B. PAKUOTĖS LAPELIS</w:t>
      </w:r>
    </w:p>
    <w:p w14:paraId="77D5F5DF" w14:textId="77777777" w:rsidR="00C57CC5" w:rsidRPr="00900CEC" w:rsidRDefault="00E104BF" w:rsidP="00C57CC5">
      <w:pPr>
        <w:pStyle w:val="Antrat2"/>
        <w:spacing w:before="0" w:after="0" w:line="240" w:lineRule="auto"/>
        <w:jc w:val="center"/>
        <w:rPr>
          <w:rFonts w:ascii="Times New Roman" w:hAnsi="Times New Roman"/>
          <w:bCs w:val="0"/>
          <w:i w:val="0"/>
          <w:iCs w:val="0"/>
          <w:sz w:val="22"/>
          <w:szCs w:val="22"/>
          <w:lang w:val="lt-LT"/>
        </w:rPr>
      </w:pPr>
      <w:r w:rsidRPr="00900CEC">
        <w:rPr>
          <w:rFonts w:ascii="Times New Roman" w:hAnsi="Times New Roman"/>
          <w:i w:val="0"/>
          <w:sz w:val="22"/>
          <w:szCs w:val="22"/>
          <w:lang w:val="lt-LT"/>
        </w:rPr>
        <w:br w:type="page"/>
      </w:r>
      <w:r w:rsidR="00C57CC5" w:rsidRPr="00900CEC">
        <w:rPr>
          <w:rFonts w:ascii="Times New Roman" w:hAnsi="Times New Roman"/>
          <w:i w:val="0"/>
          <w:sz w:val="22"/>
          <w:szCs w:val="22"/>
          <w:lang w:val="lt-LT"/>
        </w:rPr>
        <w:lastRenderedPageBreak/>
        <w:t>Pakuotės lapelis:</w:t>
      </w:r>
      <w:r w:rsidR="00C57CC5" w:rsidRPr="00900CEC">
        <w:rPr>
          <w:rFonts w:ascii="Times New Roman" w:hAnsi="Times New Roman"/>
          <w:bCs w:val="0"/>
          <w:i w:val="0"/>
          <w:iCs w:val="0"/>
          <w:sz w:val="22"/>
          <w:szCs w:val="22"/>
          <w:lang w:val="lt-LT"/>
        </w:rPr>
        <w:t xml:space="preserve"> </w:t>
      </w:r>
      <w:r w:rsidR="00C57CC5" w:rsidRPr="00900CEC">
        <w:rPr>
          <w:rFonts w:ascii="Times New Roman" w:hAnsi="Times New Roman"/>
          <w:i w:val="0"/>
          <w:sz w:val="22"/>
          <w:szCs w:val="22"/>
          <w:lang w:val="lt-LT"/>
        </w:rPr>
        <w:t>informacija pacientui</w:t>
      </w:r>
    </w:p>
    <w:p w14:paraId="66466FA9" w14:textId="77777777" w:rsidR="00C57CC5" w:rsidRPr="00900CEC" w:rsidRDefault="00C57CC5" w:rsidP="00C57CC5">
      <w:pPr>
        <w:numPr>
          <w:ilvl w:val="12"/>
          <w:numId w:val="0"/>
        </w:numPr>
        <w:shd w:val="clear" w:color="auto" w:fill="FFFFFF"/>
        <w:tabs>
          <w:tab w:val="clear" w:pos="567"/>
        </w:tabs>
        <w:spacing w:line="240" w:lineRule="auto"/>
        <w:jc w:val="center"/>
        <w:rPr>
          <w:szCs w:val="22"/>
          <w:lang w:val="lt-LT"/>
        </w:rPr>
      </w:pPr>
    </w:p>
    <w:p w14:paraId="373685C7" w14:textId="0E1D5D37" w:rsidR="00C57CC5" w:rsidRPr="00900CEC" w:rsidRDefault="006A24B2" w:rsidP="00C57CC5">
      <w:pPr>
        <w:tabs>
          <w:tab w:val="clear" w:pos="567"/>
        </w:tabs>
        <w:spacing w:line="240" w:lineRule="auto"/>
        <w:jc w:val="center"/>
        <w:rPr>
          <w:b/>
          <w:bCs/>
          <w:szCs w:val="22"/>
          <w:lang w:val="lt-LT"/>
        </w:rPr>
      </w:pPr>
      <w:proofErr w:type="spellStart"/>
      <w:r>
        <w:rPr>
          <w:b/>
          <w:bCs/>
          <w:szCs w:val="22"/>
          <w:lang w:val="lt-LT"/>
        </w:rPr>
        <w:t>Paracetamol</w:t>
      </w:r>
      <w:proofErr w:type="spellEnd"/>
      <w:r>
        <w:rPr>
          <w:b/>
          <w:bCs/>
          <w:szCs w:val="22"/>
          <w:lang w:val="lt-LT"/>
        </w:rPr>
        <w:t>/</w:t>
      </w:r>
      <w:proofErr w:type="spellStart"/>
      <w:r>
        <w:rPr>
          <w:b/>
          <w:bCs/>
          <w:szCs w:val="22"/>
          <w:lang w:val="lt-LT"/>
        </w:rPr>
        <w:t>Ibuprofen</w:t>
      </w:r>
      <w:proofErr w:type="spellEnd"/>
      <w:r>
        <w:rPr>
          <w:b/>
          <w:bCs/>
          <w:szCs w:val="22"/>
          <w:lang w:val="lt-LT"/>
        </w:rPr>
        <w:t xml:space="preserve"> AFT </w:t>
      </w:r>
      <w:proofErr w:type="spellStart"/>
      <w:r>
        <w:rPr>
          <w:b/>
          <w:bCs/>
          <w:szCs w:val="22"/>
          <w:lang w:val="lt-LT"/>
        </w:rPr>
        <w:t>Pharmaceuticals</w:t>
      </w:r>
      <w:proofErr w:type="spellEnd"/>
      <w:r w:rsidR="00C57CC5">
        <w:rPr>
          <w:b/>
          <w:bCs/>
          <w:szCs w:val="22"/>
          <w:lang w:val="lt-LT"/>
        </w:rPr>
        <w:t xml:space="preserve"> 10 mg/3 mg/ml infuzinis tirpalas</w:t>
      </w:r>
    </w:p>
    <w:p w14:paraId="41B705E6" w14:textId="77777777" w:rsidR="00C57CC5" w:rsidRPr="00900CEC" w:rsidRDefault="00C57CC5" w:rsidP="00C57CC5">
      <w:pPr>
        <w:tabs>
          <w:tab w:val="clear" w:pos="567"/>
        </w:tabs>
        <w:spacing w:line="240" w:lineRule="auto"/>
        <w:jc w:val="center"/>
        <w:rPr>
          <w:szCs w:val="22"/>
          <w:lang w:val="lt-LT"/>
        </w:rPr>
      </w:pPr>
      <w:proofErr w:type="spellStart"/>
      <w:r w:rsidRPr="00900CEC">
        <w:rPr>
          <w:szCs w:val="22"/>
          <w:lang w:val="lt-LT"/>
        </w:rPr>
        <w:t>paracetamolis</w:t>
      </w:r>
      <w:proofErr w:type="spellEnd"/>
      <w:r w:rsidRPr="00900CEC">
        <w:rPr>
          <w:szCs w:val="22"/>
          <w:lang w:val="lt-LT"/>
        </w:rPr>
        <w:t xml:space="preserve"> / </w:t>
      </w:r>
      <w:proofErr w:type="spellStart"/>
      <w:r w:rsidRPr="00900CEC">
        <w:rPr>
          <w:szCs w:val="22"/>
          <w:lang w:val="lt-LT"/>
        </w:rPr>
        <w:t>ibuprofenas</w:t>
      </w:r>
      <w:proofErr w:type="spellEnd"/>
    </w:p>
    <w:p w14:paraId="256A23E5" w14:textId="77777777" w:rsidR="00C57CC5" w:rsidRPr="00900CEC" w:rsidRDefault="00C57CC5" w:rsidP="00C57CC5">
      <w:pPr>
        <w:tabs>
          <w:tab w:val="clear" w:pos="567"/>
        </w:tabs>
        <w:spacing w:line="240" w:lineRule="auto"/>
        <w:rPr>
          <w:szCs w:val="22"/>
          <w:lang w:val="lt-LT"/>
        </w:rPr>
      </w:pPr>
    </w:p>
    <w:p w14:paraId="73EFCBC6" w14:textId="77777777" w:rsidR="00C57CC5" w:rsidRPr="00900CEC" w:rsidRDefault="00C57CC5" w:rsidP="00C57CC5">
      <w:pPr>
        <w:numPr>
          <w:ilvl w:val="12"/>
          <w:numId w:val="0"/>
        </w:numPr>
        <w:tabs>
          <w:tab w:val="clear" w:pos="567"/>
        </w:tabs>
        <w:spacing w:line="240" w:lineRule="auto"/>
        <w:ind w:right="-2"/>
        <w:rPr>
          <w:b/>
          <w:szCs w:val="22"/>
          <w:lang w:val="lt-LT"/>
        </w:rPr>
      </w:pPr>
      <w:r w:rsidRPr="00900CEC">
        <w:rPr>
          <w:b/>
          <w:szCs w:val="22"/>
          <w:lang w:val="lt-LT"/>
        </w:rPr>
        <w:t>Atidžiai perskaitykite visą šį lapelį, prieš pradėdami vartoti šį vaistą, nes jame pateikiama Jums svarbi informacija.</w:t>
      </w:r>
    </w:p>
    <w:p w14:paraId="516964FD" w14:textId="77777777" w:rsidR="00C57CC5" w:rsidRPr="00900CEC" w:rsidRDefault="00C57CC5" w:rsidP="00C57CC5">
      <w:pPr>
        <w:numPr>
          <w:ilvl w:val="0"/>
          <w:numId w:val="3"/>
        </w:numPr>
        <w:spacing w:line="240" w:lineRule="auto"/>
        <w:ind w:left="567" w:hanging="567"/>
        <w:rPr>
          <w:szCs w:val="22"/>
          <w:lang w:val="lt-LT"/>
        </w:rPr>
      </w:pPr>
      <w:r w:rsidRPr="00900CEC">
        <w:rPr>
          <w:szCs w:val="22"/>
          <w:lang w:val="lt-LT"/>
        </w:rPr>
        <w:t xml:space="preserve">Neišmeskite šio lapelio, nes vėl gali prireikti jį perskaityti. </w:t>
      </w:r>
    </w:p>
    <w:p w14:paraId="535413B4" w14:textId="77777777" w:rsidR="00C57CC5" w:rsidRPr="00900CEC" w:rsidRDefault="00C57CC5" w:rsidP="00C57CC5">
      <w:pPr>
        <w:numPr>
          <w:ilvl w:val="0"/>
          <w:numId w:val="3"/>
        </w:numPr>
        <w:spacing w:line="240" w:lineRule="auto"/>
        <w:ind w:left="567" w:hanging="567"/>
        <w:rPr>
          <w:szCs w:val="22"/>
          <w:lang w:val="lt-LT"/>
        </w:rPr>
      </w:pPr>
      <w:r w:rsidRPr="00900CEC">
        <w:rPr>
          <w:szCs w:val="24"/>
          <w:lang w:val="lt-LT"/>
        </w:rPr>
        <w:t>Jeigu kiltų daugiau klausimų, kreipkitės į gydytoją arba vaistininką</w:t>
      </w:r>
      <w:r w:rsidRPr="00900CEC">
        <w:rPr>
          <w:szCs w:val="22"/>
          <w:lang w:val="lt-LT"/>
        </w:rPr>
        <w:t>.</w:t>
      </w:r>
    </w:p>
    <w:p w14:paraId="5B84B967" w14:textId="77777777" w:rsidR="00C57CC5" w:rsidRPr="00900CEC" w:rsidRDefault="00C57CC5" w:rsidP="00C57CC5">
      <w:pPr>
        <w:numPr>
          <w:ilvl w:val="0"/>
          <w:numId w:val="3"/>
        </w:numPr>
        <w:spacing w:line="240" w:lineRule="auto"/>
        <w:ind w:left="567" w:hanging="567"/>
        <w:rPr>
          <w:szCs w:val="22"/>
          <w:lang w:val="lt-LT"/>
        </w:rPr>
      </w:pPr>
      <w:r w:rsidRPr="00900CEC">
        <w:rPr>
          <w:szCs w:val="24"/>
          <w:lang w:val="lt-LT"/>
        </w:rPr>
        <w:t>Šis vaistas skirtas tik Jums, todėl kitiems žmonėms jo duoti negalima. Vaistas gali jiems pakenkti (net tiems, kurių ligos požymiai yra tokie patys kaip Jūsų).</w:t>
      </w:r>
    </w:p>
    <w:p w14:paraId="0DC99C88" w14:textId="178DBB82" w:rsidR="00C57CC5" w:rsidRPr="00900CEC" w:rsidRDefault="00C57CC5" w:rsidP="00C57CC5">
      <w:pPr>
        <w:numPr>
          <w:ilvl w:val="0"/>
          <w:numId w:val="3"/>
        </w:numPr>
        <w:spacing w:line="240" w:lineRule="auto"/>
        <w:ind w:left="567" w:hanging="567"/>
        <w:rPr>
          <w:szCs w:val="22"/>
          <w:lang w:val="lt-LT"/>
        </w:rPr>
      </w:pPr>
      <w:r w:rsidRPr="00900CEC">
        <w:rPr>
          <w:szCs w:val="22"/>
          <w:lang w:val="lt-LT"/>
        </w:rPr>
        <w:t>Jeigu pasireiškė šalutinis poveikis (net jeigu jis šiame lapelyje nenurodytas), kreipkitės į gydytoją arba vaistininką. Žr. 4</w:t>
      </w:r>
      <w:r w:rsidR="00EA16D0">
        <w:rPr>
          <w:szCs w:val="22"/>
          <w:lang w:val="lt-LT"/>
        </w:rPr>
        <w:t> </w:t>
      </w:r>
      <w:r w:rsidRPr="00900CEC">
        <w:rPr>
          <w:szCs w:val="22"/>
          <w:lang w:val="lt-LT"/>
        </w:rPr>
        <w:t>skyrių.</w:t>
      </w:r>
    </w:p>
    <w:p w14:paraId="0A86C768" w14:textId="335F2A5E" w:rsidR="00C57CC5" w:rsidRPr="00900CEC" w:rsidRDefault="00C57CC5" w:rsidP="00C57CC5">
      <w:pPr>
        <w:numPr>
          <w:ilvl w:val="0"/>
          <w:numId w:val="3"/>
        </w:numPr>
        <w:spacing w:line="240" w:lineRule="auto"/>
        <w:ind w:left="567" w:hanging="567"/>
        <w:rPr>
          <w:bCs/>
          <w:szCs w:val="22"/>
          <w:lang w:val="lt-LT"/>
        </w:rPr>
      </w:pPr>
      <w:r w:rsidRPr="00900CEC">
        <w:rPr>
          <w:bCs/>
          <w:szCs w:val="22"/>
          <w:lang w:val="lt-LT"/>
        </w:rPr>
        <w:t>Šio vaisto negalima vartoti ilgiau kaip 2</w:t>
      </w:r>
      <w:r w:rsidR="00EA16D0">
        <w:rPr>
          <w:bCs/>
          <w:szCs w:val="22"/>
          <w:lang w:val="lt-LT"/>
        </w:rPr>
        <w:t> </w:t>
      </w:r>
      <w:r w:rsidRPr="00900CEC">
        <w:rPr>
          <w:bCs/>
          <w:szCs w:val="22"/>
          <w:lang w:val="lt-LT"/>
        </w:rPr>
        <w:t>dienas.</w:t>
      </w:r>
    </w:p>
    <w:p w14:paraId="6F9C8485" w14:textId="77777777" w:rsidR="00C57CC5" w:rsidRPr="00900CEC" w:rsidRDefault="00C57CC5" w:rsidP="00C57CC5">
      <w:pPr>
        <w:tabs>
          <w:tab w:val="clear" w:pos="567"/>
        </w:tabs>
        <w:spacing w:line="240" w:lineRule="auto"/>
        <w:ind w:right="-2"/>
        <w:rPr>
          <w:szCs w:val="22"/>
          <w:lang w:val="lt-LT"/>
        </w:rPr>
      </w:pPr>
    </w:p>
    <w:p w14:paraId="6294D4CE" w14:textId="77777777" w:rsidR="00C57CC5" w:rsidRPr="00900CEC" w:rsidRDefault="00C57CC5" w:rsidP="00C57CC5">
      <w:pPr>
        <w:pStyle w:val="Antrat2"/>
        <w:spacing w:before="0" w:after="0" w:line="240" w:lineRule="auto"/>
        <w:rPr>
          <w:rFonts w:ascii="Times New Roman" w:hAnsi="Times New Roman"/>
          <w:i w:val="0"/>
          <w:sz w:val="22"/>
          <w:szCs w:val="22"/>
          <w:lang w:val="lt-LT"/>
        </w:rPr>
      </w:pPr>
      <w:r w:rsidRPr="00900CEC">
        <w:rPr>
          <w:rFonts w:ascii="Times New Roman" w:hAnsi="Times New Roman"/>
          <w:i w:val="0"/>
          <w:sz w:val="22"/>
          <w:szCs w:val="22"/>
          <w:lang w:val="lt-LT"/>
        </w:rPr>
        <w:t>Apie ką rašoma šiame lapelyje?</w:t>
      </w:r>
    </w:p>
    <w:p w14:paraId="02B4D1A9" w14:textId="64E91E34" w:rsidR="00C57CC5" w:rsidRPr="00900CEC" w:rsidRDefault="00C57CC5" w:rsidP="00C57CC5">
      <w:pPr>
        <w:numPr>
          <w:ilvl w:val="12"/>
          <w:numId w:val="0"/>
        </w:numPr>
        <w:tabs>
          <w:tab w:val="clear" w:pos="567"/>
          <w:tab w:val="left" w:pos="851"/>
        </w:tabs>
        <w:spacing w:line="240" w:lineRule="auto"/>
        <w:ind w:left="851" w:right="-2" w:hanging="567"/>
        <w:rPr>
          <w:szCs w:val="22"/>
          <w:lang w:val="lt-LT"/>
        </w:rPr>
      </w:pPr>
      <w:r w:rsidRPr="00900CEC">
        <w:rPr>
          <w:szCs w:val="22"/>
          <w:lang w:val="lt-LT"/>
        </w:rPr>
        <w:t>1.</w:t>
      </w:r>
      <w:r w:rsidRPr="00900CEC">
        <w:rPr>
          <w:szCs w:val="22"/>
          <w:lang w:val="lt-LT"/>
        </w:rPr>
        <w:tab/>
        <w:t xml:space="preserve">Kas yra </w:t>
      </w:r>
      <w:proofErr w:type="spellStart"/>
      <w:r w:rsidR="006A24B2">
        <w:rPr>
          <w:lang w:val="lt-LT"/>
        </w:rPr>
        <w:t>Paracetamol</w:t>
      </w:r>
      <w:proofErr w:type="spellEnd"/>
      <w:r w:rsidR="006A24B2">
        <w:rPr>
          <w:lang w:val="lt-LT"/>
        </w:rPr>
        <w:t>/</w:t>
      </w:r>
      <w:proofErr w:type="spellStart"/>
      <w:r w:rsidR="006A24B2">
        <w:rPr>
          <w:lang w:val="lt-LT"/>
        </w:rPr>
        <w:t>Ibuprofen</w:t>
      </w:r>
      <w:proofErr w:type="spellEnd"/>
      <w:r w:rsidR="006A24B2">
        <w:rPr>
          <w:lang w:val="lt-LT"/>
        </w:rPr>
        <w:t xml:space="preserve"> AFT </w:t>
      </w:r>
      <w:proofErr w:type="spellStart"/>
      <w:r w:rsidR="006A24B2">
        <w:rPr>
          <w:lang w:val="lt-LT"/>
        </w:rPr>
        <w:t>Pharmaceuticals</w:t>
      </w:r>
      <w:proofErr w:type="spellEnd"/>
      <w:r w:rsidRPr="00900CEC">
        <w:rPr>
          <w:lang w:val="lt-LT"/>
        </w:rPr>
        <w:t xml:space="preserve"> </w:t>
      </w:r>
      <w:r w:rsidRPr="00900CEC">
        <w:rPr>
          <w:szCs w:val="22"/>
          <w:lang w:val="lt-LT"/>
        </w:rPr>
        <w:t>ir kam j</w:t>
      </w:r>
      <w:r>
        <w:rPr>
          <w:szCs w:val="22"/>
          <w:lang w:val="lt-LT"/>
        </w:rPr>
        <w:t>i</w:t>
      </w:r>
      <w:r w:rsidRPr="00900CEC">
        <w:rPr>
          <w:szCs w:val="22"/>
          <w:lang w:val="lt-LT"/>
        </w:rPr>
        <w:t>s vartojam</w:t>
      </w:r>
      <w:r>
        <w:rPr>
          <w:szCs w:val="22"/>
          <w:lang w:val="lt-LT"/>
        </w:rPr>
        <w:t>a</w:t>
      </w:r>
      <w:r w:rsidRPr="00900CEC">
        <w:rPr>
          <w:szCs w:val="22"/>
          <w:lang w:val="lt-LT"/>
        </w:rPr>
        <w:t>s</w:t>
      </w:r>
    </w:p>
    <w:p w14:paraId="6DDBE64E" w14:textId="5E38AAB9" w:rsidR="00C57CC5" w:rsidRPr="00900CEC" w:rsidRDefault="00C57CC5" w:rsidP="00C57CC5">
      <w:pPr>
        <w:numPr>
          <w:ilvl w:val="12"/>
          <w:numId w:val="0"/>
        </w:numPr>
        <w:tabs>
          <w:tab w:val="clear" w:pos="567"/>
          <w:tab w:val="left" w:pos="851"/>
        </w:tabs>
        <w:spacing w:line="240" w:lineRule="auto"/>
        <w:ind w:left="851" w:right="-2" w:hanging="567"/>
        <w:rPr>
          <w:lang w:val="lt-LT"/>
        </w:rPr>
      </w:pPr>
      <w:r w:rsidRPr="00900CEC">
        <w:rPr>
          <w:szCs w:val="22"/>
          <w:lang w:val="lt-LT"/>
        </w:rPr>
        <w:t>2.</w:t>
      </w:r>
      <w:r w:rsidRPr="00900CEC">
        <w:rPr>
          <w:szCs w:val="22"/>
          <w:lang w:val="lt-LT"/>
        </w:rPr>
        <w:tab/>
        <w:t xml:space="preserve">Kas žinotina prieš vartojant </w:t>
      </w:r>
      <w:proofErr w:type="spellStart"/>
      <w:r w:rsidR="006A24B2">
        <w:rPr>
          <w:lang w:val="lt-LT"/>
        </w:rPr>
        <w:t>Paracetamol</w:t>
      </w:r>
      <w:proofErr w:type="spellEnd"/>
      <w:r w:rsidR="006A24B2">
        <w:rPr>
          <w:lang w:val="lt-LT"/>
        </w:rPr>
        <w:t>/</w:t>
      </w:r>
      <w:proofErr w:type="spellStart"/>
      <w:r w:rsidR="006A24B2">
        <w:rPr>
          <w:lang w:val="lt-LT"/>
        </w:rPr>
        <w:t>Ibuprofen</w:t>
      </w:r>
      <w:proofErr w:type="spellEnd"/>
      <w:r w:rsidR="006A24B2">
        <w:rPr>
          <w:lang w:val="lt-LT"/>
        </w:rPr>
        <w:t xml:space="preserve"> AFT </w:t>
      </w:r>
      <w:proofErr w:type="spellStart"/>
      <w:r w:rsidR="006A24B2">
        <w:rPr>
          <w:lang w:val="lt-LT"/>
        </w:rPr>
        <w:t>Pharmaceuticals</w:t>
      </w:r>
      <w:proofErr w:type="spellEnd"/>
    </w:p>
    <w:p w14:paraId="281F3B18" w14:textId="3EFA6262" w:rsidR="00C57CC5" w:rsidRPr="00900CEC" w:rsidRDefault="00C57CC5" w:rsidP="00C57CC5">
      <w:pPr>
        <w:numPr>
          <w:ilvl w:val="12"/>
          <w:numId w:val="0"/>
        </w:numPr>
        <w:tabs>
          <w:tab w:val="clear" w:pos="567"/>
          <w:tab w:val="left" w:pos="851"/>
        </w:tabs>
        <w:spacing w:line="240" w:lineRule="auto"/>
        <w:ind w:left="851" w:right="-2" w:hanging="567"/>
        <w:rPr>
          <w:szCs w:val="22"/>
          <w:lang w:val="lt-LT"/>
        </w:rPr>
      </w:pPr>
      <w:r w:rsidRPr="00900CEC">
        <w:rPr>
          <w:szCs w:val="22"/>
          <w:lang w:val="lt-LT"/>
        </w:rPr>
        <w:t>3.</w:t>
      </w:r>
      <w:r w:rsidRPr="00900CEC">
        <w:rPr>
          <w:szCs w:val="22"/>
          <w:lang w:val="lt-LT"/>
        </w:rPr>
        <w:tab/>
        <w:t xml:space="preserve">Kaip vartoti </w:t>
      </w:r>
      <w:proofErr w:type="spellStart"/>
      <w:r w:rsidR="006A24B2">
        <w:rPr>
          <w:lang w:val="lt-LT"/>
        </w:rPr>
        <w:t>Paracetamol</w:t>
      </w:r>
      <w:proofErr w:type="spellEnd"/>
      <w:r w:rsidR="006A24B2">
        <w:rPr>
          <w:lang w:val="lt-LT"/>
        </w:rPr>
        <w:t>/</w:t>
      </w:r>
      <w:proofErr w:type="spellStart"/>
      <w:r w:rsidR="006A24B2">
        <w:rPr>
          <w:lang w:val="lt-LT"/>
        </w:rPr>
        <w:t>Ibuprofen</w:t>
      </w:r>
      <w:proofErr w:type="spellEnd"/>
      <w:r w:rsidR="006A24B2">
        <w:rPr>
          <w:lang w:val="lt-LT"/>
        </w:rPr>
        <w:t xml:space="preserve"> AFT </w:t>
      </w:r>
      <w:proofErr w:type="spellStart"/>
      <w:r w:rsidR="006A24B2">
        <w:rPr>
          <w:lang w:val="lt-LT"/>
        </w:rPr>
        <w:t>Pharmaceuticals</w:t>
      </w:r>
      <w:proofErr w:type="spellEnd"/>
    </w:p>
    <w:p w14:paraId="512AE2C2" w14:textId="77777777" w:rsidR="00C57CC5" w:rsidRPr="00900CEC" w:rsidRDefault="00C57CC5" w:rsidP="00C57CC5">
      <w:pPr>
        <w:numPr>
          <w:ilvl w:val="12"/>
          <w:numId w:val="0"/>
        </w:numPr>
        <w:tabs>
          <w:tab w:val="clear" w:pos="567"/>
          <w:tab w:val="left" w:pos="851"/>
        </w:tabs>
        <w:spacing w:line="240" w:lineRule="auto"/>
        <w:ind w:left="851" w:right="-2" w:hanging="567"/>
        <w:rPr>
          <w:szCs w:val="22"/>
          <w:lang w:val="lt-LT"/>
        </w:rPr>
      </w:pPr>
      <w:r w:rsidRPr="00900CEC">
        <w:rPr>
          <w:szCs w:val="22"/>
          <w:lang w:val="lt-LT"/>
        </w:rPr>
        <w:t>4.</w:t>
      </w:r>
      <w:r w:rsidRPr="00900CEC">
        <w:rPr>
          <w:szCs w:val="22"/>
          <w:lang w:val="lt-LT"/>
        </w:rPr>
        <w:tab/>
        <w:t xml:space="preserve">Galimas šalutinis poveikis </w:t>
      </w:r>
    </w:p>
    <w:p w14:paraId="7549FA8D" w14:textId="269D2803" w:rsidR="00C57CC5" w:rsidRPr="00900CEC" w:rsidRDefault="00C57CC5" w:rsidP="00C57CC5">
      <w:pPr>
        <w:numPr>
          <w:ilvl w:val="12"/>
          <w:numId w:val="0"/>
        </w:numPr>
        <w:tabs>
          <w:tab w:val="clear" w:pos="567"/>
          <w:tab w:val="left" w:pos="851"/>
        </w:tabs>
        <w:spacing w:line="240" w:lineRule="auto"/>
        <w:ind w:left="851" w:right="-2" w:hanging="567"/>
        <w:rPr>
          <w:szCs w:val="22"/>
          <w:lang w:val="lt-LT"/>
        </w:rPr>
      </w:pPr>
      <w:r w:rsidRPr="00900CEC">
        <w:rPr>
          <w:szCs w:val="22"/>
          <w:lang w:val="lt-LT"/>
        </w:rPr>
        <w:t>5.</w:t>
      </w:r>
      <w:r w:rsidRPr="00900CEC">
        <w:rPr>
          <w:szCs w:val="22"/>
          <w:lang w:val="lt-LT"/>
        </w:rPr>
        <w:tab/>
        <w:t xml:space="preserve">Kaip laikyti </w:t>
      </w:r>
      <w:proofErr w:type="spellStart"/>
      <w:r w:rsidR="006A24B2">
        <w:rPr>
          <w:lang w:val="lt-LT"/>
        </w:rPr>
        <w:t>Paracetamol</w:t>
      </w:r>
      <w:proofErr w:type="spellEnd"/>
      <w:r w:rsidR="006A24B2">
        <w:rPr>
          <w:lang w:val="lt-LT"/>
        </w:rPr>
        <w:t>/</w:t>
      </w:r>
      <w:proofErr w:type="spellStart"/>
      <w:r w:rsidR="006A24B2">
        <w:rPr>
          <w:lang w:val="lt-LT"/>
        </w:rPr>
        <w:t>Ibuprofen</w:t>
      </w:r>
      <w:proofErr w:type="spellEnd"/>
      <w:r w:rsidR="006A24B2">
        <w:rPr>
          <w:lang w:val="lt-LT"/>
        </w:rPr>
        <w:t xml:space="preserve"> AFT </w:t>
      </w:r>
      <w:proofErr w:type="spellStart"/>
      <w:r w:rsidR="006A24B2">
        <w:rPr>
          <w:lang w:val="lt-LT"/>
        </w:rPr>
        <w:t>Pharmaceuticals</w:t>
      </w:r>
      <w:proofErr w:type="spellEnd"/>
    </w:p>
    <w:p w14:paraId="321DD767" w14:textId="77777777" w:rsidR="00C57CC5" w:rsidRPr="00900CEC" w:rsidRDefault="00C57CC5" w:rsidP="00C57CC5">
      <w:pPr>
        <w:numPr>
          <w:ilvl w:val="12"/>
          <w:numId w:val="0"/>
        </w:numPr>
        <w:tabs>
          <w:tab w:val="clear" w:pos="567"/>
          <w:tab w:val="left" w:pos="851"/>
        </w:tabs>
        <w:spacing w:line="240" w:lineRule="auto"/>
        <w:ind w:left="851" w:right="-2" w:hanging="567"/>
        <w:rPr>
          <w:szCs w:val="22"/>
          <w:lang w:val="lt-LT"/>
        </w:rPr>
      </w:pPr>
      <w:r w:rsidRPr="00900CEC">
        <w:rPr>
          <w:szCs w:val="22"/>
          <w:lang w:val="lt-LT"/>
        </w:rPr>
        <w:t>6.</w:t>
      </w:r>
      <w:r w:rsidRPr="00900CEC">
        <w:rPr>
          <w:szCs w:val="22"/>
          <w:lang w:val="lt-LT"/>
        </w:rPr>
        <w:tab/>
        <w:t>Pakuotės turinys ir kita informacija</w:t>
      </w:r>
    </w:p>
    <w:p w14:paraId="3DDD5EB6" w14:textId="77777777" w:rsidR="00C57CC5" w:rsidRPr="00900CEC" w:rsidRDefault="00C57CC5" w:rsidP="00C57CC5">
      <w:pPr>
        <w:numPr>
          <w:ilvl w:val="12"/>
          <w:numId w:val="0"/>
        </w:numPr>
        <w:tabs>
          <w:tab w:val="clear" w:pos="567"/>
        </w:tabs>
        <w:spacing w:line="240" w:lineRule="auto"/>
        <w:ind w:right="-2"/>
        <w:rPr>
          <w:szCs w:val="22"/>
          <w:lang w:val="lt-LT"/>
        </w:rPr>
      </w:pPr>
    </w:p>
    <w:p w14:paraId="70875337" w14:textId="77777777" w:rsidR="00C57CC5" w:rsidRPr="00900CEC" w:rsidRDefault="00C57CC5" w:rsidP="00C57CC5">
      <w:pPr>
        <w:numPr>
          <w:ilvl w:val="12"/>
          <w:numId w:val="0"/>
        </w:numPr>
        <w:tabs>
          <w:tab w:val="clear" w:pos="567"/>
        </w:tabs>
        <w:spacing w:line="240" w:lineRule="auto"/>
        <w:ind w:right="-2"/>
        <w:rPr>
          <w:szCs w:val="22"/>
          <w:lang w:val="lt-LT"/>
        </w:rPr>
      </w:pPr>
    </w:p>
    <w:p w14:paraId="129062CA" w14:textId="177608EE" w:rsidR="00C57CC5" w:rsidRPr="00900CEC" w:rsidRDefault="00C57CC5" w:rsidP="00C57CC5">
      <w:pPr>
        <w:spacing w:line="240" w:lineRule="auto"/>
        <w:ind w:left="567" w:hanging="567"/>
        <w:outlineLvl w:val="0"/>
        <w:rPr>
          <w:b/>
          <w:szCs w:val="22"/>
          <w:lang w:val="lt-LT"/>
        </w:rPr>
      </w:pPr>
      <w:r w:rsidRPr="00900CEC">
        <w:rPr>
          <w:b/>
          <w:szCs w:val="22"/>
          <w:lang w:val="lt-LT"/>
        </w:rPr>
        <w:t>1.</w:t>
      </w:r>
      <w:r w:rsidRPr="00900CEC">
        <w:rPr>
          <w:b/>
          <w:szCs w:val="22"/>
          <w:lang w:val="lt-LT"/>
        </w:rPr>
        <w:tab/>
        <w:t xml:space="preserve">Kas yra </w:t>
      </w:r>
      <w:proofErr w:type="spellStart"/>
      <w:r w:rsidR="006A24B2">
        <w:rPr>
          <w:b/>
          <w:lang w:val="lt-LT"/>
        </w:rPr>
        <w:t>Paracetamol</w:t>
      </w:r>
      <w:proofErr w:type="spellEnd"/>
      <w:r w:rsidR="006A24B2">
        <w:rPr>
          <w:b/>
          <w:lang w:val="lt-LT"/>
        </w:rPr>
        <w:t>/</w:t>
      </w:r>
      <w:proofErr w:type="spellStart"/>
      <w:r w:rsidR="006A24B2">
        <w:rPr>
          <w:b/>
          <w:lang w:val="lt-LT"/>
        </w:rPr>
        <w:t>Ibuprofen</w:t>
      </w:r>
      <w:proofErr w:type="spellEnd"/>
      <w:r w:rsidR="006A24B2">
        <w:rPr>
          <w:b/>
          <w:lang w:val="lt-LT"/>
        </w:rPr>
        <w:t xml:space="preserve"> AFT </w:t>
      </w:r>
      <w:proofErr w:type="spellStart"/>
      <w:r w:rsidR="006A24B2">
        <w:rPr>
          <w:b/>
          <w:lang w:val="lt-LT"/>
        </w:rPr>
        <w:t>Pharmaceuticals</w:t>
      </w:r>
      <w:proofErr w:type="spellEnd"/>
      <w:r w:rsidRPr="00900CEC">
        <w:rPr>
          <w:lang w:val="lt-LT"/>
        </w:rPr>
        <w:t xml:space="preserve"> </w:t>
      </w:r>
      <w:r w:rsidRPr="00900CEC">
        <w:rPr>
          <w:b/>
          <w:szCs w:val="22"/>
          <w:lang w:val="lt-LT"/>
        </w:rPr>
        <w:t>ir kam j</w:t>
      </w:r>
      <w:r>
        <w:rPr>
          <w:b/>
          <w:szCs w:val="22"/>
          <w:lang w:val="lt-LT"/>
        </w:rPr>
        <w:t>i</w:t>
      </w:r>
      <w:r w:rsidRPr="00900CEC">
        <w:rPr>
          <w:b/>
          <w:szCs w:val="22"/>
          <w:lang w:val="lt-LT"/>
        </w:rPr>
        <w:t>s vartojam</w:t>
      </w:r>
      <w:r>
        <w:rPr>
          <w:b/>
          <w:szCs w:val="22"/>
          <w:lang w:val="lt-LT"/>
        </w:rPr>
        <w:t>a</w:t>
      </w:r>
      <w:r w:rsidRPr="00900CEC">
        <w:rPr>
          <w:b/>
          <w:szCs w:val="22"/>
          <w:lang w:val="lt-LT"/>
        </w:rPr>
        <w:t>s</w:t>
      </w:r>
    </w:p>
    <w:p w14:paraId="482A91F6" w14:textId="77777777" w:rsidR="00C57CC5" w:rsidRPr="00900CEC" w:rsidRDefault="00C57CC5" w:rsidP="00C57CC5">
      <w:pPr>
        <w:spacing w:line="240" w:lineRule="auto"/>
        <w:rPr>
          <w:szCs w:val="22"/>
          <w:lang w:val="lt-LT"/>
        </w:rPr>
      </w:pPr>
    </w:p>
    <w:p w14:paraId="242E5526" w14:textId="26415154" w:rsidR="00C57CC5" w:rsidRPr="00900CEC" w:rsidRDefault="006A24B2" w:rsidP="00C57CC5">
      <w:pPr>
        <w:spacing w:line="240" w:lineRule="auto"/>
        <w:rPr>
          <w:szCs w:val="22"/>
          <w:lang w:val="lt-LT"/>
        </w:rPr>
      </w:pPr>
      <w:proofErr w:type="spellStart"/>
      <w:r>
        <w:rPr>
          <w:szCs w:val="22"/>
          <w:lang w:val="lt-LT"/>
        </w:rPr>
        <w:t>Paracetamol</w:t>
      </w:r>
      <w:proofErr w:type="spellEnd"/>
      <w:r>
        <w:rPr>
          <w:szCs w:val="22"/>
          <w:lang w:val="lt-LT"/>
        </w:rPr>
        <w:t>/</w:t>
      </w:r>
      <w:proofErr w:type="spellStart"/>
      <w:r>
        <w:rPr>
          <w:szCs w:val="22"/>
          <w:lang w:val="lt-LT"/>
        </w:rPr>
        <w:t>Ibuprofen</w:t>
      </w:r>
      <w:proofErr w:type="spellEnd"/>
      <w:r>
        <w:rPr>
          <w:szCs w:val="22"/>
          <w:lang w:val="lt-LT"/>
        </w:rPr>
        <w:t xml:space="preserve"> AFT </w:t>
      </w:r>
      <w:proofErr w:type="spellStart"/>
      <w:r>
        <w:rPr>
          <w:szCs w:val="22"/>
          <w:lang w:val="lt-LT"/>
        </w:rPr>
        <w:t>Pharmaceuticals</w:t>
      </w:r>
      <w:proofErr w:type="spellEnd"/>
      <w:r w:rsidR="00C57CC5" w:rsidRPr="00900CEC">
        <w:rPr>
          <w:szCs w:val="22"/>
          <w:lang w:val="lt-LT"/>
        </w:rPr>
        <w:t xml:space="preserve"> sudėtyje yra veikliųjų medžiagų paracetamolio ir ibuprofeno. Ibuprofenas priklauso vaistų, vadinamų nesteroidiniais vaistais nuo uždegimo (arba NVNU), grupei. Paracetamolis veikia skirtingai nei ibuprofenas, bet abi medžiagos veikia kartu, kad numalšintų skausmą.</w:t>
      </w:r>
    </w:p>
    <w:p w14:paraId="208550EC" w14:textId="77777777" w:rsidR="00C57CC5" w:rsidRPr="00900CEC" w:rsidRDefault="00C57CC5" w:rsidP="00C57CC5">
      <w:pPr>
        <w:spacing w:line="240" w:lineRule="auto"/>
        <w:rPr>
          <w:szCs w:val="22"/>
          <w:lang w:val="lt-LT"/>
        </w:rPr>
      </w:pPr>
    </w:p>
    <w:p w14:paraId="357E3777" w14:textId="32D9C634" w:rsidR="00C57CC5" w:rsidRPr="00900CEC" w:rsidRDefault="006A24B2" w:rsidP="00C57CC5">
      <w:pPr>
        <w:spacing w:line="240" w:lineRule="auto"/>
        <w:rPr>
          <w:lang w:val="lt-LT"/>
        </w:rPr>
      </w:pPr>
      <w:proofErr w:type="spellStart"/>
      <w:r>
        <w:rPr>
          <w:lang w:val="lt-LT"/>
        </w:rPr>
        <w:t>Paracetamol</w:t>
      </w:r>
      <w:proofErr w:type="spellEnd"/>
      <w:r>
        <w:rPr>
          <w:lang w:val="lt-LT"/>
        </w:rPr>
        <w:t>/</w:t>
      </w:r>
      <w:proofErr w:type="spellStart"/>
      <w:r>
        <w:rPr>
          <w:lang w:val="lt-LT"/>
        </w:rPr>
        <w:t>Ibuprofen</w:t>
      </w:r>
      <w:proofErr w:type="spellEnd"/>
      <w:r>
        <w:rPr>
          <w:lang w:val="lt-LT"/>
        </w:rPr>
        <w:t xml:space="preserve"> AFT </w:t>
      </w:r>
      <w:proofErr w:type="spellStart"/>
      <w:r>
        <w:rPr>
          <w:lang w:val="lt-LT"/>
        </w:rPr>
        <w:t>Pharmaceuticals</w:t>
      </w:r>
      <w:proofErr w:type="spellEnd"/>
      <w:r w:rsidR="00C57CC5" w:rsidRPr="00900CEC">
        <w:rPr>
          <w:lang w:val="lt-LT"/>
        </w:rPr>
        <w:t xml:space="preserve"> skirtas suaugusiesiems </w:t>
      </w:r>
      <w:r w:rsidR="00C57CC5">
        <w:rPr>
          <w:lang w:val="lt-LT"/>
        </w:rPr>
        <w:t>ūminio</w:t>
      </w:r>
      <w:r w:rsidR="00C57CC5" w:rsidRPr="00900CEC">
        <w:rPr>
          <w:lang w:val="lt-LT"/>
        </w:rPr>
        <w:t xml:space="preserve"> vidutinio stiprumo skausmo trumpalaikiam simptominiam gydymui, kai kliniškai būtinas leidimas į veną ir (arba) kai </w:t>
      </w:r>
      <w:r w:rsidR="00C57CC5">
        <w:rPr>
          <w:lang w:val="lt-LT"/>
        </w:rPr>
        <w:t>kitoks vartojimo būdas negalimas</w:t>
      </w:r>
      <w:r w:rsidR="00C57CC5" w:rsidRPr="00900CEC">
        <w:rPr>
          <w:lang w:val="lt-LT"/>
        </w:rPr>
        <w:t>.</w:t>
      </w:r>
    </w:p>
    <w:p w14:paraId="46229FE1" w14:textId="77777777" w:rsidR="00C57CC5" w:rsidRPr="00900CEC" w:rsidRDefault="00C57CC5" w:rsidP="00C57CC5">
      <w:pPr>
        <w:spacing w:line="240" w:lineRule="auto"/>
        <w:rPr>
          <w:szCs w:val="22"/>
          <w:lang w:val="lt-LT"/>
        </w:rPr>
      </w:pPr>
    </w:p>
    <w:p w14:paraId="395C57CD" w14:textId="77777777" w:rsidR="00C57CC5" w:rsidRPr="00900CEC" w:rsidRDefault="00C57CC5" w:rsidP="00C57CC5">
      <w:pPr>
        <w:numPr>
          <w:ilvl w:val="12"/>
          <w:numId w:val="0"/>
        </w:numPr>
        <w:tabs>
          <w:tab w:val="clear" w:pos="567"/>
        </w:tabs>
        <w:spacing w:line="240" w:lineRule="auto"/>
        <w:ind w:right="-2"/>
        <w:rPr>
          <w:szCs w:val="22"/>
          <w:lang w:val="lt-LT"/>
        </w:rPr>
      </w:pPr>
    </w:p>
    <w:p w14:paraId="26A11DE1" w14:textId="679585B1" w:rsidR="00C57CC5" w:rsidRPr="00900CEC" w:rsidRDefault="00C57CC5" w:rsidP="00C57CC5">
      <w:pPr>
        <w:spacing w:line="240" w:lineRule="auto"/>
        <w:ind w:left="567" w:hanging="567"/>
        <w:outlineLvl w:val="0"/>
        <w:rPr>
          <w:b/>
          <w:szCs w:val="22"/>
          <w:lang w:val="lt-LT"/>
        </w:rPr>
      </w:pPr>
      <w:r w:rsidRPr="00900CEC">
        <w:rPr>
          <w:b/>
          <w:szCs w:val="22"/>
          <w:lang w:val="lt-LT"/>
        </w:rPr>
        <w:t>2.</w:t>
      </w:r>
      <w:r w:rsidRPr="00900CEC">
        <w:rPr>
          <w:b/>
          <w:szCs w:val="22"/>
          <w:lang w:val="lt-LT"/>
        </w:rPr>
        <w:tab/>
        <w:t xml:space="preserve">Kas žinotina prieš vartojant </w:t>
      </w:r>
      <w:proofErr w:type="spellStart"/>
      <w:r w:rsidR="006A24B2">
        <w:rPr>
          <w:b/>
          <w:bCs/>
          <w:szCs w:val="22"/>
          <w:lang w:val="lt-LT"/>
        </w:rPr>
        <w:t>Paracetamol</w:t>
      </w:r>
      <w:proofErr w:type="spellEnd"/>
      <w:r w:rsidR="006A24B2">
        <w:rPr>
          <w:b/>
          <w:bCs/>
          <w:szCs w:val="22"/>
          <w:lang w:val="lt-LT"/>
        </w:rPr>
        <w:t>/</w:t>
      </w:r>
      <w:proofErr w:type="spellStart"/>
      <w:r w:rsidR="006A24B2">
        <w:rPr>
          <w:b/>
          <w:bCs/>
          <w:szCs w:val="22"/>
          <w:lang w:val="lt-LT"/>
        </w:rPr>
        <w:t>Ibuprofen</w:t>
      </w:r>
      <w:proofErr w:type="spellEnd"/>
      <w:r w:rsidR="006A24B2">
        <w:rPr>
          <w:b/>
          <w:bCs/>
          <w:szCs w:val="22"/>
          <w:lang w:val="lt-LT"/>
        </w:rPr>
        <w:t xml:space="preserve"> AFT </w:t>
      </w:r>
      <w:proofErr w:type="spellStart"/>
      <w:r w:rsidR="006A24B2">
        <w:rPr>
          <w:b/>
          <w:bCs/>
          <w:szCs w:val="22"/>
          <w:lang w:val="lt-LT"/>
        </w:rPr>
        <w:t>Pharmaceuticals</w:t>
      </w:r>
      <w:proofErr w:type="spellEnd"/>
    </w:p>
    <w:p w14:paraId="0E040261" w14:textId="77777777" w:rsidR="00C57CC5" w:rsidRPr="00900CEC" w:rsidRDefault="00C57CC5" w:rsidP="00C57CC5">
      <w:pPr>
        <w:numPr>
          <w:ilvl w:val="12"/>
          <w:numId w:val="0"/>
        </w:numPr>
        <w:tabs>
          <w:tab w:val="clear" w:pos="567"/>
        </w:tabs>
        <w:spacing w:line="240" w:lineRule="auto"/>
        <w:ind w:right="-2"/>
        <w:rPr>
          <w:szCs w:val="22"/>
          <w:lang w:val="lt-LT"/>
        </w:rPr>
      </w:pPr>
    </w:p>
    <w:p w14:paraId="4ADBFB36" w14:textId="6E36B81B" w:rsidR="00C57CC5" w:rsidRPr="00900CEC" w:rsidRDefault="006A24B2" w:rsidP="00C57CC5">
      <w:pPr>
        <w:pStyle w:val="Antrat2"/>
        <w:spacing w:before="0" w:after="0" w:line="240" w:lineRule="auto"/>
        <w:rPr>
          <w:rFonts w:ascii="Times New Roman" w:hAnsi="Times New Roman"/>
          <w:i w:val="0"/>
          <w:sz w:val="22"/>
          <w:szCs w:val="22"/>
          <w:lang w:val="lt-LT"/>
        </w:rPr>
      </w:pPr>
      <w:proofErr w:type="spellStart"/>
      <w:r>
        <w:rPr>
          <w:rFonts w:ascii="Times New Roman" w:hAnsi="Times New Roman"/>
          <w:i w:val="0"/>
          <w:sz w:val="22"/>
          <w:szCs w:val="22"/>
          <w:lang w:val="lt-LT"/>
        </w:rPr>
        <w:t>Paracetamol</w:t>
      </w:r>
      <w:proofErr w:type="spellEnd"/>
      <w:r>
        <w:rPr>
          <w:rFonts w:ascii="Times New Roman" w:hAnsi="Times New Roman"/>
          <w:i w:val="0"/>
          <w:sz w:val="22"/>
          <w:szCs w:val="22"/>
          <w:lang w:val="lt-LT"/>
        </w:rPr>
        <w:t>/</w:t>
      </w:r>
      <w:proofErr w:type="spellStart"/>
      <w:r>
        <w:rPr>
          <w:rFonts w:ascii="Times New Roman" w:hAnsi="Times New Roman"/>
          <w:i w:val="0"/>
          <w:sz w:val="22"/>
          <w:szCs w:val="22"/>
          <w:lang w:val="lt-LT"/>
        </w:rPr>
        <w:t>Ibuprofen</w:t>
      </w:r>
      <w:proofErr w:type="spellEnd"/>
      <w:r>
        <w:rPr>
          <w:rFonts w:ascii="Times New Roman" w:hAnsi="Times New Roman"/>
          <w:i w:val="0"/>
          <w:sz w:val="22"/>
          <w:szCs w:val="22"/>
          <w:lang w:val="lt-LT"/>
        </w:rPr>
        <w:t xml:space="preserve"> AFT </w:t>
      </w:r>
      <w:proofErr w:type="spellStart"/>
      <w:r>
        <w:rPr>
          <w:rFonts w:ascii="Times New Roman" w:hAnsi="Times New Roman"/>
          <w:i w:val="0"/>
          <w:sz w:val="22"/>
          <w:szCs w:val="22"/>
          <w:lang w:val="lt-LT"/>
        </w:rPr>
        <w:t>Pharmaceuticals</w:t>
      </w:r>
      <w:proofErr w:type="spellEnd"/>
      <w:r w:rsidR="00C57CC5" w:rsidRPr="00900CEC">
        <w:rPr>
          <w:rFonts w:ascii="Times New Roman" w:hAnsi="Times New Roman"/>
          <w:i w:val="0"/>
          <w:sz w:val="22"/>
          <w:szCs w:val="22"/>
          <w:lang w:val="lt-LT"/>
        </w:rPr>
        <w:t xml:space="preserve"> vartoti </w:t>
      </w:r>
      <w:r w:rsidR="00C57CC5">
        <w:rPr>
          <w:rFonts w:ascii="Times New Roman" w:hAnsi="Times New Roman"/>
          <w:i w:val="0"/>
          <w:sz w:val="22"/>
          <w:szCs w:val="22"/>
          <w:lang w:val="lt-LT"/>
        </w:rPr>
        <w:t>draudžiama</w:t>
      </w:r>
      <w:r w:rsidR="00C57CC5" w:rsidRPr="00900CEC">
        <w:rPr>
          <w:rFonts w:ascii="Times New Roman" w:hAnsi="Times New Roman"/>
          <w:i w:val="0"/>
          <w:sz w:val="22"/>
          <w:szCs w:val="22"/>
          <w:lang w:val="lt-LT"/>
        </w:rPr>
        <w:t>:</w:t>
      </w:r>
    </w:p>
    <w:p w14:paraId="74411464" w14:textId="4441D7B9"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jeigu yra alergija veikliosioms medžiagoms, kitiems NVNU arba bet kuriai pagalbinei šio vaisto medžiagai (jos išvardytos 6</w:t>
      </w:r>
      <w:r w:rsidR="00EA16D0">
        <w:rPr>
          <w:szCs w:val="22"/>
          <w:lang w:val="lt-LT" w:eastAsia="en-IE"/>
        </w:rPr>
        <w:t> </w:t>
      </w:r>
      <w:r w:rsidRPr="00900CEC">
        <w:rPr>
          <w:szCs w:val="22"/>
          <w:lang w:val="lt-LT" w:eastAsia="en-IE"/>
        </w:rPr>
        <w:t>skyriuje);</w:t>
      </w:r>
    </w:p>
    <w:p w14:paraId="7FB82EFE"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jeigu Jūs sergate sunkiu širdies nepakankamumu, kepenų nepakankamumu arba inkstų nepakankamumu;</w:t>
      </w:r>
    </w:p>
    <w:p w14:paraId="57EFD16A"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jeigu Jūs reguliariai vartojate daug alkoholio;</w:t>
      </w:r>
    </w:p>
    <w:p w14:paraId="2641B530"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jeigu pavartojus acetilsalicilo rūgšties arba kito NVNU Jus buvo ištikęs astmos priepuolis, pasireiškusi dilgėlinė arba alerginė reakcija;</w:t>
      </w:r>
    </w:p>
    <w:p w14:paraId="41D0B892"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jeigu anksčiau Jums yra buvęs kraujavimas virškinimo trakte arba jo prakiurimas vartojant NVNU;</w:t>
      </w:r>
    </w:p>
    <w:p w14:paraId="7F459379"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 xml:space="preserve">jeigu Jūs sergate aktyvia arba atsinaujinančia </w:t>
      </w:r>
      <w:proofErr w:type="spellStart"/>
      <w:r w:rsidRPr="00900CEC">
        <w:rPr>
          <w:szCs w:val="22"/>
          <w:lang w:val="lt-LT" w:eastAsia="en-IE"/>
        </w:rPr>
        <w:t>peptine</w:t>
      </w:r>
      <w:proofErr w:type="spellEnd"/>
      <w:r w:rsidRPr="00900CEC">
        <w:rPr>
          <w:szCs w:val="22"/>
          <w:lang w:val="lt-LT" w:eastAsia="en-IE"/>
        </w:rPr>
        <w:t xml:space="preserve"> (t. y. skrandžio arba dvylikapirštės žarnos) opa arba vyksta kraujavimas (yra buvę bent du atskiri įrodyto išopėjimo arba kraujavimo epizodai); </w:t>
      </w:r>
    </w:p>
    <w:p w14:paraId="2B379261"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jeigu Jūsų organizme vyksta kraujavimas į smegenis arba kitoks aktyvus kraujavimas;</w:t>
      </w:r>
    </w:p>
    <w:p w14:paraId="0DF74BD0"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jeigu Jums yra kraujo krešėjimo sutrikimų ar padidėjęs polinkis kraujuoti;</w:t>
      </w:r>
    </w:p>
    <w:p w14:paraId="6324235B"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jeigu Jums yra sunki dehidratacija (sukelta vėmimo, viduriavimo ar nepakankamo skysčių vartojimo);</w:t>
      </w:r>
    </w:p>
    <w:p w14:paraId="7C6D4E1F"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paskutinius tris nėštumo mėnesius;</w:t>
      </w:r>
    </w:p>
    <w:p w14:paraId="085AE2F7"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lastRenderedPageBreak/>
        <w:t>jaunesniems kaip 18 metų asmenims.</w:t>
      </w:r>
    </w:p>
    <w:p w14:paraId="21C1E032" w14:textId="77777777" w:rsidR="00C57CC5" w:rsidRPr="00900CEC" w:rsidRDefault="00C57CC5" w:rsidP="00C57CC5">
      <w:pPr>
        <w:numPr>
          <w:ilvl w:val="12"/>
          <w:numId w:val="0"/>
        </w:numPr>
        <w:tabs>
          <w:tab w:val="clear" w:pos="567"/>
        </w:tabs>
        <w:spacing w:line="240" w:lineRule="auto"/>
        <w:ind w:right="-2"/>
        <w:rPr>
          <w:szCs w:val="22"/>
          <w:lang w:val="lt-LT"/>
        </w:rPr>
      </w:pPr>
    </w:p>
    <w:p w14:paraId="25C29610" w14:textId="77777777" w:rsidR="00C57CC5" w:rsidRPr="00900CEC" w:rsidRDefault="00C57CC5" w:rsidP="00C57CC5">
      <w:pPr>
        <w:pStyle w:val="Antrat2"/>
        <w:spacing w:before="0" w:after="0" w:line="240" w:lineRule="auto"/>
        <w:rPr>
          <w:rFonts w:ascii="Times New Roman" w:hAnsi="Times New Roman"/>
          <w:i w:val="0"/>
          <w:sz w:val="22"/>
          <w:szCs w:val="22"/>
          <w:lang w:val="lt-LT"/>
        </w:rPr>
      </w:pPr>
      <w:r w:rsidRPr="00900CEC">
        <w:rPr>
          <w:rFonts w:ascii="Times New Roman" w:hAnsi="Times New Roman"/>
          <w:i w:val="0"/>
          <w:sz w:val="22"/>
          <w:szCs w:val="22"/>
          <w:lang w:val="lt-LT"/>
        </w:rPr>
        <w:t xml:space="preserve">Įspėjimai ir atsargumo priemonės </w:t>
      </w:r>
    </w:p>
    <w:p w14:paraId="3503AA9F" w14:textId="77777777" w:rsidR="00C57CC5" w:rsidRPr="00900CEC" w:rsidRDefault="00C57CC5" w:rsidP="00C57CC5">
      <w:pPr>
        <w:tabs>
          <w:tab w:val="clear" w:pos="567"/>
        </w:tabs>
        <w:spacing w:line="240" w:lineRule="auto"/>
        <w:rPr>
          <w:szCs w:val="22"/>
          <w:u w:val="single"/>
          <w:lang w:val="lt-LT"/>
        </w:rPr>
      </w:pPr>
      <w:r w:rsidRPr="00900CEC">
        <w:rPr>
          <w:szCs w:val="22"/>
          <w:u w:val="single"/>
          <w:lang w:val="lt-LT"/>
        </w:rPr>
        <w:t>Kad neperdozuotumėte šio vaisto,</w:t>
      </w:r>
    </w:p>
    <w:p w14:paraId="68B56230" w14:textId="77777777" w:rsidR="00C57CC5" w:rsidRPr="00900CEC" w:rsidRDefault="00C57CC5" w:rsidP="00C57CC5">
      <w:pPr>
        <w:numPr>
          <w:ilvl w:val="0"/>
          <w:numId w:val="30"/>
        </w:numPr>
        <w:tabs>
          <w:tab w:val="clear" w:pos="567"/>
        </w:tabs>
        <w:suppressAutoHyphens/>
        <w:spacing w:line="240" w:lineRule="auto"/>
        <w:ind w:left="567" w:hanging="567"/>
        <w:rPr>
          <w:szCs w:val="22"/>
          <w:lang w:val="lt-LT"/>
        </w:rPr>
      </w:pPr>
      <w:r w:rsidRPr="00900CEC">
        <w:rPr>
          <w:szCs w:val="22"/>
          <w:lang w:val="lt-LT"/>
        </w:rPr>
        <w:t>patikrinkite, ar kitų Jūsų vartojamų vaistų sudėtyje nėra paracetamolio;</w:t>
      </w:r>
    </w:p>
    <w:p w14:paraId="1184AFC5" w14:textId="2CFDAE0C" w:rsidR="00C57CC5" w:rsidRPr="00900CEC" w:rsidRDefault="00C57CC5" w:rsidP="00C57CC5">
      <w:pPr>
        <w:numPr>
          <w:ilvl w:val="0"/>
          <w:numId w:val="30"/>
        </w:numPr>
        <w:tabs>
          <w:tab w:val="clear" w:pos="567"/>
        </w:tabs>
        <w:suppressAutoHyphens/>
        <w:spacing w:line="240" w:lineRule="auto"/>
        <w:ind w:left="567" w:hanging="567"/>
        <w:rPr>
          <w:szCs w:val="22"/>
          <w:lang w:val="lt-LT"/>
        </w:rPr>
      </w:pPr>
      <w:r w:rsidRPr="00900CEC">
        <w:rPr>
          <w:szCs w:val="22"/>
          <w:lang w:val="lt-LT"/>
        </w:rPr>
        <w:t>neviršykite didžiausių rekomenduojamų dozių (žr. 3</w:t>
      </w:r>
      <w:r w:rsidR="00EA16D0">
        <w:rPr>
          <w:szCs w:val="22"/>
          <w:lang w:val="lt-LT"/>
        </w:rPr>
        <w:t> </w:t>
      </w:r>
      <w:r w:rsidRPr="00900CEC">
        <w:rPr>
          <w:szCs w:val="22"/>
          <w:lang w:val="lt-LT"/>
        </w:rPr>
        <w:t>skyrių).</w:t>
      </w:r>
    </w:p>
    <w:p w14:paraId="2A57D45C" w14:textId="77777777" w:rsidR="00C57CC5" w:rsidRPr="00900CEC" w:rsidRDefault="00C57CC5" w:rsidP="00C57CC5">
      <w:pPr>
        <w:numPr>
          <w:ilvl w:val="12"/>
          <w:numId w:val="0"/>
        </w:numPr>
        <w:tabs>
          <w:tab w:val="clear" w:pos="567"/>
        </w:tabs>
        <w:spacing w:line="240" w:lineRule="auto"/>
        <w:ind w:right="-2"/>
        <w:rPr>
          <w:szCs w:val="22"/>
          <w:lang w:val="lt-LT"/>
        </w:rPr>
      </w:pPr>
    </w:p>
    <w:p w14:paraId="067AA551" w14:textId="0975104D" w:rsidR="00C57CC5" w:rsidRDefault="00C57CC5" w:rsidP="00C57CC5">
      <w:pPr>
        <w:numPr>
          <w:ilvl w:val="12"/>
          <w:numId w:val="0"/>
        </w:numPr>
        <w:tabs>
          <w:tab w:val="clear" w:pos="567"/>
        </w:tabs>
        <w:spacing w:line="240" w:lineRule="auto"/>
        <w:ind w:right="-2"/>
        <w:rPr>
          <w:szCs w:val="22"/>
          <w:lang w:val="lt-LT"/>
        </w:rPr>
      </w:pPr>
      <w:r w:rsidRPr="00900CEC">
        <w:rPr>
          <w:szCs w:val="22"/>
          <w:lang w:val="lt-LT"/>
        </w:rPr>
        <w:t xml:space="preserve">Šalutinis poveikis gali būti sumažintas vartojant mažiausią veiksmingą dozę trumpiausią laiką, reikalingą simptomams malšinti. Nevartokite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Pr="00900CEC">
        <w:rPr>
          <w:szCs w:val="22"/>
          <w:lang w:val="lt-LT"/>
        </w:rPr>
        <w:t xml:space="preserve"> ilgiau kaip 2</w:t>
      </w:r>
      <w:r w:rsidR="00EA16D0">
        <w:rPr>
          <w:szCs w:val="22"/>
          <w:lang w:val="lt-LT"/>
        </w:rPr>
        <w:t> </w:t>
      </w:r>
      <w:r w:rsidRPr="00900CEC">
        <w:rPr>
          <w:szCs w:val="22"/>
          <w:lang w:val="lt-LT"/>
        </w:rPr>
        <w:t>dienas.</w:t>
      </w:r>
    </w:p>
    <w:p w14:paraId="2A24CA60" w14:textId="77777777" w:rsidR="00C57CC5" w:rsidRPr="00900CEC" w:rsidRDefault="00C57CC5" w:rsidP="00C57CC5">
      <w:pPr>
        <w:numPr>
          <w:ilvl w:val="12"/>
          <w:numId w:val="0"/>
        </w:numPr>
        <w:tabs>
          <w:tab w:val="clear" w:pos="567"/>
        </w:tabs>
        <w:spacing w:line="240" w:lineRule="auto"/>
        <w:ind w:right="-2"/>
        <w:rPr>
          <w:szCs w:val="22"/>
          <w:lang w:val="lt-LT"/>
        </w:rPr>
      </w:pPr>
    </w:p>
    <w:p w14:paraId="60749652" w14:textId="6AFF01D5" w:rsidR="00C57CC5" w:rsidRDefault="00C57CC5" w:rsidP="00C57CC5">
      <w:pPr>
        <w:numPr>
          <w:ilvl w:val="12"/>
          <w:numId w:val="0"/>
        </w:numPr>
        <w:tabs>
          <w:tab w:val="clear" w:pos="567"/>
        </w:tabs>
        <w:spacing w:line="240" w:lineRule="auto"/>
        <w:ind w:right="-2"/>
        <w:rPr>
          <w:szCs w:val="22"/>
          <w:lang w:val="lt-LT"/>
        </w:rPr>
      </w:pPr>
      <w:r w:rsidRPr="00F84741">
        <w:rPr>
          <w:szCs w:val="22"/>
          <w:lang w:val="lt-LT"/>
        </w:rPr>
        <w:t xml:space="preserve">Gydymo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Pr="00F84741">
        <w:rPr>
          <w:szCs w:val="22"/>
          <w:lang w:val="lt-LT"/>
        </w:rPr>
        <w:t xml:space="preserve"> laikotarpiu nedelsdami pasakykite gydytojui, </w:t>
      </w:r>
      <w:r w:rsidRPr="00374473">
        <w:rPr>
          <w:szCs w:val="22"/>
          <w:lang w:val="lt-LT"/>
        </w:rPr>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374473">
        <w:rPr>
          <w:szCs w:val="22"/>
          <w:lang w:val="lt-LT"/>
        </w:rPr>
        <w:t>flukloksaciliną</w:t>
      </w:r>
      <w:proofErr w:type="spellEnd"/>
      <w:r w:rsidRPr="00374473">
        <w:rPr>
          <w:szCs w:val="22"/>
          <w:lang w:val="lt-LT"/>
        </w:rPr>
        <w:t xml:space="preserve"> (antibiotiką). Gauta pranešimų apie sunkų sveikatos sutrikimą, vadinamą metaboline acidoze (nenormalių kraujo ir skysčių tyrimų rodiklių), pasireiškusį pacientams, vartojantiems paracetamolį įprastinėmis dozėmis ilgą laiką arba kai </w:t>
      </w:r>
      <w:proofErr w:type="spellStart"/>
      <w:r w:rsidRPr="00374473">
        <w:rPr>
          <w:szCs w:val="22"/>
          <w:lang w:val="lt-LT"/>
        </w:rPr>
        <w:t>paracetamolis</w:t>
      </w:r>
      <w:proofErr w:type="spellEnd"/>
      <w:r w:rsidRPr="00374473">
        <w:rPr>
          <w:szCs w:val="22"/>
          <w:lang w:val="lt-LT"/>
        </w:rPr>
        <w:t xml:space="preserve"> vartojamas kartu su </w:t>
      </w:r>
      <w:proofErr w:type="spellStart"/>
      <w:r w:rsidRPr="00374473">
        <w:rPr>
          <w:szCs w:val="22"/>
          <w:lang w:val="lt-LT"/>
        </w:rPr>
        <w:t>flukloksacilinu</w:t>
      </w:r>
      <w:proofErr w:type="spellEnd"/>
      <w:r w:rsidRPr="00374473">
        <w:rPr>
          <w:szCs w:val="22"/>
          <w:lang w:val="lt-LT"/>
        </w:rPr>
        <w:t xml:space="preserve">. </w:t>
      </w:r>
      <w:proofErr w:type="spellStart"/>
      <w:r w:rsidRPr="00374473">
        <w:rPr>
          <w:szCs w:val="22"/>
          <w:lang w:val="lt-LT"/>
        </w:rPr>
        <w:t>Metabolinės</w:t>
      </w:r>
      <w:proofErr w:type="spellEnd"/>
      <w:r w:rsidRPr="00374473">
        <w:rPr>
          <w:szCs w:val="22"/>
          <w:lang w:val="lt-LT"/>
        </w:rPr>
        <w:t xml:space="preserve"> </w:t>
      </w:r>
      <w:proofErr w:type="spellStart"/>
      <w:r w:rsidRPr="00374473">
        <w:rPr>
          <w:szCs w:val="22"/>
          <w:lang w:val="lt-LT"/>
        </w:rPr>
        <w:t>acidozės</w:t>
      </w:r>
      <w:proofErr w:type="spellEnd"/>
      <w:r w:rsidRPr="00374473">
        <w:rPr>
          <w:szCs w:val="22"/>
          <w:lang w:val="lt-LT"/>
        </w:rPr>
        <w:t xml:space="preserve"> simptomai gali būti šie: labai pasunkėjęs kvėpavimas – pagreitėjęs kvėpavimas, mieguistumas, pykinimas ir vėmimas.</w:t>
      </w:r>
    </w:p>
    <w:p w14:paraId="73B7B2A2" w14:textId="77777777" w:rsidR="00C57CC5" w:rsidRPr="00900CEC" w:rsidRDefault="00C57CC5" w:rsidP="00C57CC5">
      <w:pPr>
        <w:numPr>
          <w:ilvl w:val="12"/>
          <w:numId w:val="0"/>
        </w:numPr>
        <w:tabs>
          <w:tab w:val="clear" w:pos="567"/>
        </w:tabs>
        <w:spacing w:line="240" w:lineRule="auto"/>
        <w:ind w:right="-2"/>
        <w:rPr>
          <w:szCs w:val="22"/>
          <w:lang w:val="lt-LT"/>
        </w:rPr>
      </w:pPr>
    </w:p>
    <w:p w14:paraId="694CF1CD" w14:textId="53F63A7E" w:rsidR="00C57CC5" w:rsidRPr="00900CEC" w:rsidRDefault="00C57CC5" w:rsidP="00C57CC5">
      <w:pPr>
        <w:numPr>
          <w:ilvl w:val="12"/>
          <w:numId w:val="0"/>
        </w:numPr>
        <w:tabs>
          <w:tab w:val="clear" w:pos="567"/>
        </w:tabs>
        <w:spacing w:line="240" w:lineRule="auto"/>
        <w:ind w:right="-2"/>
        <w:rPr>
          <w:lang w:val="lt-LT"/>
        </w:rPr>
      </w:pPr>
      <w:r w:rsidRPr="00900CEC">
        <w:rPr>
          <w:szCs w:val="22"/>
          <w:lang w:val="lt-LT"/>
        </w:rPr>
        <w:t>Pasitarkite su gydytoju arba slaugytoj</w:t>
      </w:r>
      <w:r>
        <w:rPr>
          <w:szCs w:val="22"/>
          <w:lang w:val="lt-LT"/>
        </w:rPr>
        <w:t>u</w:t>
      </w:r>
      <w:r w:rsidRPr="00900CEC">
        <w:rPr>
          <w:szCs w:val="22"/>
          <w:lang w:val="lt-LT"/>
        </w:rPr>
        <w:t xml:space="preserve">, prieš Jums skiriant </w:t>
      </w:r>
      <w:proofErr w:type="spellStart"/>
      <w:r w:rsidR="006A24B2">
        <w:rPr>
          <w:lang w:val="lt-LT"/>
        </w:rPr>
        <w:t>Paracetamol</w:t>
      </w:r>
      <w:proofErr w:type="spellEnd"/>
      <w:r w:rsidR="006A24B2">
        <w:rPr>
          <w:lang w:val="lt-LT"/>
        </w:rPr>
        <w:t>/</w:t>
      </w:r>
      <w:proofErr w:type="spellStart"/>
      <w:r w:rsidR="006A24B2">
        <w:rPr>
          <w:lang w:val="lt-LT"/>
        </w:rPr>
        <w:t>Ibuprofen</w:t>
      </w:r>
      <w:proofErr w:type="spellEnd"/>
      <w:r w:rsidR="006A24B2">
        <w:rPr>
          <w:lang w:val="lt-LT"/>
        </w:rPr>
        <w:t xml:space="preserve"> AFT </w:t>
      </w:r>
      <w:proofErr w:type="spellStart"/>
      <w:r w:rsidR="006A24B2">
        <w:rPr>
          <w:lang w:val="lt-LT"/>
        </w:rPr>
        <w:t>Pharmaceuticals</w:t>
      </w:r>
      <w:proofErr w:type="spellEnd"/>
      <w:r w:rsidRPr="00900CEC">
        <w:rPr>
          <w:lang w:val="lt-LT"/>
        </w:rPr>
        <w:t>, jeigu:</w:t>
      </w:r>
    </w:p>
    <w:p w14:paraId="47E5368A" w14:textId="77777777" w:rsidR="00C57CC5" w:rsidRPr="00900CEC" w:rsidRDefault="00C57CC5" w:rsidP="00C57CC5">
      <w:pPr>
        <w:pStyle w:val="Sraopastraipa"/>
        <w:numPr>
          <w:ilvl w:val="0"/>
          <w:numId w:val="33"/>
        </w:numPr>
        <w:tabs>
          <w:tab w:val="clear" w:pos="567"/>
        </w:tabs>
        <w:spacing w:line="240" w:lineRule="auto"/>
        <w:ind w:left="567" w:right="-2" w:hanging="567"/>
        <w:rPr>
          <w:szCs w:val="22"/>
          <w:lang w:val="lt-LT"/>
        </w:rPr>
      </w:pPr>
      <w:r w:rsidRPr="00900CEC">
        <w:rPr>
          <w:szCs w:val="22"/>
          <w:lang w:val="lt-LT"/>
        </w:rPr>
        <w:t>vartojate kitus vaistus, kurių sudėtyje yra paracetamolio, ibuprofeno ar kitų vaistų nuo uždegimo (NVNU), malšinančių skausmą (siekiant išvengti perdozavimo pavojaus);</w:t>
      </w:r>
    </w:p>
    <w:p w14:paraId="3F6A29A5" w14:textId="282EE631" w:rsidR="00C57CC5" w:rsidRPr="00900CEC" w:rsidRDefault="00C57CC5" w:rsidP="00C57CC5">
      <w:pPr>
        <w:pStyle w:val="Sraopastraipa"/>
        <w:numPr>
          <w:ilvl w:val="0"/>
          <w:numId w:val="33"/>
        </w:numPr>
        <w:tabs>
          <w:tab w:val="clear" w:pos="567"/>
        </w:tabs>
        <w:spacing w:line="240" w:lineRule="auto"/>
        <w:ind w:left="567" w:right="-2" w:hanging="567"/>
        <w:rPr>
          <w:szCs w:val="22"/>
          <w:lang w:val="lt-LT"/>
        </w:rPr>
      </w:pPr>
      <w:r w:rsidRPr="00900CEC">
        <w:rPr>
          <w:szCs w:val="22"/>
          <w:lang w:val="lt-LT"/>
        </w:rPr>
        <w:t xml:space="preserve">sergate širdies ligomis, įskaitant širdies nepakankamumą, krūtinės anginą (krūtinės skausmas), arba jei </w:t>
      </w:r>
      <w:r w:rsidR="00AB6D2E">
        <w:rPr>
          <w:szCs w:val="22"/>
          <w:lang w:val="lt-LT"/>
        </w:rPr>
        <w:t>J</w:t>
      </w:r>
      <w:r w:rsidRPr="00900CEC">
        <w:rPr>
          <w:szCs w:val="22"/>
          <w:lang w:val="lt-LT"/>
        </w:rPr>
        <w:t xml:space="preserve">us ištiko širdies priepuolis, buvo atlikta šuntavimo operacija, sergate periferinių arterijų liga (bloga kojų ar pėdų kraujotaka dėl siaurų ar užkimštų arterijų) ar buvęs bet koks insultas (įskaitant </w:t>
      </w:r>
      <w:proofErr w:type="spellStart"/>
      <w:r w:rsidRPr="00900CEC">
        <w:rPr>
          <w:szCs w:val="22"/>
          <w:lang w:val="lt-LT"/>
        </w:rPr>
        <w:t>mikroinsultą</w:t>
      </w:r>
      <w:proofErr w:type="spellEnd"/>
      <w:r w:rsidRPr="00900CEC">
        <w:rPr>
          <w:szCs w:val="22"/>
          <w:lang w:val="lt-LT"/>
        </w:rPr>
        <w:t xml:space="preserve"> ar laikiną išeminį priepuolį).</w:t>
      </w:r>
    </w:p>
    <w:p w14:paraId="66CC6CCA" w14:textId="77777777" w:rsidR="00C57CC5" w:rsidRPr="00900CEC" w:rsidRDefault="00C57CC5" w:rsidP="00C57CC5">
      <w:pPr>
        <w:pStyle w:val="Sraopastraipa"/>
        <w:numPr>
          <w:ilvl w:val="0"/>
          <w:numId w:val="33"/>
        </w:numPr>
        <w:tabs>
          <w:tab w:val="clear" w:pos="567"/>
        </w:tabs>
        <w:spacing w:line="240" w:lineRule="auto"/>
        <w:ind w:left="567" w:right="-2" w:hanging="567"/>
        <w:rPr>
          <w:szCs w:val="22"/>
          <w:lang w:val="lt-LT"/>
        </w:rPr>
      </w:pPr>
      <w:r w:rsidRPr="00900CEC">
        <w:rPr>
          <w:szCs w:val="22"/>
          <w:lang w:val="lt-LT"/>
        </w:rPr>
        <w:t>turite aukštą kraujospūdį, sergate cukriniu diabetu, turite aukštą cholesterolio kiekį, esate sirgęs širdies liga ar insultu arba jei rūkote;</w:t>
      </w:r>
    </w:p>
    <w:p w14:paraId="4B767705" w14:textId="77777777" w:rsidR="00C57CC5" w:rsidRPr="00900CEC" w:rsidRDefault="00C57CC5" w:rsidP="00C57CC5">
      <w:pPr>
        <w:pStyle w:val="Sraopastraipa"/>
        <w:numPr>
          <w:ilvl w:val="0"/>
          <w:numId w:val="33"/>
        </w:numPr>
        <w:tabs>
          <w:tab w:val="clear" w:pos="567"/>
        </w:tabs>
        <w:spacing w:line="240" w:lineRule="auto"/>
        <w:ind w:left="567" w:right="-2" w:hanging="567"/>
        <w:rPr>
          <w:szCs w:val="22"/>
          <w:lang w:val="lt-LT"/>
        </w:rPr>
      </w:pPr>
      <w:r w:rsidRPr="00900CEC">
        <w:rPr>
          <w:szCs w:val="22"/>
          <w:lang w:val="lt-LT"/>
        </w:rPr>
        <w:t>sergate kepenų liga, hepatitu, inkstų liga ar sunku šlapintis;</w:t>
      </w:r>
    </w:p>
    <w:p w14:paraId="1AC0DB67" w14:textId="2A41A74A" w:rsidR="00C57CC5" w:rsidRPr="00900CEC" w:rsidRDefault="00C57CC5" w:rsidP="00C57CC5">
      <w:pPr>
        <w:pStyle w:val="Sraopastraipa"/>
        <w:numPr>
          <w:ilvl w:val="0"/>
          <w:numId w:val="33"/>
        </w:numPr>
        <w:tabs>
          <w:tab w:val="clear" w:pos="567"/>
        </w:tabs>
        <w:spacing w:line="240" w:lineRule="auto"/>
        <w:ind w:left="567" w:right="-2" w:hanging="567"/>
        <w:rPr>
          <w:szCs w:val="22"/>
          <w:lang w:val="lt-LT"/>
        </w:rPr>
      </w:pPr>
      <w:r w:rsidRPr="00900CEC">
        <w:rPr>
          <w:szCs w:val="22"/>
          <w:lang w:val="lt-LT"/>
        </w:rPr>
        <w:t xml:space="preserve">šiuo metu sergate infekcine liga; </w:t>
      </w:r>
      <w:proofErr w:type="spellStart"/>
      <w:r w:rsidR="006A24B2">
        <w:rPr>
          <w:lang w:val="lt-LT"/>
        </w:rPr>
        <w:t>Paracetamol</w:t>
      </w:r>
      <w:proofErr w:type="spellEnd"/>
      <w:r w:rsidR="006A24B2">
        <w:rPr>
          <w:lang w:val="lt-LT"/>
        </w:rPr>
        <w:t>/</w:t>
      </w:r>
      <w:proofErr w:type="spellStart"/>
      <w:r w:rsidR="006A24B2">
        <w:rPr>
          <w:lang w:val="lt-LT"/>
        </w:rPr>
        <w:t>Ibuprofen</w:t>
      </w:r>
      <w:proofErr w:type="spellEnd"/>
      <w:r w:rsidR="006A24B2">
        <w:rPr>
          <w:lang w:val="lt-LT"/>
        </w:rPr>
        <w:t xml:space="preserve"> AFT </w:t>
      </w:r>
      <w:proofErr w:type="spellStart"/>
      <w:r w:rsidR="006A24B2">
        <w:rPr>
          <w:lang w:val="lt-LT"/>
        </w:rPr>
        <w:t>Pharmaceuticals</w:t>
      </w:r>
      <w:proofErr w:type="spellEnd"/>
      <w:r w:rsidRPr="00900CEC">
        <w:rPr>
          <w:lang w:val="lt-LT"/>
        </w:rPr>
        <w:t xml:space="preserve"> g</w:t>
      </w:r>
      <w:r w:rsidRPr="00900CEC">
        <w:rPr>
          <w:szCs w:val="22"/>
          <w:lang w:val="lt-LT"/>
        </w:rPr>
        <w:t>ali maskuoti infekcijos simptomus ar požymius (karščiavimą, skausmą ir patinimą);</w:t>
      </w:r>
    </w:p>
    <w:p w14:paraId="73ADB710" w14:textId="77777777" w:rsidR="00C57CC5" w:rsidRPr="00900CEC" w:rsidRDefault="00C57CC5" w:rsidP="00C57CC5">
      <w:pPr>
        <w:pStyle w:val="Sraopastraipa"/>
        <w:numPr>
          <w:ilvl w:val="0"/>
          <w:numId w:val="33"/>
        </w:numPr>
        <w:tabs>
          <w:tab w:val="clear" w:pos="567"/>
        </w:tabs>
        <w:spacing w:line="240" w:lineRule="auto"/>
        <w:ind w:left="567" w:right="-2" w:hanging="567"/>
        <w:rPr>
          <w:szCs w:val="22"/>
          <w:lang w:val="lt-LT"/>
        </w:rPr>
      </w:pPr>
      <w:r w:rsidRPr="00900CEC">
        <w:rPr>
          <w:szCs w:val="22"/>
          <w:lang w:val="lt-LT"/>
        </w:rPr>
        <w:t>jeigu Jums yra arba anksčiau buvo rėmuo,</w:t>
      </w:r>
      <w:r>
        <w:rPr>
          <w:szCs w:val="22"/>
          <w:lang w:val="lt-LT"/>
        </w:rPr>
        <w:t xml:space="preserve"> virškinimo sutrikimas</w:t>
      </w:r>
      <w:r w:rsidRPr="00900CEC">
        <w:rPr>
          <w:szCs w:val="22"/>
          <w:lang w:val="lt-LT"/>
        </w:rPr>
        <w:t xml:space="preserve"> , skrandžio opa arba kitoks skrandžio sutrikimas;</w:t>
      </w:r>
    </w:p>
    <w:p w14:paraId="6A54C6F0" w14:textId="77777777" w:rsidR="00C57CC5" w:rsidRPr="00900CEC" w:rsidRDefault="00C57CC5" w:rsidP="00C57CC5">
      <w:pPr>
        <w:pStyle w:val="Sraopastraipa"/>
        <w:numPr>
          <w:ilvl w:val="0"/>
          <w:numId w:val="33"/>
        </w:numPr>
        <w:tabs>
          <w:tab w:val="clear" w:pos="567"/>
        </w:tabs>
        <w:spacing w:line="240" w:lineRule="auto"/>
        <w:ind w:left="567" w:right="-2" w:hanging="567"/>
        <w:rPr>
          <w:szCs w:val="22"/>
          <w:lang w:val="lt-LT"/>
        </w:rPr>
      </w:pPr>
      <w:r w:rsidRPr="00900CEC">
        <w:rPr>
          <w:szCs w:val="22"/>
          <w:lang w:val="lt-LT"/>
        </w:rPr>
        <w:t>Jums neseniai atlikta arba numatoma operacija;</w:t>
      </w:r>
    </w:p>
    <w:p w14:paraId="5160D534" w14:textId="77777777" w:rsidR="00C57CC5" w:rsidRPr="00900CEC" w:rsidRDefault="00C57CC5" w:rsidP="00C57CC5">
      <w:pPr>
        <w:pStyle w:val="Sraopastraipa"/>
        <w:numPr>
          <w:ilvl w:val="0"/>
          <w:numId w:val="33"/>
        </w:numPr>
        <w:tabs>
          <w:tab w:val="clear" w:pos="567"/>
        </w:tabs>
        <w:spacing w:line="240" w:lineRule="auto"/>
        <w:ind w:left="567" w:right="-2" w:hanging="567"/>
        <w:rPr>
          <w:szCs w:val="22"/>
          <w:lang w:val="lt-LT"/>
        </w:rPr>
      </w:pPr>
      <w:r w:rsidRPr="00900CEC">
        <w:rPr>
          <w:szCs w:val="22"/>
          <w:lang w:val="lt-LT" w:eastAsia="en-IE"/>
        </w:rPr>
        <w:t>sergate infekcine liga</w:t>
      </w:r>
      <w:r w:rsidRPr="00900CEC">
        <w:rPr>
          <w:szCs w:val="22"/>
          <w:lang w:val="lt-LT"/>
        </w:rPr>
        <w:t xml:space="preserve"> (žr. skyrelį „Infekcijos“ </w:t>
      </w:r>
      <w:r>
        <w:rPr>
          <w:szCs w:val="22"/>
          <w:lang w:val="lt-LT"/>
        </w:rPr>
        <w:t>toliau</w:t>
      </w:r>
      <w:r w:rsidRPr="00900CEC">
        <w:rPr>
          <w:szCs w:val="22"/>
          <w:lang w:val="lt-LT"/>
        </w:rPr>
        <w:t>);</w:t>
      </w:r>
    </w:p>
    <w:p w14:paraId="0AE01AF0" w14:textId="77777777" w:rsidR="00C57CC5" w:rsidRPr="00900CEC" w:rsidRDefault="00C57CC5" w:rsidP="00C57CC5">
      <w:pPr>
        <w:pStyle w:val="Sraopastraipa"/>
        <w:numPr>
          <w:ilvl w:val="0"/>
          <w:numId w:val="33"/>
        </w:numPr>
        <w:tabs>
          <w:tab w:val="clear" w:pos="567"/>
        </w:tabs>
        <w:spacing w:line="240" w:lineRule="auto"/>
        <w:ind w:left="567" w:right="-2" w:hanging="567"/>
        <w:rPr>
          <w:szCs w:val="22"/>
          <w:lang w:val="lt-LT"/>
        </w:rPr>
      </w:pPr>
      <w:r w:rsidRPr="00900CEC">
        <w:rPr>
          <w:szCs w:val="22"/>
          <w:lang w:val="lt-LT"/>
        </w:rPr>
        <w:t>sergate astma;</w:t>
      </w:r>
    </w:p>
    <w:p w14:paraId="52762401" w14:textId="77777777" w:rsidR="00C57CC5" w:rsidRPr="00900CEC" w:rsidRDefault="00C57CC5" w:rsidP="00C57CC5">
      <w:pPr>
        <w:pStyle w:val="Sraopastraipa"/>
        <w:numPr>
          <w:ilvl w:val="0"/>
          <w:numId w:val="33"/>
        </w:numPr>
        <w:tabs>
          <w:tab w:val="clear" w:pos="567"/>
        </w:tabs>
        <w:spacing w:line="240" w:lineRule="auto"/>
        <w:ind w:left="567" w:right="-2" w:hanging="567"/>
        <w:rPr>
          <w:szCs w:val="22"/>
          <w:lang w:val="lt-LT"/>
        </w:rPr>
      </w:pPr>
      <w:r w:rsidRPr="00900CEC">
        <w:rPr>
          <w:szCs w:val="22"/>
          <w:lang w:val="lt-LT"/>
        </w:rPr>
        <w:t>Jums yra dehidratacija ar viduriuojate;</w:t>
      </w:r>
    </w:p>
    <w:p w14:paraId="19502AC2" w14:textId="77777777" w:rsidR="00C57CC5" w:rsidRPr="00900CEC" w:rsidRDefault="00C57CC5" w:rsidP="00C57CC5">
      <w:pPr>
        <w:pStyle w:val="Sraopastraipa"/>
        <w:numPr>
          <w:ilvl w:val="0"/>
          <w:numId w:val="33"/>
        </w:numPr>
        <w:tabs>
          <w:tab w:val="clear" w:pos="567"/>
        </w:tabs>
        <w:spacing w:line="240" w:lineRule="auto"/>
        <w:ind w:left="567" w:right="-2" w:hanging="567"/>
        <w:rPr>
          <w:szCs w:val="22"/>
          <w:lang w:val="lt-LT"/>
        </w:rPr>
      </w:pPr>
      <w:r w:rsidRPr="00900CEC">
        <w:rPr>
          <w:szCs w:val="22"/>
          <w:lang w:val="lt-LT"/>
        </w:rPr>
        <w:t>Sergate žarnyno ligomis, tokiomis kaip opinis kolitas ar Krono liga;</w:t>
      </w:r>
    </w:p>
    <w:p w14:paraId="338519A3" w14:textId="77777777" w:rsidR="00C57CC5" w:rsidRPr="00900CEC" w:rsidRDefault="00C57CC5" w:rsidP="00C57CC5">
      <w:pPr>
        <w:pStyle w:val="Sraopastraipa"/>
        <w:numPr>
          <w:ilvl w:val="0"/>
          <w:numId w:val="33"/>
        </w:numPr>
        <w:tabs>
          <w:tab w:val="clear" w:pos="567"/>
        </w:tabs>
        <w:spacing w:line="240" w:lineRule="auto"/>
        <w:ind w:left="567" w:right="-2" w:hanging="567"/>
        <w:rPr>
          <w:szCs w:val="22"/>
          <w:lang w:val="lt-LT"/>
        </w:rPr>
      </w:pPr>
      <w:r w:rsidRPr="00900CEC">
        <w:rPr>
          <w:szCs w:val="22"/>
          <w:lang w:val="lt-LT"/>
        </w:rPr>
        <w:t>Turite įgimtą genetinį arba įgytą tam tikrų fermentų sutrikimą, pasireiškiantį neurologinėmis komplikacijomis ir (arba) odos sutrikimais (</w:t>
      </w:r>
      <w:r>
        <w:rPr>
          <w:szCs w:val="22"/>
          <w:lang w:val="lt-LT"/>
        </w:rPr>
        <w:t xml:space="preserve">pvz., </w:t>
      </w:r>
      <w:r w:rsidRPr="00900CEC">
        <w:rPr>
          <w:szCs w:val="22"/>
          <w:lang w:val="lt-LT"/>
        </w:rPr>
        <w:t>porfirija);</w:t>
      </w:r>
    </w:p>
    <w:p w14:paraId="14354ECB" w14:textId="77777777" w:rsidR="00C57CC5" w:rsidRPr="00900CEC" w:rsidRDefault="00C57CC5" w:rsidP="00C57CC5">
      <w:pPr>
        <w:pStyle w:val="Sraopastraipa"/>
        <w:numPr>
          <w:ilvl w:val="0"/>
          <w:numId w:val="33"/>
        </w:numPr>
        <w:tabs>
          <w:tab w:val="clear" w:pos="567"/>
        </w:tabs>
        <w:spacing w:line="240" w:lineRule="auto"/>
        <w:ind w:left="567" w:right="-2" w:hanging="567"/>
        <w:rPr>
          <w:szCs w:val="22"/>
          <w:lang w:val="lt-LT"/>
        </w:rPr>
      </w:pPr>
      <w:r w:rsidRPr="00900CEC">
        <w:rPr>
          <w:szCs w:val="22"/>
          <w:lang w:val="lt-LT"/>
        </w:rPr>
        <w:t xml:space="preserve">sergate autoimunine liga, pavyzdžiui, raudonąja vilklige arba kita jungiamojo audinio liga, nes gali padidėti </w:t>
      </w:r>
      <w:proofErr w:type="spellStart"/>
      <w:r w:rsidRPr="00900CEC">
        <w:rPr>
          <w:szCs w:val="22"/>
          <w:lang w:val="lt-LT"/>
        </w:rPr>
        <w:t>aseptinio</w:t>
      </w:r>
      <w:proofErr w:type="spellEnd"/>
      <w:r w:rsidRPr="00900CEC">
        <w:rPr>
          <w:szCs w:val="22"/>
          <w:lang w:val="lt-LT"/>
        </w:rPr>
        <w:t xml:space="preserve"> meningito (smegenis supančios apsauginės membranos uždegimas) rizika;</w:t>
      </w:r>
    </w:p>
    <w:p w14:paraId="5C1C8DA6" w14:textId="77777777" w:rsidR="00C57CC5" w:rsidRPr="00900CEC" w:rsidRDefault="00C57CC5" w:rsidP="00C57CC5">
      <w:pPr>
        <w:pStyle w:val="Sraopastraipa"/>
        <w:numPr>
          <w:ilvl w:val="0"/>
          <w:numId w:val="33"/>
        </w:numPr>
        <w:tabs>
          <w:tab w:val="clear" w:pos="567"/>
        </w:tabs>
        <w:spacing w:line="240" w:lineRule="auto"/>
        <w:ind w:left="567" w:right="-2" w:hanging="567"/>
        <w:rPr>
          <w:szCs w:val="22"/>
          <w:lang w:val="lt-LT"/>
        </w:rPr>
      </w:pPr>
      <w:r w:rsidRPr="00900CEC">
        <w:rPr>
          <w:szCs w:val="22"/>
          <w:lang w:val="lt-LT"/>
        </w:rPr>
        <w:t>Jus vargina šienligė, nosies polipai ar lėtiniai obstrukciniai kvėpavimo sutrikimai, nes gali padidėti alerginių reakcijų rizika;</w:t>
      </w:r>
    </w:p>
    <w:p w14:paraId="4E72F338" w14:textId="77777777" w:rsidR="00C57CC5" w:rsidRPr="00900CEC" w:rsidRDefault="00C57CC5" w:rsidP="00C57CC5">
      <w:pPr>
        <w:pStyle w:val="Sraopastraipa"/>
        <w:numPr>
          <w:ilvl w:val="0"/>
          <w:numId w:val="33"/>
        </w:numPr>
        <w:tabs>
          <w:tab w:val="clear" w:pos="567"/>
        </w:tabs>
        <w:spacing w:line="240" w:lineRule="auto"/>
        <w:ind w:left="567" w:right="-2" w:hanging="567"/>
        <w:rPr>
          <w:szCs w:val="22"/>
          <w:lang w:val="lt-LT"/>
        </w:rPr>
      </w:pPr>
      <w:r w:rsidRPr="00900CEC">
        <w:rPr>
          <w:szCs w:val="22"/>
          <w:lang w:val="lt-LT"/>
        </w:rPr>
        <w:t>esate nėščia ar ketinate pastoti (žr. skyrelį „Nėštumas, žindymo laikotarpis ir vaisingumas“).</w:t>
      </w:r>
    </w:p>
    <w:p w14:paraId="2AE983FC" w14:textId="77777777" w:rsidR="00C57CC5" w:rsidRPr="00900CEC" w:rsidRDefault="00C57CC5" w:rsidP="00C57CC5">
      <w:pPr>
        <w:numPr>
          <w:ilvl w:val="12"/>
          <w:numId w:val="0"/>
        </w:numPr>
        <w:tabs>
          <w:tab w:val="clear" w:pos="567"/>
        </w:tabs>
        <w:spacing w:line="240" w:lineRule="auto"/>
        <w:ind w:right="-2"/>
        <w:rPr>
          <w:szCs w:val="22"/>
          <w:lang w:val="lt-LT"/>
        </w:rPr>
      </w:pPr>
    </w:p>
    <w:p w14:paraId="5B792FD0" w14:textId="77777777" w:rsidR="00C57CC5" w:rsidRPr="00900CEC" w:rsidRDefault="00C57CC5" w:rsidP="00C57CC5">
      <w:pPr>
        <w:tabs>
          <w:tab w:val="clear" w:pos="567"/>
        </w:tabs>
        <w:autoSpaceDE w:val="0"/>
        <w:autoSpaceDN w:val="0"/>
        <w:adjustRightInd w:val="0"/>
        <w:spacing w:line="240" w:lineRule="auto"/>
        <w:rPr>
          <w:i/>
          <w:iCs/>
          <w:color w:val="000000"/>
          <w:szCs w:val="22"/>
          <w:lang w:val="lt-LT" w:eastAsia="en-IE"/>
        </w:rPr>
      </w:pPr>
      <w:r w:rsidRPr="00900CEC">
        <w:rPr>
          <w:i/>
          <w:iCs/>
          <w:color w:val="000000"/>
          <w:szCs w:val="22"/>
          <w:lang w:val="lt-LT" w:eastAsia="en-IE"/>
        </w:rPr>
        <w:t>Rizika, susijusi su širdies ir kraujagyslių sistema</w:t>
      </w:r>
    </w:p>
    <w:p w14:paraId="532C3386" w14:textId="77777777" w:rsidR="00C57CC5" w:rsidRPr="00900CEC" w:rsidRDefault="00C57CC5" w:rsidP="00C57CC5">
      <w:pPr>
        <w:tabs>
          <w:tab w:val="clear" w:pos="567"/>
        </w:tabs>
        <w:autoSpaceDE w:val="0"/>
        <w:autoSpaceDN w:val="0"/>
        <w:adjustRightInd w:val="0"/>
        <w:spacing w:line="240" w:lineRule="auto"/>
        <w:rPr>
          <w:color w:val="000000"/>
          <w:szCs w:val="22"/>
          <w:lang w:val="lt-LT" w:eastAsia="en-IE"/>
        </w:rPr>
      </w:pPr>
      <w:r w:rsidRPr="00900CEC">
        <w:rPr>
          <w:color w:val="000000"/>
          <w:szCs w:val="22"/>
          <w:lang w:val="lt-LT" w:eastAsia="en-IE"/>
        </w:rPr>
        <w:t>Vaistai nuo skausmo ir uždegimo, tokie kaip ibuprofenas, gali truputį padidinti miokardo infarkto ir insulto riziką, ypač kai vartojami didelėmis dozėmis. Negalima vartoti šio vaisto didesnėmis dozėmis arba ilgiau negu rekomenduojama.</w:t>
      </w:r>
    </w:p>
    <w:p w14:paraId="61C18A46" w14:textId="77777777" w:rsidR="00C57CC5" w:rsidRPr="00900CEC" w:rsidRDefault="00C57CC5" w:rsidP="00C57CC5">
      <w:pPr>
        <w:tabs>
          <w:tab w:val="clear" w:pos="567"/>
        </w:tabs>
        <w:autoSpaceDE w:val="0"/>
        <w:autoSpaceDN w:val="0"/>
        <w:adjustRightInd w:val="0"/>
        <w:spacing w:line="240" w:lineRule="auto"/>
        <w:rPr>
          <w:color w:val="000000"/>
          <w:szCs w:val="22"/>
          <w:lang w:val="lt-LT" w:eastAsia="en-IE"/>
        </w:rPr>
      </w:pPr>
    </w:p>
    <w:p w14:paraId="58E27D2A" w14:textId="77777777" w:rsidR="00C57CC5" w:rsidRPr="00900CEC" w:rsidRDefault="00C57CC5" w:rsidP="00C57CC5">
      <w:pPr>
        <w:tabs>
          <w:tab w:val="clear" w:pos="567"/>
        </w:tabs>
        <w:autoSpaceDE w:val="0"/>
        <w:autoSpaceDN w:val="0"/>
        <w:adjustRightInd w:val="0"/>
        <w:spacing w:line="240" w:lineRule="auto"/>
        <w:rPr>
          <w:rFonts w:eastAsia="Calibri"/>
          <w:bCs/>
          <w:i/>
          <w:iCs/>
          <w:snapToGrid/>
          <w:color w:val="000000"/>
          <w:szCs w:val="22"/>
          <w:lang w:val="lt-LT" w:eastAsia="lt-LT"/>
        </w:rPr>
      </w:pPr>
      <w:r w:rsidRPr="00900CEC">
        <w:rPr>
          <w:rFonts w:eastAsia="Calibri"/>
          <w:bCs/>
          <w:i/>
          <w:iCs/>
          <w:snapToGrid/>
          <w:color w:val="000000"/>
          <w:szCs w:val="22"/>
          <w:lang w:val="lt-LT" w:eastAsia="lt-LT"/>
        </w:rPr>
        <w:t>Virškinimo trakto simptomai</w:t>
      </w:r>
    </w:p>
    <w:p w14:paraId="03E89704" w14:textId="5719D174" w:rsidR="00C57CC5" w:rsidRPr="00900CEC" w:rsidRDefault="00C57CC5" w:rsidP="00C57CC5">
      <w:pPr>
        <w:tabs>
          <w:tab w:val="clear" w:pos="567"/>
        </w:tabs>
        <w:autoSpaceDE w:val="0"/>
        <w:autoSpaceDN w:val="0"/>
        <w:adjustRightInd w:val="0"/>
        <w:spacing w:line="240" w:lineRule="auto"/>
        <w:rPr>
          <w:rFonts w:eastAsia="Calibri"/>
          <w:bCs/>
          <w:snapToGrid/>
          <w:color w:val="000000"/>
          <w:szCs w:val="22"/>
          <w:lang w:val="lt-LT" w:eastAsia="lt-LT"/>
        </w:rPr>
      </w:pPr>
      <w:r w:rsidRPr="00900CEC">
        <w:rPr>
          <w:rFonts w:eastAsia="Calibri"/>
          <w:bCs/>
          <w:snapToGrid/>
          <w:color w:val="000000"/>
          <w:szCs w:val="22"/>
          <w:lang w:val="lt-LT" w:eastAsia="lt-LT"/>
        </w:rPr>
        <w:lastRenderedPageBreak/>
        <w:t xml:space="preserve">Buvo pranešta apie vartojant NVNU, įskaitant </w:t>
      </w:r>
      <w:proofErr w:type="spellStart"/>
      <w:r w:rsidRPr="00900CEC">
        <w:rPr>
          <w:rFonts w:eastAsia="Calibri"/>
          <w:bCs/>
          <w:snapToGrid/>
          <w:color w:val="000000"/>
          <w:szCs w:val="22"/>
          <w:lang w:val="lt-LT" w:eastAsia="lt-LT"/>
        </w:rPr>
        <w:t>ibuprofeną</w:t>
      </w:r>
      <w:proofErr w:type="spellEnd"/>
      <w:r w:rsidRPr="00900CEC">
        <w:rPr>
          <w:rFonts w:eastAsia="Calibri"/>
          <w:bCs/>
          <w:snapToGrid/>
          <w:color w:val="000000"/>
          <w:szCs w:val="22"/>
          <w:lang w:val="lt-LT" w:eastAsia="lt-LT"/>
        </w:rPr>
        <w:t>, pasireiškusį sunkų šalutinį poveikį virškinimo traktui (paveikiantį skrandį ir</w:t>
      </w:r>
      <w:r w:rsidR="00AB6D2E">
        <w:rPr>
          <w:rFonts w:eastAsia="Calibri"/>
          <w:bCs/>
          <w:snapToGrid/>
          <w:color w:val="000000"/>
          <w:szCs w:val="22"/>
          <w:lang w:val="lt-LT" w:eastAsia="lt-LT"/>
        </w:rPr>
        <w:t xml:space="preserve"> </w:t>
      </w:r>
      <w:r>
        <w:rPr>
          <w:rFonts w:eastAsia="Calibri"/>
          <w:bCs/>
          <w:snapToGrid/>
          <w:color w:val="000000"/>
          <w:szCs w:val="22"/>
          <w:lang w:val="lt-LT" w:eastAsia="lt-LT"/>
        </w:rPr>
        <w:t>žarnyną</w:t>
      </w:r>
      <w:r w:rsidRPr="00900CEC">
        <w:rPr>
          <w:rFonts w:eastAsia="Calibri"/>
          <w:bCs/>
          <w:snapToGrid/>
          <w:color w:val="000000"/>
          <w:szCs w:val="22"/>
          <w:lang w:val="lt-LT" w:eastAsia="lt-LT"/>
        </w:rPr>
        <w:t xml:space="preserve">). Jis gali atsirasti su įspėjamaisiais simptomais ar be jų. Šio šalutinio poveikio rizika yra didesnė pacientams, kuriems yra buvę skrandžio ar žarnyno opų, ypač jei kartu buvo kraujavimas ar perforacija. Senyviems pacientams yra didesnė virškinimo trakto šalutinio poveikio rizika. Turėtumėte su gydytoju aptarti visas virškinimo trakto problemas ir išlikti budriems dėl neįprastų pilvo simptomų, įskaitant pykinimą, vėmimą, viduriavimą, vidurių užkietėjimą, </w:t>
      </w:r>
      <w:proofErr w:type="spellStart"/>
      <w:r w:rsidRPr="00900CEC">
        <w:rPr>
          <w:rFonts w:eastAsia="Calibri"/>
          <w:bCs/>
          <w:snapToGrid/>
          <w:color w:val="000000"/>
          <w:szCs w:val="22"/>
          <w:lang w:val="lt-LT" w:eastAsia="lt-LT"/>
        </w:rPr>
        <w:t>nevirškinimą</w:t>
      </w:r>
      <w:proofErr w:type="spellEnd"/>
      <w:r w:rsidRPr="00900CEC">
        <w:rPr>
          <w:rFonts w:eastAsia="Calibri"/>
          <w:bCs/>
          <w:snapToGrid/>
          <w:color w:val="000000"/>
          <w:szCs w:val="22"/>
          <w:lang w:val="lt-LT" w:eastAsia="lt-LT"/>
        </w:rPr>
        <w:t>, pilvo skausmą, deguto pavidalo išmatas ar vėmimą krauj</w:t>
      </w:r>
      <w:r>
        <w:rPr>
          <w:rFonts w:eastAsia="Calibri"/>
          <w:bCs/>
          <w:snapToGrid/>
          <w:color w:val="000000"/>
          <w:szCs w:val="22"/>
          <w:lang w:val="lt-LT" w:eastAsia="lt-LT"/>
        </w:rPr>
        <w:t>u</w:t>
      </w:r>
      <w:r w:rsidRPr="00900CEC">
        <w:rPr>
          <w:rFonts w:eastAsia="Calibri"/>
          <w:bCs/>
          <w:snapToGrid/>
          <w:color w:val="000000"/>
          <w:szCs w:val="22"/>
          <w:lang w:val="lt-LT" w:eastAsia="lt-LT"/>
        </w:rPr>
        <w:t>.</w:t>
      </w:r>
    </w:p>
    <w:p w14:paraId="0CF6375E" w14:textId="77777777" w:rsidR="00C57CC5" w:rsidRPr="00900CEC" w:rsidRDefault="00C57CC5" w:rsidP="00C57CC5">
      <w:pPr>
        <w:tabs>
          <w:tab w:val="clear" w:pos="567"/>
        </w:tabs>
        <w:autoSpaceDE w:val="0"/>
        <w:autoSpaceDN w:val="0"/>
        <w:adjustRightInd w:val="0"/>
        <w:spacing w:line="240" w:lineRule="auto"/>
        <w:rPr>
          <w:rFonts w:eastAsia="Calibri"/>
          <w:bCs/>
          <w:snapToGrid/>
          <w:color w:val="000000"/>
          <w:szCs w:val="22"/>
          <w:lang w:val="lt-LT" w:eastAsia="lt-LT"/>
        </w:rPr>
      </w:pPr>
    </w:p>
    <w:p w14:paraId="5CB6CC7D" w14:textId="77777777" w:rsidR="00C57CC5" w:rsidRPr="00900CEC" w:rsidRDefault="00C57CC5" w:rsidP="00C57CC5">
      <w:pPr>
        <w:tabs>
          <w:tab w:val="clear" w:pos="567"/>
        </w:tabs>
        <w:autoSpaceDE w:val="0"/>
        <w:autoSpaceDN w:val="0"/>
        <w:adjustRightInd w:val="0"/>
        <w:spacing w:line="240" w:lineRule="auto"/>
        <w:rPr>
          <w:rFonts w:eastAsia="Calibri"/>
          <w:bCs/>
          <w:snapToGrid/>
          <w:color w:val="000000"/>
          <w:szCs w:val="22"/>
          <w:lang w:val="lt-LT" w:eastAsia="lt-LT"/>
        </w:rPr>
      </w:pPr>
      <w:r w:rsidRPr="00900CEC">
        <w:rPr>
          <w:rFonts w:eastAsia="Calibri"/>
          <w:bCs/>
          <w:snapToGrid/>
          <w:color w:val="000000"/>
          <w:szCs w:val="22"/>
          <w:lang w:val="lt-LT" w:eastAsia="lt-LT"/>
        </w:rPr>
        <w:t>Senyvi pacientai pirmiausia turėtų aptarti gydymą su gydytoju. Senyviems pacientams yra didesnė šalutinio poveikio rizika, ypač kraujavimas ir perforacija virškinimo trakte.</w:t>
      </w:r>
    </w:p>
    <w:p w14:paraId="6BCFD237" w14:textId="77777777" w:rsidR="00C57CC5" w:rsidRPr="00900CEC" w:rsidRDefault="00C57CC5" w:rsidP="00C57CC5">
      <w:pPr>
        <w:tabs>
          <w:tab w:val="clear" w:pos="567"/>
        </w:tabs>
        <w:autoSpaceDE w:val="0"/>
        <w:autoSpaceDN w:val="0"/>
        <w:adjustRightInd w:val="0"/>
        <w:spacing w:line="240" w:lineRule="auto"/>
        <w:rPr>
          <w:rFonts w:eastAsia="Calibri"/>
          <w:bCs/>
          <w:i/>
          <w:iCs/>
          <w:snapToGrid/>
          <w:color w:val="000000"/>
          <w:szCs w:val="22"/>
          <w:lang w:val="lt-LT" w:eastAsia="lt-LT"/>
        </w:rPr>
      </w:pPr>
    </w:p>
    <w:p w14:paraId="1EC07D05" w14:textId="77777777" w:rsidR="00C57CC5" w:rsidRPr="00900CEC" w:rsidRDefault="00C57CC5" w:rsidP="00C57CC5">
      <w:pPr>
        <w:tabs>
          <w:tab w:val="clear" w:pos="567"/>
        </w:tabs>
        <w:autoSpaceDE w:val="0"/>
        <w:autoSpaceDN w:val="0"/>
        <w:adjustRightInd w:val="0"/>
        <w:spacing w:line="240" w:lineRule="auto"/>
        <w:rPr>
          <w:rFonts w:eastAsia="Calibri"/>
          <w:bCs/>
          <w:i/>
          <w:iCs/>
          <w:snapToGrid/>
          <w:color w:val="000000"/>
          <w:szCs w:val="22"/>
          <w:lang w:val="lt-LT" w:eastAsia="lt-LT"/>
        </w:rPr>
      </w:pPr>
      <w:r w:rsidRPr="00900CEC">
        <w:rPr>
          <w:rFonts w:eastAsia="Calibri"/>
          <w:bCs/>
          <w:i/>
          <w:iCs/>
          <w:snapToGrid/>
          <w:color w:val="000000"/>
          <w:szCs w:val="22"/>
          <w:lang w:val="lt-LT" w:eastAsia="lt-LT"/>
        </w:rPr>
        <w:t>Odos reakcijos</w:t>
      </w:r>
    </w:p>
    <w:p w14:paraId="5988F82A" w14:textId="506B54AA" w:rsidR="00C57CC5" w:rsidRPr="00900CEC" w:rsidRDefault="00C57CC5" w:rsidP="00C57CC5">
      <w:pPr>
        <w:tabs>
          <w:tab w:val="clear" w:pos="567"/>
        </w:tabs>
        <w:spacing w:line="240" w:lineRule="auto"/>
        <w:rPr>
          <w:rFonts w:eastAsia="Calibri"/>
          <w:snapToGrid/>
          <w:color w:val="000000"/>
          <w:szCs w:val="22"/>
          <w:lang w:val="lt-LT" w:eastAsia="lt-LT"/>
        </w:rPr>
      </w:pPr>
      <w:r>
        <w:rPr>
          <w:lang w:val="lt-LT"/>
        </w:rPr>
        <w:t xml:space="preserve">Vartojant </w:t>
      </w:r>
      <w:proofErr w:type="spellStart"/>
      <w:r w:rsidR="006A24B2">
        <w:rPr>
          <w:lang w:val="lt-LT"/>
        </w:rPr>
        <w:t>Paracetamol</w:t>
      </w:r>
      <w:proofErr w:type="spellEnd"/>
      <w:r w:rsidR="006A24B2">
        <w:rPr>
          <w:lang w:val="lt-LT"/>
        </w:rPr>
        <w:t>/</w:t>
      </w:r>
      <w:proofErr w:type="spellStart"/>
      <w:r w:rsidR="006A24B2">
        <w:rPr>
          <w:lang w:val="lt-LT"/>
        </w:rPr>
        <w:t>Ibuprofen</w:t>
      </w:r>
      <w:proofErr w:type="spellEnd"/>
      <w:r w:rsidR="006A24B2">
        <w:rPr>
          <w:lang w:val="lt-LT"/>
        </w:rPr>
        <w:t xml:space="preserve"> AFT </w:t>
      </w:r>
      <w:proofErr w:type="spellStart"/>
      <w:r w:rsidR="006A24B2">
        <w:rPr>
          <w:lang w:val="lt-LT"/>
        </w:rPr>
        <w:t>Pharmaceuticals</w:t>
      </w:r>
      <w:proofErr w:type="spellEnd"/>
      <w:r>
        <w:rPr>
          <w:lang w:val="lt-LT"/>
        </w:rPr>
        <w:t xml:space="preserve"> </w:t>
      </w:r>
      <w:r>
        <w:rPr>
          <w:rFonts w:eastAsia="Calibri"/>
          <w:snapToGrid/>
          <w:color w:val="000000"/>
          <w:szCs w:val="22"/>
          <w:lang w:val="lt-LT" w:eastAsia="lt-LT"/>
        </w:rPr>
        <w:t>b</w:t>
      </w:r>
      <w:r w:rsidRPr="00900CEC">
        <w:rPr>
          <w:rFonts w:eastAsia="Calibri"/>
          <w:snapToGrid/>
          <w:color w:val="000000"/>
          <w:szCs w:val="22"/>
          <w:lang w:val="lt-LT" w:eastAsia="lt-LT"/>
        </w:rPr>
        <w:t xml:space="preserve">uvo pranešta apie sunkias odos reakcijas. Jei </w:t>
      </w:r>
      <w:r w:rsidR="00AB6D2E">
        <w:rPr>
          <w:rFonts w:eastAsia="Calibri"/>
          <w:snapToGrid/>
          <w:color w:val="000000"/>
          <w:szCs w:val="22"/>
          <w:lang w:val="lt-LT" w:eastAsia="lt-LT"/>
        </w:rPr>
        <w:t>J</w:t>
      </w:r>
      <w:r w:rsidRPr="00900CEC">
        <w:rPr>
          <w:rFonts w:eastAsia="Calibri"/>
          <w:snapToGrid/>
          <w:color w:val="000000"/>
          <w:szCs w:val="22"/>
          <w:lang w:val="lt-LT" w:eastAsia="lt-LT"/>
        </w:rPr>
        <w:t xml:space="preserve">ums pasireikštų odos išbėrimas, gleivinių pažeidimas, pūslės ar kitų alergijos požymių, </w:t>
      </w:r>
      <w:proofErr w:type="spellStart"/>
      <w:r w:rsidR="006A24B2">
        <w:rPr>
          <w:lang w:val="lt-LT"/>
        </w:rPr>
        <w:t>Paracetamol</w:t>
      </w:r>
      <w:proofErr w:type="spellEnd"/>
      <w:r w:rsidR="006A24B2">
        <w:rPr>
          <w:lang w:val="lt-LT"/>
        </w:rPr>
        <w:t>/</w:t>
      </w:r>
      <w:proofErr w:type="spellStart"/>
      <w:r w:rsidR="006A24B2">
        <w:rPr>
          <w:lang w:val="lt-LT"/>
        </w:rPr>
        <w:t>Ibuprofen</w:t>
      </w:r>
      <w:proofErr w:type="spellEnd"/>
      <w:r w:rsidR="006A24B2">
        <w:rPr>
          <w:lang w:val="lt-LT"/>
        </w:rPr>
        <w:t xml:space="preserve"> AFT </w:t>
      </w:r>
      <w:proofErr w:type="spellStart"/>
      <w:r w:rsidR="006A24B2">
        <w:rPr>
          <w:lang w:val="lt-LT"/>
        </w:rPr>
        <w:t>Pharmaceuticals</w:t>
      </w:r>
      <w:proofErr w:type="spellEnd"/>
      <w:r>
        <w:rPr>
          <w:lang w:val="lt-LT"/>
        </w:rPr>
        <w:t xml:space="preserve"> </w:t>
      </w:r>
      <w:r w:rsidRPr="00F43E33">
        <w:rPr>
          <w:rFonts w:eastAsia="Calibri"/>
          <w:snapToGrid/>
          <w:color w:val="000000"/>
          <w:szCs w:val="22"/>
          <w:lang w:val="lt-LT" w:eastAsia="lt-LT"/>
        </w:rPr>
        <w:t>vartojimą nutraukite ir nedelsdami kreipkitės medicininės pagalbos</w:t>
      </w:r>
      <w:r w:rsidRPr="00900CEC">
        <w:rPr>
          <w:rFonts w:eastAsia="Calibri"/>
          <w:snapToGrid/>
          <w:color w:val="000000"/>
          <w:szCs w:val="22"/>
          <w:lang w:val="lt-LT" w:eastAsia="lt-LT"/>
        </w:rPr>
        <w:t>, nes tai gali būti pirmieji labai sunkios odos reakcijos požymiai. Žr. 4</w:t>
      </w:r>
      <w:r w:rsidR="00AB6D2E">
        <w:rPr>
          <w:rFonts w:eastAsia="Calibri"/>
          <w:snapToGrid/>
          <w:color w:val="000000"/>
          <w:szCs w:val="22"/>
          <w:lang w:val="lt-LT" w:eastAsia="lt-LT"/>
        </w:rPr>
        <w:t> </w:t>
      </w:r>
      <w:r w:rsidRPr="00900CEC">
        <w:rPr>
          <w:rFonts w:eastAsia="Calibri"/>
          <w:snapToGrid/>
          <w:color w:val="000000"/>
          <w:szCs w:val="22"/>
          <w:lang w:val="lt-LT" w:eastAsia="lt-LT"/>
        </w:rPr>
        <w:t>skyrių.</w:t>
      </w:r>
    </w:p>
    <w:p w14:paraId="76A54ACE" w14:textId="77777777" w:rsidR="00C57CC5" w:rsidRPr="00900CEC" w:rsidRDefault="00C57CC5" w:rsidP="00C57CC5">
      <w:pPr>
        <w:tabs>
          <w:tab w:val="clear" w:pos="567"/>
        </w:tabs>
        <w:spacing w:line="240" w:lineRule="auto"/>
        <w:rPr>
          <w:szCs w:val="22"/>
          <w:lang w:val="lt-LT"/>
        </w:rPr>
      </w:pPr>
    </w:p>
    <w:p w14:paraId="3E33C216" w14:textId="77777777" w:rsidR="00C57CC5" w:rsidRPr="00900CEC" w:rsidRDefault="00C57CC5" w:rsidP="00C57CC5">
      <w:pPr>
        <w:tabs>
          <w:tab w:val="clear" w:pos="567"/>
        </w:tabs>
        <w:spacing w:line="240" w:lineRule="auto"/>
        <w:rPr>
          <w:i/>
          <w:iCs/>
          <w:szCs w:val="22"/>
          <w:lang w:val="lt-LT"/>
        </w:rPr>
      </w:pPr>
      <w:r w:rsidRPr="00900CEC">
        <w:rPr>
          <w:i/>
          <w:iCs/>
          <w:szCs w:val="22"/>
          <w:lang w:val="lt-LT"/>
        </w:rPr>
        <w:t>Infekcijos</w:t>
      </w:r>
    </w:p>
    <w:p w14:paraId="62A9AC91" w14:textId="431ECDA2" w:rsidR="00C57CC5" w:rsidRPr="00900CEC" w:rsidRDefault="006A24B2" w:rsidP="00C57CC5">
      <w:pPr>
        <w:spacing w:line="240" w:lineRule="auto"/>
        <w:rPr>
          <w:szCs w:val="22"/>
          <w:lang w:val="lt-LT"/>
        </w:rPr>
      </w:pPr>
      <w:proofErr w:type="spellStart"/>
      <w:r>
        <w:rPr>
          <w:lang w:val="lt-LT"/>
        </w:rPr>
        <w:t>Paracetamol</w:t>
      </w:r>
      <w:proofErr w:type="spellEnd"/>
      <w:r>
        <w:rPr>
          <w:lang w:val="lt-LT"/>
        </w:rPr>
        <w:t>/</w:t>
      </w:r>
      <w:proofErr w:type="spellStart"/>
      <w:r>
        <w:rPr>
          <w:lang w:val="lt-LT"/>
        </w:rPr>
        <w:t>Ibuprofen</w:t>
      </w:r>
      <w:proofErr w:type="spellEnd"/>
      <w:r>
        <w:rPr>
          <w:lang w:val="lt-LT"/>
        </w:rPr>
        <w:t xml:space="preserve"> AFT </w:t>
      </w:r>
      <w:proofErr w:type="spellStart"/>
      <w:r>
        <w:rPr>
          <w:lang w:val="lt-LT"/>
        </w:rPr>
        <w:t>Pharmaceuticals</w:t>
      </w:r>
      <w:proofErr w:type="spellEnd"/>
      <w:r w:rsidR="00C57CC5">
        <w:rPr>
          <w:lang w:val="lt-LT"/>
        </w:rPr>
        <w:t xml:space="preserve"> </w:t>
      </w:r>
      <w:r w:rsidR="00C57CC5" w:rsidRPr="00900CEC">
        <w:rPr>
          <w:szCs w:val="22"/>
          <w:lang w:val="lt-LT"/>
        </w:rPr>
        <w:t xml:space="preserve">gali </w:t>
      </w:r>
      <w:r w:rsidR="00C57CC5">
        <w:rPr>
          <w:szCs w:val="22"/>
          <w:lang w:val="lt-LT"/>
        </w:rPr>
        <w:t>paslėp</w:t>
      </w:r>
      <w:r w:rsidR="00C57CC5" w:rsidRPr="00900CEC">
        <w:rPr>
          <w:szCs w:val="22"/>
          <w:lang w:val="lt-LT"/>
        </w:rPr>
        <w:t xml:space="preserve">ti tokius infekcijos požymius kaip karščiavimas ir skausmas. Todėl gali būti, kad </w:t>
      </w:r>
      <w:r w:rsidR="00C57CC5">
        <w:rPr>
          <w:szCs w:val="22"/>
          <w:lang w:val="lt-LT"/>
        </w:rPr>
        <w:t xml:space="preserve">vartojant </w:t>
      </w:r>
      <w:proofErr w:type="spellStart"/>
      <w:r>
        <w:rPr>
          <w:szCs w:val="22"/>
          <w:lang w:val="lt-LT"/>
        </w:rPr>
        <w:t>Paracetamol</w:t>
      </w:r>
      <w:proofErr w:type="spellEnd"/>
      <w:r>
        <w:rPr>
          <w:szCs w:val="22"/>
          <w:lang w:val="lt-LT"/>
        </w:rPr>
        <w:t>/</w:t>
      </w:r>
      <w:proofErr w:type="spellStart"/>
      <w:r>
        <w:rPr>
          <w:szCs w:val="22"/>
          <w:lang w:val="lt-LT"/>
        </w:rPr>
        <w:t>Ibuprofen</w:t>
      </w:r>
      <w:proofErr w:type="spellEnd"/>
      <w:r>
        <w:rPr>
          <w:szCs w:val="22"/>
          <w:lang w:val="lt-LT"/>
        </w:rPr>
        <w:t xml:space="preserve"> AFT </w:t>
      </w:r>
      <w:proofErr w:type="spellStart"/>
      <w:r>
        <w:rPr>
          <w:szCs w:val="22"/>
          <w:lang w:val="lt-LT"/>
        </w:rPr>
        <w:t>Pharmaceuticals</w:t>
      </w:r>
      <w:proofErr w:type="spellEnd"/>
      <w:r w:rsidR="00C57CC5">
        <w:rPr>
          <w:szCs w:val="22"/>
          <w:lang w:val="lt-LT"/>
        </w:rPr>
        <w:t xml:space="preserve">, </w:t>
      </w:r>
      <w:r w:rsidR="00C57CC5" w:rsidRPr="00900CEC">
        <w:rPr>
          <w:szCs w:val="22"/>
          <w:lang w:val="lt-LT"/>
        </w:rPr>
        <w:t xml:space="preserve">gali būti </w:t>
      </w:r>
      <w:r w:rsidR="00C57CC5" w:rsidRPr="00F43E33">
        <w:rPr>
          <w:szCs w:val="22"/>
          <w:lang w:val="lt-LT"/>
        </w:rPr>
        <w:t xml:space="preserve">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224E2A11" w14:textId="77777777" w:rsidR="00C57CC5" w:rsidRPr="00900CEC" w:rsidRDefault="00C57CC5" w:rsidP="00C57CC5">
      <w:pPr>
        <w:tabs>
          <w:tab w:val="clear" w:pos="567"/>
        </w:tabs>
        <w:spacing w:line="240" w:lineRule="auto"/>
        <w:rPr>
          <w:szCs w:val="22"/>
          <w:lang w:val="lt-LT"/>
        </w:rPr>
      </w:pPr>
    </w:p>
    <w:p w14:paraId="2BB09D87" w14:textId="77777777" w:rsidR="00C57CC5" w:rsidRPr="00900CEC" w:rsidRDefault="00C57CC5" w:rsidP="00C57CC5">
      <w:pPr>
        <w:tabs>
          <w:tab w:val="clear" w:pos="567"/>
        </w:tabs>
        <w:spacing w:line="240" w:lineRule="auto"/>
        <w:rPr>
          <w:i/>
          <w:iCs/>
          <w:szCs w:val="22"/>
          <w:lang w:val="lt-LT"/>
        </w:rPr>
      </w:pPr>
      <w:r w:rsidRPr="00900CEC">
        <w:rPr>
          <w:i/>
          <w:iCs/>
          <w:szCs w:val="22"/>
          <w:lang w:val="lt-LT"/>
        </w:rPr>
        <w:t>Ilgalaikis skausmą malšinančių vaistų vartojimas</w:t>
      </w:r>
    </w:p>
    <w:p w14:paraId="3198053B" w14:textId="77777777" w:rsidR="00C57CC5" w:rsidRPr="00900CEC" w:rsidRDefault="00C57CC5" w:rsidP="00C57CC5">
      <w:pPr>
        <w:tabs>
          <w:tab w:val="clear" w:pos="567"/>
        </w:tabs>
        <w:spacing w:line="240" w:lineRule="auto"/>
        <w:rPr>
          <w:szCs w:val="22"/>
          <w:lang w:val="lt-LT"/>
        </w:rPr>
      </w:pPr>
      <w:r w:rsidRPr="00900CEC">
        <w:rPr>
          <w:szCs w:val="22"/>
          <w:lang w:val="lt-LT"/>
        </w:rPr>
        <w:t>Ilgai vartojant skausmą malšinančių vaistų, gali pasireikšti tam tikras galvos skausmas, kurio negalima šalinti skiriant daugiau skausmą malšinančių vaistų. Jei manote, kad tai tinka Jums, pasitarkite su gydytoju arba vaistininku.</w:t>
      </w:r>
    </w:p>
    <w:p w14:paraId="300D8353" w14:textId="77777777" w:rsidR="00C57CC5" w:rsidRPr="00900CEC" w:rsidRDefault="00C57CC5" w:rsidP="00C57CC5">
      <w:pPr>
        <w:tabs>
          <w:tab w:val="clear" w:pos="567"/>
        </w:tabs>
        <w:spacing w:line="240" w:lineRule="auto"/>
        <w:rPr>
          <w:szCs w:val="22"/>
          <w:lang w:val="lt-LT"/>
        </w:rPr>
      </w:pPr>
    </w:p>
    <w:p w14:paraId="1173C74B" w14:textId="77777777" w:rsidR="00C57CC5" w:rsidRPr="00900CEC" w:rsidRDefault="00C57CC5" w:rsidP="00C57CC5">
      <w:pPr>
        <w:pStyle w:val="Sraassuenkleliais"/>
        <w:widowControl/>
        <w:tabs>
          <w:tab w:val="left" w:pos="709"/>
        </w:tabs>
        <w:ind w:left="0" w:firstLine="0"/>
        <w:rPr>
          <w:rFonts w:ascii="Times New Roman" w:hAnsi="Times New Roman" w:cs="Times New Roman"/>
          <w:i/>
          <w:iCs/>
          <w:szCs w:val="22"/>
          <w:lang w:val="lt-LT" w:eastAsia="en-US"/>
        </w:rPr>
      </w:pPr>
      <w:r w:rsidRPr="00900CEC">
        <w:rPr>
          <w:rFonts w:ascii="Times New Roman" w:hAnsi="Times New Roman" w:cs="Times New Roman"/>
          <w:i/>
          <w:iCs/>
          <w:szCs w:val="22"/>
          <w:lang w:val="lt-LT" w:eastAsia="en-US"/>
        </w:rPr>
        <w:t>Regėjimo sutrikimai</w:t>
      </w:r>
    </w:p>
    <w:p w14:paraId="21B14E4E" w14:textId="0FC38EAE" w:rsidR="00C57CC5" w:rsidRPr="00900CEC" w:rsidRDefault="00C57CC5" w:rsidP="00C57CC5">
      <w:pPr>
        <w:tabs>
          <w:tab w:val="clear" w:pos="567"/>
        </w:tabs>
        <w:spacing w:line="240" w:lineRule="auto"/>
        <w:rPr>
          <w:szCs w:val="22"/>
          <w:lang w:val="lt-LT"/>
        </w:rPr>
      </w:pPr>
      <w:r w:rsidRPr="00900CEC">
        <w:rPr>
          <w:szCs w:val="22"/>
          <w:lang w:val="lt-LT"/>
        </w:rPr>
        <w:t xml:space="preserve">Jeigu po </w:t>
      </w:r>
      <w:proofErr w:type="spellStart"/>
      <w:r w:rsidR="006A24B2">
        <w:rPr>
          <w:lang w:val="lt-LT"/>
        </w:rPr>
        <w:t>Paracetamol</w:t>
      </w:r>
      <w:proofErr w:type="spellEnd"/>
      <w:r w:rsidR="006A24B2">
        <w:rPr>
          <w:lang w:val="lt-LT"/>
        </w:rPr>
        <w:t>/</w:t>
      </w:r>
      <w:proofErr w:type="spellStart"/>
      <w:r w:rsidR="006A24B2">
        <w:rPr>
          <w:lang w:val="lt-LT"/>
        </w:rPr>
        <w:t>Ibuprofen</w:t>
      </w:r>
      <w:proofErr w:type="spellEnd"/>
      <w:r w:rsidR="006A24B2">
        <w:rPr>
          <w:lang w:val="lt-LT"/>
        </w:rPr>
        <w:t xml:space="preserve"> AFT </w:t>
      </w:r>
      <w:proofErr w:type="spellStart"/>
      <w:r w:rsidR="006A24B2">
        <w:rPr>
          <w:lang w:val="lt-LT"/>
        </w:rPr>
        <w:t>Pharmaceuticals</w:t>
      </w:r>
      <w:proofErr w:type="spellEnd"/>
      <w:r w:rsidRPr="00900CEC">
        <w:rPr>
          <w:lang w:val="lt-LT"/>
        </w:rPr>
        <w:t xml:space="preserve"> </w:t>
      </w:r>
      <w:r w:rsidRPr="00900CEC">
        <w:rPr>
          <w:szCs w:val="22"/>
          <w:lang w:val="lt-LT"/>
        </w:rPr>
        <w:t>vartojimo pastebėjote bet kokių regėjimo sutrikimų, nutraukite šio vaisto vartojimą ir kreipkitės į gydytoją.</w:t>
      </w:r>
    </w:p>
    <w:p w14:paraId="2A15D9CF" w14:textId="77777777" w:rsidR="00C57CC5" w:rsidRPr="00900CEC" w:rsidRDefault="00C57CC5" w:rsidP="00C57CC5">
      <w:pPr>
        <w:tabs>
          <w:tab w:val="clear" w:pos="567"/>
        </w:tabs>
        <w:spacing w:line="240" w:lineRule="auto"/>
        <w:rPr>
          <w:b/>
          <w:bCs/>
          <w:szCs w:val="22"/>
          <w:lang w:val="lt-LT"/>
        </w:rPr>
      </w:pPr>
    </w:p>
    <w:p w14:paraId="23519B04" w14:textId="77777777" w:rsidR="00C57CC5" w:rsidRPr="00900CEC" w:rsidRDefault="00C57CC5" w:rsidP="00C57CC5">
      <w:pPr>
        <w:numPr>
          <w:ilvl w:val="12"/>
          <w:numId w:val="0"/>
        </w:numPr>
        <w:tabs>
          <w:tab w:val="clear" w:pos="567"/>
        </w:tabs>
        <w:spacing w:line="240" w:lineRule="auto"/>
        <w:ind w:right="-2"/>
        <w:rPr>
          <w:szCs w:val="22"/>
          <w:lang w:val="lt-LT"/>
        </w:rPr>
      </w:pPr>
    </w:p>
    <w:p w14:paraId="0CB4A081" w14:textId="77777777" w:rsidR="00C57CC5" w:rsidRPr="00900CEC" w:rsidRDefault="00C57CC5" w:rsidP="00C57CC5">
      <w:pPr>
        <w:pStyle w:val="Antrat2"/>
        <w:spacing w:before="0" w:after="0" w:line="240" w:lineRule="auto"/>
        <w:rPr>
          <w:rFonts w:ascii="Times New Roman" w:hAnsi="Times New Roman"/>
          <w:i w:val="0"/>
          <w:sz w:val="22"/>
          <w:szCs w:val="22"/>
          <w:lang w:val="lt-LT"/>
        </w:rPr>
      </w:pPr>
      <w:r w:rsidRPr="00900CEC">
        <w:rPr>
          <w:rFonts w:ascii="Times New Roman" w:hAnsi="Times New Roman"/>
          <w:i w:val="0"/>
          <w:sz w:val="22"/>
          <w:szCs w:val="22"/>
          <w:lang w:val="lt-LT"/>
        </w:rPr>
        <w:t>Vaikams ir paaugliams</w:t>
      </w:r>
    </w:p>
    <w:p w14:paraId="087E233F" w14:textId="09227641" w:rsidR="00C57CC5" w:rsidRPr="00900CEC" w:rsidRDefault="006A24B2" w:rsidP="00C57CC5">
      <w:pPr>
        <w:tabs>
          <w:tab w:val="clear" w:pos="567"/>
        </w:tabs>
        <w:spacing w:line="240" w:lineRule="auto"/>
        <w:rPr>
          <w:szCs w:val="22"/>
          <w:lang w:val="lt-LT"/>
        </w:rPr>
      </w:pPr>
      <w:proofErr w:type="spellStart"/>
      <w:r>
        <w:rPr>
          <w:lang w:val="lt-LT"/>
        </w:rPr>
        <w:t>Paracetamol</w:t>
      </w:r>
      <w:proofErr w:type="spellEnd"/>
      <w:r>
        <w:rPr>
          <w:lang w:val="lt-LT"/>
        </w:rPr>
        <w:t>/</w:t>
      </w:r>
      <w:proofErr w:type="spellStart"/>
      <w:r>
        <w:rPr>
          <w:lang w:val="lt-LT"/>
        </w:rPr>
        <w:t>Ibuprofen</w:t>
      </w:r>
      <w:proofErr w:type="spellEnd"/>
      <w:r>
        <w:rPr>
          <w:lang w:val="lt-LT"/>
        </w:rPr>
        <w:t xml:space="preserve"> AFT </w:t>
      </w:r>
      <w:proofErr w:type="spellStart"/>
      <w:r>
        <w:rPr>
          <w:lang w:val="lt-LT"/>
        </w:rPr>
        <w:t>Pharmaceuticals</w:t>
      </w:r>
      <w:proofErr w:type="spellEnd"/>
      <w:r w:rsidR="00C57CC5" w:rsidRPr="00900CEC">
        <w:rPr>
          <w:lang w:val="lt-LT"/>
        </w:rPr>
        <w:t xml:space="preserve"> </w:t>
      </w:r>
      <w:r w:rsidR="00C57CC5" w:rsidRPr="00900CEC">
        <w:rPr>
          <w:szCs w:val="22"/>
          <w:lang w:val="lt-LT"/>
        </w:rPr>
        <w:t>negalima vartoti vaikams ir paaugliams iki 18</w:t>
      </w:r>
      <w:r w:rsidR="00AB6D2E">
        <w:rPr>
          <w:szCs w:val="22"/>
          <w:lang w:val="lt-LT"/>
        </w:rPr>
        <w:t> </w:t>
      </w:r>
      <w:r w:rsidR="00C57CC5" w:rsidRPr="00900CEC">
        <w:rPr>
          <w:szCs w:val="22"/>
          <w:lang w:val="lt-LT"/>
        </w:rPr>
        <w:t>metų.</w:t>
      </w:r>
    </w:p>
    <w:p w14:paraId="6A1AEC12" w14:textId="77777777" w:rsidR="00C57CC5" w:rsidRPr="00900CEC" w:rsidRDefault="00C57CC5" w:rsidP="00C57CC5">
      <w:pPr>
        <w:tabs>
          <w:tab w:val="clear" w:pos="567"/>
        </w:tabs>
        <w:spacing w:line="240" w:lineRule="auto"/>
        <w:rPr>
          <w:szCs w:val="22"/>
          <w:lang w:val="lt-LT"/>
        </w:rPr>
      </w:pPr>
    </w:p>
    <w:p w14:paraId="25DF539F" w14:textId="6EE7AE7D" w:rsidR="00C57CC5" w:rsidRPr="00900CEC" w:rsidRDefault="00C57CC5" w:rsidP="00C57CC5">
      <w:pPr>
        <w:pStyle w:val="Antrat2"/>
        <w:spacing w:before="0" w:after="0" w:line="240" w:lineRule="auto"/>
        <w:rPr>
          <w:rFonts w:ascii="Times New Roman" w:hAnsi="Times New Roman"/>
          <w:i w:val="0"/>
          <w:sz w:val="22"/>
          <w:szCs w:val="22"/>
          <w:lang w:val="lt-LT"/>
        </w:rPr>
      </w:pPr>
      <w:r w:rsidRPr="00900CEC">
        <w:rPr>
          <w:rFonts w:ascii="Times New Roman" w:hAnsi="Times New Roman"/>
          <w:i w:val="0"/>
          <w:sz w:val="22"/>
          <w:szCs w:val="22"/>
          <w:lang w:val="lt-LT"/>
        </w:rPr>
        <w:t xml:space="preserve">Kiti vaistai ir </w:t>
      </w:r>
      <w:proofErr w:type="spellStart"/>
      <w:r w:rsidR="006A24B2">
        <w:rPr>
          <w:rFonts w:ascii="Times New Roman" w:hAnsi="Times New Roman"/>
          <w:i w:val="0"/>
          <w:sz w:val="22"/>
          <w:szCs w:val="22"/>
          <w:lang w:val="lt-LT"/>
        </w:rPr>
        <w:t>Paracetamol</w:t>
      </w:r>
      <w:proofErr w:type="spellEnd"/>
      <w:r w:rsidR="006A24B2">
        <w:rPr>
          <w:rFonts w:ascii="Times New Roman" w:hAnsi="Times New Roman"/>
          <w:i w:val="0"/>
          <w:sz w:val="22"/>
          <w:szCs w:val="22"/>
          <w:lang w:val="lt-LT"/>
        </w:rPr>
        <w:t>/</w:t>
      </w:r>
      <w:proofErr w:type="spellStart"/>
      <w:r w:rsidR="006A24B2">
        <w:rPr>
          <w:rFonts w:ascii="Times New Roman" w:hAnsi="Times New Roman"/>
          <w:i w:val="0"/>
          <w:sz w:val="22"/>
          <w:szCs w:val="22"/>
          <w:lang w:val="lt-LT"/>
        </w:rPr>
        <w:t>Ibuprofen</w:t>
      </w:r>
      <w:proofErr w:type="spellEnd"/>
      <w:r w:rsidR="006A24B2">
        <w:rPr>
          <w:rFonts w:ascii="Times New Roman" w:hAnsi="Times New Roman"/>
          <w:i w:val="0"/>
          <w:sz w:val="22"/>
          <w:szCs w:val="22"/>
          <w:lang w:val="lt-LT"/>
        </w:rPr>
        <w:t xml:space="preserve"> AFT </w:t>
      </w:r>
      <w:proofErr w:type="spellStart"/>
      <w:r w:rsidR="006A24B2">
        <w:rPr>
          <w:rFonts w:ascii="Times New Roman" w:hAnsi="Times New Roman"/>
          <w:i w:val="0"/>
          <w:sz w:val="22"/>
          <w:szCs w:val="22"/>
          <w:lang w:val="lt-LT"/>
        </w:rPr>
        <w:t>Pharmaceuticals</w:t>
      </w:r>
      <w:proofErr w:type="spellEnd"/>
    </w:p>
    <w:p w14:paraId="0397AF84" w14:textId="77777777" w:rsidR="00C57CC5" w:rsidRPr="00900CEC" w:rsidRDefault="00C57CC5" w:rsidP="00C57CC5">
      <w:pPr>
        <w:spacing w:line="240" w:lineRule="auto"/>
        <w:rPr>
          <w:szCs w:val="22"/>
          <w:lang w:val="lt-LT"/>
        </w:rPr>
      </w:pPr>
      <w:r w:rsidRPr="00900CEC">
        <w:rPr>
          <w:szCs w:val="22"/>
          <w:lang w:val="lt-LT"/>
        </w:rPr>
        <w:t>Jeigu vartojate ar neseniai vartojote kitų vaistų arba dėl to nesate tikri, apie tai pasakykite gydytojui arba vaistininkui.</w:t>
      </w:r>
    </w:p>
    <w:p w14:paraId="6D3509A2" w14:textId="77777777" w:rsidR="00C57CC5" w:rsidRPr="00900CEC" w:rsidRDefault="00C57CC5" w:rsidP="00C57CC5">
      <w:pPr>
        <w:spacing w:line="240" w:lineRule="auto"/>
        <w:rPr>
          <w:szCs w:val="22"/>
          <w:lang w:val="lt-LT"/>
        </w:rPr>
      </w:pPr>
    </w:p>
    <w:p w14:paraId="26BF6BE9" w14:textId="77777777" w:rsidR="00C57CC5" w:rsidRPr="00900CEC" w:rsidRDefault="00C57CC5" w:rsidP="00C57CC5">
      <w:pPr>
        <w:spacing w:line="240" w:lineRule="auto"/>
        <w:rPr>
          <w:szCs w:val="22"/>
          <w:lang w:val="lt-LT"/>
        </w:rPr>
      </w:pPr>
      <w:r w:rsidRPr="00900CEC">
        <w:rPr>
          <w:szCs w:val="22"/>
          <w:lang w:val="lt-LT"/>
        </w:rPr>
        <w:t>Visada pasakykite gydytojui, jei vartojate kitų vaistų, kurių sudėtyje yra paracetamolio, ibuprofeno ar kitų NVNU grupės skausmą malšinančių vaistų, įskaitant tuos, kuriuos galite įsigyti be recepto. Taip siekiama išvengti perdozavimo pavojaus.</w:t>
      </w:r>
    </w:p>
    <w:p w14:paraId="189B9E64" w14:textId="77777777" w:rsidR="00C57CC5" w:rsidRPr="00900CEC" w:rsidRDefault="00C57CC5" w:rsidP="00C57CC5">
      <w:pPr>
        <w:spacing w:line="240" w:lineRule="auto"/>
        <w:rPr>
          <w:szCs w:val="22"/>
          <w:lang w:val="lt-LT"/>
        </w:rPr>
      </w:pPr>
    </w:p>
    <w:p w14:paraId="25182684" w14:textId="491DEDB7" w:rsidR="00C57CC5" w:rsidRPr="00900CEC" w:rsidRDefault="006A24B2" w:rsidP="00C57CC5">
      <w:pPr>
        <w:spacing w:line="240" w:lineRule="auto"/>
        <w:rPr>
          <w:szCs w:val="22"/>
          <w:lang w:val="lt-LT"/>
        </w:rPr>
      </w:pPr>
      <w:proofErr w:type="spellStart"/>
      <w:r>
        <w:rPr>
          <w:szCs w:val="22"/>
          <w:lang w:val="lt-LT"/>
        </w:rPr>
        <w:t>Paracetamol</w:t>
      </w:r>
      <w:proofErr w:type="spellEnd"/>
      <w:r>
        <w:rPr>
          <w:szCs w:val="22"/>
          <w:lang w:val="lt-LT"/>
        </w:rPr>
        <w:t>/</w:t>
      </w:r>
      <w:proofErr w:type="spellStart"/>
      <w:r>
        <w:rPr>
          <w:szCs w:val="22"/>
          <w:lang w:val="lt-LT"/>
        </w:rPr>
        <w:t>Ibuprofen</w:t>
      </w:r>
      <w:proofErr w:type="spellEnd"/>
      <w:r>
        <w:rPr>
          <w:szCs w:val="22"/>
          <w:lang w:val="lt-LT"/>
        </w:rPr>
        <w:t xml:space="preserve"> AFT </w:t>
      </w:r>
      <w:proofErr w:type="spellStart"/>
      <w:r>
        <w:rPr>
          <w:szCs w:val="22"/>
          <w:lang w:val="lt-LT"/>
        </w:rPr>
        <w:t>Pharmaceuticals</w:t>
      </w:r>
      <w:proofErr w:type="spellEnd"/>
      <w:r w:rsidR="00C57CC5" w:rsidRPr="00900CEC">
        <w:rPr>
          <w:szCs w:val="22"/>
          <w:lang w:val="lt-LT"/>
        </w:rPr>
        <w:t xml:space="preserve"> gali turėti įtakos kitų vaistų poveikiui, o kiti vaistai gali turėti įtakos šio vaisto poveikiui. Tokių vaistų pavyzdžiai:</w:t>
      </w:r>
    </w:p>
    <w:p w14:paraId="2A8A54AB" w14:textId="77777777" w:rsidR="00C57CC5" w:rsidRPr="00900CEC" w:rsidRDefault="00C57CC5" w:rsidP="00C57CC5">
      <w:pPr>
        <w:pStyle w:val="Sraopastraipa"/>
        <w:numPr>
          <w:ilvl w:val="0"/>
          <w:numId w:val="35"/>
        </w:numPr>
        <w:spacing w:line="240" w:lineRule="auto"/>
        <w:ind w:left="567" w:hanging="567"/>
        <w:rPr>
          <w:szCs w:val="22"/>
          <w:lang w:val="lt-LT"/>
        </w:rPr>
      </w:pPr>
      <w:proofErr w:type="spellStart"/>
      <w:r w:rsidRPr="00900CEC">
        <w:rPr>
          <w:szCs w:val="22"/>
          <w:lang w:val="lt-LT"/>
        </w:rPr>
        <w:t>acetilsalicilo</w:t>
      </w:r>
      <w:proofErr w:type="spellEnd"/>
      <w:r w:rsidRPr="00900CEC">
        <w:rPr>
          <w:szCs w:val="22"/>
          <w:lang w:val="lt-LT"/>
        </w:rPr>
        <w:t xml:space="preserve"> rūgštis, </w:t>
      </w:r>
      <w:proofErr w:type="spellStart"/>
      <w:r w:rsidRPr="00900CEC">
        <w:rPr>
          <w:szCs w:val="22"/>
          <w:lang w:val="lt-LT"/>
        </w:rPr>
        <w:t>salicilatai</w:t>
      </w:r>
      <w:proofErr w:type="spellEnd"/>
      <w:r w:rsidRPr="00900CEC">
        <w:rPr>
          <w:szCs w:val="22"/>
          <w:lang w:val="lt-LT"/>
        </w:rPr>
        <w:t xml:space="preserve"> ar kiti NVNU (įskaitant COX-2 inhibitorius, tokius kaip </w:t>
      </w:r>
      <w:proofErr w:type="spellStart"/>
      <w:r w:rsidRPr="00900CEC">
        <w:rPr>
          <w:szCs w:val="22"/>
          <w:lang w:val="lt-LT"/>
        </w:rPr>
        <w:t>celekoksibas</w:t>
      </w:r>
      <w:proofErr w:type="spellEnd"/>
      <w:r w:rsidRPr="00900CEC">
        <w:rPr>
          <w:szCs w:val="22"/>
          <w:lang w:val="lt-LT"/>
        </w:rPr>
        <w:t xml:space="preserve"> ar </w:t>
      </w:r>
      <w:proofErr w:type="spellStart"/>
      <w:r w:rsidRPr="00900CEC">
        <w:rPr>
          <w:szCs w:val="22"/>
          <w:lang w:val="lt-LT"/>
        </w:rPr>
        <w:t>etorikoksibas</w:t>
      </w:r>
      <w:proofErr w:type="spellEnd"/>
      <w:r w:rsidRPr="00900CEC">
        <w:rPr>
          <w:szCs w:val="22"/>
          <w:lang w:val="lt-LT"/>
        </w:rPr>
        <w:t>);</w:t>
      </w:r>
    </w:p>
    <w:p w14:paraId="17DEFF3D" w14:textId="77777777" w:rsidR="00C57CC5" w:rsidRPr="00900CEC" w:rsidRDefault="00C57CC5" w:rsidP="00C57CC5">
      <w:pPr>
        <w:pStyle w:val="Sraopastraipa"/>
        <w:numPr>
          <w:ilvl w:val="0"/>
          <w:numId w:val="35"/>
        </w:numPr>
        <w:spacing w:line="240" w:lineRule="auto"/>
        <w:ind w:left="567" w:hanging="567"/>
        <w:rPr>
          <w:szCs w:val="22"/>
          <w:lang w:val="lt-LT"/>
        </w:rPr>
      </w:pPr>
      <w:r w:rsidRPr="00900CEC">
        <w:rPr>
          <w:szCs w:val="22"/>
          <w:lang w:val="lt-LT"/>
        </w:rPr>
        <w:t xml:space="preserve">vaistai širdies ligoms gydyti (pvz., </w:t>
      </w:r>
      <w:proofErr w:type="spellStart"/>
      <w:r w:rsidRPr="00900CEC">
        <w:rPr>
          <w:szCs w:val="22"/>
          <w:lang w:val="lt-LT"/>
        </w:rPr>
        <w:t>digoksinas</w:t>
      </w:r>
      <w:proofErr w:type="spellEnd"/>
      <w:r w:rsidRPr="00900CEC">
        <w:rPr>
          <w:szCs w:val="22"/>
          <w:lang w:val="lt-LT"/>
        </w:rPr>
        <w:t xml:space="preserve"> ar beta </w:t>
      </w:r>
      <w:proofErr w:type="spellStart"/>
      <w:r w:rsidRPr="00900CEC">
        <w:rPr>
          <w:szCs w:val="22"/>
          <w:lang w:val="lt-LT"/>
        </w:rPr>
        <w:t>adrenoblokatoriai</w:t>
      </w:r>
      <w:proofErr w:type="spellEnd"/>
      <w:r w:rsidRPr="00900CEC">
        <w:rPr>
          <w:szCs w:val="22"/>
          <w:lang w:val="lt-LT"/>
        </w:rPr>
        <w:t>);</w:t>
      </w:r>
    </w:p>
    <w:p w14:paraId="60F275D7" w14:textId="77777777" w:rsidR="00C57CC5" w:rsidRPr="00900CEC" w:rsidRDefault="00C57CC5" w:rsidP="00C57CC5">
      <w:pPr>
        <w:pStyle w:val="Sraopastraipa"/>
        <w:numPr>
          <w:ilvl w:val="0"/>
          <w:numId w:val="35"/>
        </w:numPr>
        <w:spacing w:line="240" w:lineRule="auto"/>
        <w:ind w:left="567" w:hanging="567"/>
        <w:rPr>
          <w:szCs w:val="22"/>
          <w:lang w:val="lt-LT"/>
        </w:rPr>
      </w:pPr>
      <w:r w:rsidRPr="00900CEC">
        <w:rPr>
          <w:szCs w:val="22"/>
          <w:lang w:val="lt-LT"/>
        </w:rPr>
        <w:t xml:space="preserve">kortikosteroidai, tokie kaip prednizonas, </w:t>
      </w:r>
      <w:proofErr w:type="spellStart"/>
      <w:r w:rsidRPr="00900CEC">
        <w:rPr>
          <w:szCs w:val="22"/>
          <w:lang w:val="lt-LT"/>
        </w:rPr>
        <w:t>kortizonas</w:t>
      </w:r>
      <w:proofErr w:type="spellEnd"/>
      <w:r w:rsidRPr="00900CEC">
        <w:rPr>
          <w:szCs w:val="22"/>
          <w:lang w:val="lt-LT"/>
        </w:rPr>
        <w:t>;</w:t>
      </w:r>
    </w:p>
    <w:p w14:paraId="509F992A" w14:textId="77777777" w:rsidR="00C57CC5" w:rsidRPr="00900CEC" w:rsidRDefault="00C57CC5" w:rsidP="00C57CC5">
      <w:pPr>
        <w:pStyle w:val="Sraopastraipa"/>
        <w:numPr>
          <w:ilvl w:val="0"/>
          <w:numId w:val="35"/>
        </w:numPr>
        <w:spacing w:line="240" w:lineRule="auto"/>
        <w:ind w:left="567" w:hanging="567"/>
        <w:rPr>
          <w:szCs w:val="22"/>
          <w:lang w:val="lt-LT"/>
        </w:rPr>
      </w:pPr>
      <w:r w:rsidRPr="00900CEC">
        <w:rPr>
          <w:szCs w:val="22"/>
          <w:lang w:val="lt-LT"/>
        </w:rPr>
        <w:t xml:space="preserve">antikoaguliantai (t. y. skystinantys kraują / slopinantys kraujo krešulių susidarymą vaistai, pvz., </w:t>
      </w:r>
      <w:proofErr w:type="spellStart"/>
      <w:r w:rsidRPr="00900CEC">
        <w:rPr>
          <w:szCs w:val="22"/>
          <w:lang w:val="lt-LT"/>
        </w:rPr>
        <w:t>acetilsalicilo</w:t>
      </w:r>
      <w:proofErr w:type="spellEnd"/>
      <w:r w:rsidRPr="00900CEC">
        <w:rPr>
          <w:szCs w:val="22"/>
          <w:lang w:val="lt-LT"/>
        </w:rPr>
        <w:t xml:space="preserve"> rūgštis, varfarinas, </w:t>
      </w:r>
      <w:proofErr w:type="spellStart"/>
      <w:r w:rsidRPr="00900CEC">
        <w:rPr>
          <w:szCs w:val="22"/>
          <w:lang w:val="lt-LT"/>
        </w:rPr>
        <w:t>tiklopidinas</w:t>
      </w:r>
      <w:proofErr w:type="spellEnd"/>
      <w:r w:rsidRPr="00900CEC">
        <w:rPr>
          <w:szCs w:val="22"/>
          <w:lang w:val="lt-LT"/>
        </w:rPr>
        <w:t>);</w:t>
      </w:r>
    </w:p>
    <w:p w14:paraId="15C3B4DB" w14:textId="77777777" w:rsidR="00C57CC5" w:rsidRPr="00900CEC" w:rsidRDefault="00C57CC5" w:rsidP="00C57CC5">
      <w:pPr>
        <w:pStyle w:val="Sraopastraipa"/>
        <w:numPr>
          <w:ilvl w:val="0"/>
          <w:numId w:val="35"/>
        </w:numPr>
        <w:spacing w:line="240" w:lineRule="auto"/>
        <w:ind w:left="567" w:hanging="567"/>
        <w:rPr>
          <w:szCs w:val="22"/>
          <w:lang w:val="lt-LT"/>
        </w:rPr>
      </w:pPr>
      <w:r w:rsidRPr="00900CEC">
        <w:rPr>
          <w:szCs w:val="22"/>
          <w:lang w:val="lt-LT"/>
        </w:rPr>
        <w:t xml:space="preserve">vaistai, mažinantys aukštą kraujospūdį (AKF inhibitoriai, tokie kaip </w:t>
      </w:r>
      <w:proofErr w:type="spellStart"/>
      <w:r w:rsidRPr="00900CEC">
        <w:rPr>
          <w:szCs w:val="22"/>
          <w:lang w:val="lt-LT"/>
        </w:rPr>
        <w:t>kaptoprilis</w:t>
      </w:r>
      <w:proofErr w:type="spellEnd"/>
      <w:r w:rsidRPr="00900CEC">
        <w:rPr>
          <w:szCs w:val="22"/>
          <w:lang w:val="lt-LT"/>
        </w:rPr>
        <w:t xml:space="preserve">, beta </w:t>
      </w:r>
      <w:proofErr w:type="spellStart"/>
      <w:r w:rsidRPr="00900CEC">
        <w:rPr>
          <w:szCs w:val="22"/>
          <w:lang w:val="lt-LT"/>
        </w:rPr>
        <w:t>adrenoblokatoriai</w:t>
      </w:r>
      <w:proofErr w:type="spellEnd"/>
      <w:r w:rsidRPr="00900CEC">
        <w:rPr>
          <w:szCs w:val="22"/>
          <w:lang w:val="lt-LT"/>
        </w:rPr>
        <w:t xml:space="preserve">, tokie kaip </w:t>
      </w:r>
      <w:proofErr w:type="spellStart"/>
      <w:r w:rsidRPr="00900CEC">
        <w:rPr>
          <w:szCs w:val="22"/>
          <w:lang w:val="lt-LT"/>
        </w:rPr>
        <w:t>atenololis</w:t>
      </w:r>
      <w:proofErr w:type="spellEnd"/>
      <w:r w:rsidRPr="00900CEC">
        <w:rPr>
          <w:szCs w:val="22"/>
          <w:lang w:val="lt-LT"/>
        </w:rPr>
        <w:t xml:space="preserve">, </w:t>
      </w:r>
      <w:proofErr w:type="spellStart"/>
      <w:r w:rsidRPr="00900CEC">
        <w:rPr>
          <w:szCs w:val="22"/>
          <w:lang w:val="lt-LT"/>
        </w:rPr>
        <w:t>angiotenzino</w:t>
      </w:r>
      <w:proofErr w:type="spellEnd"/>
      <w:r w:rsidRPr="00900CEC">
        <w:rPr>
          <w:szCs w:val="22"/>
          <w:lang w:val="lt-LT"/>
        </w:rPr>
        <w:t xml:space="preserve">-II receptorių antagonistai, tokie kaip </w:t>
      </w:r>
      <w:proofErr w:type="spellStart"/>
      <w:r w:rsidRPr="00900CEC">
        <w:rPr>
          <w:szCs w:val="22"/>
          <w:lang w:val="lt-LT"/>
        </w:rPr>
        <w:t>losartanas</w:t>
      </w:r>
      <w:proofErr w:type="spellEnd"/>
      <w:r w:rsidRPr="00900CEC">
        <w:rPr>
          <w:szCs w:val="22"/>
          <w:lang w:val="lt-LT"/>
        </w:rPr>
        <w:t>);</w:t>
      </w:r>
    </w:p>
    <w:p w14:paraId="0FFDEBCF" w14:textId="77777777" w:rsidR="00C57CC5" w:rsidRPr="00900CEC" w:rsidRDefault="00C57CC5" w:rsidP="00C57CC5">
      <w:pPr>
        <w:pStyle w:val="Sraopastraipa"/>
        <w:numPr>
          <w:ilvl w:val="0"/>
          <w:numId w:val="35"/>
        </w:numPr>
        <w:spacing w:line="240" w:lineRule="auto"/>
        <w:ind w:left="567" w:hanging="567"/>
        <w:rPr>
          <w:szCs w:val="22"/>
          <w:lang w:val="lt-LT"/>
        </w:rPr>
      </w:pPr>
      <w:r w:rsidRPr="00900CEC">
        <w:rPr>
          <w:szCs w:val="22"/>
          <w:lang w:val="lt-LT"/>
        </w:rPr>
        <w:lastRenderedPageBreak/>
        <w:t xml:space="preserve">vaistai epilepsijai ar priepuoliams gydyti (pvz., </w:t>
      </w:r>
      <w:proofErr w:type="spellStart"/>
      <w:r w:rsidRPr="00900CEC">
        <w:rPr>
          <w:szCs w:val="22"/>
          <w:lang w:val="lt-LT"/>
        </w:rPr>
        <w:t>fenitoinas</w:t>
      </w:r>
      <w:proofErr w:type="spellEnd"/>
      <w:r w:rsidRPr="00900CEC">
        <w:rPr>
          <w:szCs w:val="22"/>
          <w:lang w:val="lt-LT"/>
        </w:rPr>
        <w:t xml:space="preserve">, </w:t>
      </w:r>
      <w:proofErr w:type="spellStart"/>
      <w:r w:rsidRPr="00900CEC">
        <w:rPr>
          <w:szCs w:val="22"/>
          <w:lang w:val="lt-LT"/>
        </w:rPr>
        <w:t>fenobarbitalis</w:t>
      </w:r>
      <w:proofErr w:type="spellEnd"/>
      <w:r w:rsidRPr="00900CEC">
        <w:rPr>
          <w:szCs w:val="22"/>
          <w:lang w:val="lt-LT"/>
        </w:rPr>
        <w:t xml:space="preserve">, </w:t>
      </w:r>
      <w:proofErr w:type="spellStart"/>
      <w:r w:rsidRPr="00900CEC">
        <w:rPr>
          <w:szCs w:val="22"/>
          <w:lang w:val="lt-LT"/>
        </w:rPr>
        <w:t>karbamazepinas</w:t>
      </w:r>
      <w:proofErr w:type="spellEnd"/>
      <w:r w:rsidRPr="00900CEC">
        <w:rPr>
          <w:szCs w:val="22"/>
          <w:lang w:val="lt-LT"/>
        </w:rPr>
        <w:t>);</w:t>
      </w:r>
    </w:p>
    <w:p w14:paraId="1B4C2B29" w14:textId="77777777" w:rsidR="00C57CC5" w:rsidRPr="00900CEC" w:rsidRDefault="00C57CC5" w:rsidP="00C57CC5">
      <w:pPr>
        <w:pStyle w:val="Sraopastraipa"/>
        <w:numPr>
          <w:ilvl w:val="0"/>
          <w:numId w:val="35"/>
        </w:numPr>
        <w:spacing w:line="240" w:lineRule="auto"/>
        <w:ind w:left="567" w:hanging="567"/>
        <w:rPr>
          <w:szCs w:val="22"/>
          <w:lang w:val="lt-LT"/>
        </w:rPr>
      </w:pPr>
      <w:r w:rsidRPr="00900CEC">
        <w:rPr>
          <w:szCs w:val="22"/>
          <w:lang w:val="lt-LT"/>
        </w:rPr>
        <w:t>vaistai, vartojami manijai gydyti (pvz., litis);</w:t>
      </w:r>
    </w:p>
    <w:p w14:paraId="542077E5" w14:textId="77777777" w:rsidR="00C57CC5" w:rsidRPr="00900CEC" w:rsidRDefault="00C57CC5" w:rsidP="00C57CC5">
      <w:pPr>
        <w:pStyle w:val="Sraopastraipa"/>
        <w:numPr>
          <w:ilvl w:val="0"/>
          <w:numId w:val="35"/>
        </w:numPr>
        <w:spacing w:line="240" w:lineRule="auto"/>
        <w:ind w:left="567" w:hanging="567"/>
        <w:rPr>
          <w:szCs w:val="22"/>
          <w:lang w:val="lt-LT"/>
        </w:rPr>
      </w:pPr>
      <w:r w:rsidRPr="00900CEC">
        <w:rPr>
          <w:szCs w:val="22"/>
          <w:lang w:val="lt-LT"/>
        </w:rPr>
        <w:t xml:space="preserve">vaistai depresijai gydyti, pvz., SSRI (selektyvieji </w:t>
      </w:r>
      <w:proofErr w:type="spellStart"/>
      <w:r w:rsidRPr="00900CEC">
        <w:rPr>
          <w:szCs w:val="22"/>
          <w:lang w:val="lt-LT"/>
        </w:rPr>
        <w:t>serotonino</w:t>
      </w:r>
      <w:proofErr w:type="spellEnd"/>
      <w:r w:rsidRPr="00900CEC">
        <w:rPr>
          <w:szCs w:val="22"/>
          <w:lang w:val="lt-LT"/>
        </w:rPr>
        <w:t xml:space="preserve"> reabsorbcijos inhibitoriai);</w:t>
      </w:r>
    </w:p>
    <w:p w14:paraId="7CA46846" w14:textId="77777777" w:rsidR="00C57CC5" w:rsidRPr="00900CEC" w:rsidRDefault="00C57CC5" w:rsidP="00C57CC5">
      <w:pPr>
        <w:pStyle w:val="Sraopastraipa"/>
        <w:numPr>
          <w:ilvl w:val="0"/>
          <w:numId w:val="35"/>
        </w:numPr>
        <w:spacing w:line="240" w:lineRule="auto"/>
        <w:ind w:left="567" w:hanging="567"/>
        <w:rPr>
          <w:szCs w:val="22"/>
          <w:lang w:val="lt-LT"/>
        </w:rPr>
      </w:pPr>
      <w:r w:rsidRPr="00900CEC">
        <w:rPr>
          <w:szCs w:val="22"/>
          <w:lang w:val="lt-LT"/>
        </w:rPr>
        <w:t>probenecidas (vaistas, vartojamas podagrai gydyti);</w:t>
      </w:r>
    </w:p>
    <w:p w14:paraId="4A414EB3" w14:textId="77777777" w:rsidR="00C57CC5" w:rsidRPr="00900CEC" w:rsidRDefault="00C57CC5" w:rsidP="00C57CC5">
      <w:pPr>
        <w:pStyle w:val="Sraopastraipa"/>
        <w:numPr>
          <w:ilvl w:val="0"/>
          <w:numId w:val="35"/>
        </w:numPr>
        <w:spacing w:line="240" w:lineRule="auto"/>
        <w:ind w:left="567" w:hanging="567"/>
        <w:rPr>
          <w:szCs w:val="22"/>
          <w:lang w:val="lt-LT"/>
        </w:rPr>
      </w:pPr>
      <w:r w:rsidRPr="00900CEC">
        <w:rPr>
          <w:szCs w:val="22"/>
          <w:lang w:val="lt-LT"/>
        </w:rPr>
        <w:t>diuretikai (vaistai, skirti padidinti šlapimo išsiskyrimą);</w:t>
      </w:r>
    </w:p>
    <w:p w14:paraId="4674F9E0" w14:textId="77777777" w:rsidR="00C57CC5" w:rsidRPr="00900CEC" w:rsidRDefault="00C57CC5" w:rsidP="00C57CC5">
      <w:pPr>
        <w:pStyle w:val="Sraopastraipa"/>
        <w:numPr>
          <w:ilvl w:val="0"/>
          <w:numId w:val="35"/>
        </w:numPr>
        <w:spacing w:line="240" w:lineRule="auto"/>
        <w:ind w:left="567" w:hanging="567"/>
        <w:rPr>
          <w:szCs w:val="22"/>
          <w:lang w:val="lt-LT"/>
        </w:rPr>
      </w:pPr>
      <w:proofErr w:type="spellStart"/>
      <w:r w:rsidRPr="00900CEC">
        <w:rPr>
          <w:szCs w:val="22"/>
          <w:lang w:val="lt-LT"/>
        </w:rPr>
        <w:t>metotreksatas</w:t>
      </w:r>
      <w:proofErr w:type="spellEnd"/>
      <w:r w:rsidRPr="00900CEC">
        <w:rPr>
          <w:szCs w:val="22"/>
          <w:lang w:val="lt-LT"/>
        </w:rPr>
        <w:t xml:space="preserve"> (vaistas, vartojamas artritui ir kai kurioms vėžio rūšims gydyti);</w:t>
      </w:r>
    </w:p>
    <w:p w14:paraId="10A2DFD8" w14:textId="77777777" w:rsidR="00C57CC5" w:rsidRPr="00900CEC" w:rsidRDefault="00C57CC5" w:rsidP="00C57CC5">
      <w:pPr>
        <w:pStyle w:val="Sraopastraipa"/>
        <w:numPr>
          <w:ilvl w:val="0"/>
          <w:numId w:val="35"/>
        </w:numPr>
        <w:spacing w:line="240" w:lineRule="auto"/>
        <w:ind w:left="567" w:hanging="567"/>
        <w:rPr>
          <w:szCs w:val="22"/>
          <w:lang w:val="lt-LT"/>
        </w:rPr>
      </w:pPr>
      <w:proofErr w:type="spellStart"/>
      <w:r w:rsidRPr="00900CEC">
        <w:rPr>
          <w:szCs w:val="22"/>
          <w:lang w:val="lt-LT"/>
        </w:rPr>
        <w:t>takrolimuzas</w:t>
      </w:r>
      <w:proofErr w:type="spellEnd"/>
      <w:r w:rsidRPr="00900CEC">
        <w:rPr>
          <w:szCs w:val="22"/>
          <w:lang w:val="lt-LT"/>
        </w:rPr>
        <w:t xml:space="preserve"> arba </w:t>
      </w:r>
      <w:proofErr w:type="spellStart"/>
      <w:r w:rsidRPr="00900CEC">
        <w:rPr>
          <w:szCs w:val="22"/>
          <w:lang w:val="lt-LT"/>
        </w:rPr>
        <w:t>ciklosporinas</w:t>
      </w:r>
      <w:proofErr w:type="spellEnd"/>
      <w:r w:rsidRPr="00900CEC">
        <w:rPr>
          <w:szCs w:val="22"/>
          <w:lang w:val="lt-LT"/>
        </w:rPr>
        <w:t xml:space="preserve"> (imuninę sistemą slopinantys vaistai, vartojami po organų persodinimo);</w:t>
      </w:r>
    </w:p>
    <w:p w14:paraId="5372104C" w14:textId="77777777" w:rsidR="00C57CC5" w:rsidRPr="00900CEC" w:rsidRDefault="00C57CC5" w:rsidP="00C57CC5">
      <w:pPr>
        <w:pStyle w:val="Sraopastraipa"/>
        <w:numPr>
          <w:ilvl w:val="0"/>
          <w:numId w:val="35"/>
        </w:numPr>
        <w:spacing w:line="240" w:lineRule="auto"/>
        <w:ind w:left="567" w:hanging="567"/>
        <w:rPr>
          <w:szCs w:val="22"/>
          <w:lang w:val="lt-LT"/>
        </w:rPr>
      </w:pPr>
      <w:proofErr w:type="spellStart"/>
      <w:r w:rsidRPr="00900CEC">
        <w:rPr>
          <w:szCs w:val="22"/>
          <w:lang w:val="lt-LT"/>
        </w:rPr>
        <w:t>zidovudinas</w:t>
      </w:r>
      <w:proofErr w:type="spellEnd"/>
      <w:r w:rsidRPr="00900CEC">
        <w:rPr>
          <w:szCs w:val="22"/>
          <w:lang w:val="lt-LT"/>
        </w:rPr>
        <w:t xml:space="preserve"> (vaistas, vartojamas ŽIV (viruso, sukeliančio AIDS) gydymui);</w:t>
      </w:r>
    </w:p>
    <w:p w14:paraId="59E8219A" w14:textId="77777777" w:rsidR="00C57CC5" w:rsidRPr="00900CEC" w:rsidRDefault="00C57CC5" w:rsidP="00C57CC5">
      <w:pPr>
        <w:pStyle w:val="Sraopastraipa"/>
        <w:numPr>
          <w:ilvl w:val="0"/>
          <w:numId w:val="35"/>
        </w:numPr>
        <w:spacing w:line="240" w:lineRule="auto"/>
        <w:ind w:left="567" w:hanging="567"/>
        <w:rPr>
          <w:szCs w:val="22"/>
          <w:lang w:val="lt-LT"/>
        </w:rPr>
      </w:pPr>
      <w:proofErr w:type="spellStart"/>
      <w:r w:rsidRPr="00900CEC">
        <w:rPr>
          <w:szCs w:val="22"/>
          <w:lang w:val="lt-LT"/>
        </w:rPr>
        <w:t>sulfonilur</w:t>
      </w:r>
      <w:r>
        <w:rPr>
          <w:szCs w:val="22"/>
          <w:lang w:val="lt-LT"/>
        </w:rPr>
        <w:t>e</w:t>
      </w:r>
      <w:r w:rsidRPr="00900CEC">
        <w:rPr>
          <w:szCs w:val="22"/>
          <w:lang w:val="lt-LT"/>
        </w:rPr>
        <w:t>os</w:t>
      </w:r>
      <w:proofErr w:type="spellEnd"/>
      <w:r w:rsidRPr="00900CEC">
        <w:rPr>
          <w:szCs w:val="22"/>
          <w:lang w:val="lt-LT"/>
        </w:rPr>
        <w:t xml:space="preserve"> dariniai (vaistas, vartojamas cukriniam diabetui gydyti);</w:t>
      </w:r>
    </w:p>
    <w:p w14:paraId="395E03A9" w14:textId="77777777" w:rsidR="00C57CC5" w:rsidRPr="00900CEC" w:rsidRDefault="00C57CC5" w:rsidP="00C57CC5">
      <w:pPr>
        <w:pStyle w:val="Sraopastraipa"/>
        <w:numPr>
          <w:ilvl w:val="0"/>
          <w:numId w:val="35"/>
        </w:numPr>
        <w:spacing w:line="240" w:lineRule="auto"/>
        <w:ind w:left="567" w:hanging="567"/>
        <w:rPr>
          <w:szCs w:val="22"/>
          <w:lang w:val="lt-LT"/>
        </w:rPr>
      </w:pPr>
      <w:r w:rsidRPr="00900CEC">
        <w:rPr>
          <w:szCs w:val="22"/>
          <w:lang w:val="lt-LT"/>
        </w:rPr>
        <w:t xml:space="preserve">antibiotikų klasė, žinoma kaip </w:t>
      </w:r>
      <w:proofErr w:type="spellStart"/>
      <w:r w:rsidRPr="00900CEC">
        <w:rPr>
          <w:szCs w:val="22"/>
          <w:lang w:val="lt-LT"/>
        </w:rPr>
        <w:t>chinolonų</w:t>
      </w:r>
      <w:proofErr w:type="spellEnd"/>
      <w:r w:rsidRPr="00900CEC">
        <w:rPr>
          <w:szCs w:val="22"/>
          <w:lang w:val="lt-LT"/>
        </w:rPr>
        <w:t xml:space="preserve"> grupės antibiotikai (pvz., ciprofloksacinas);</w:t>
      </w:r>
    </w:p>
    <w:p w14:paraId="66BF47C1" w14:textId="77777777" w:rsidR="00C57CC5" w:rsidRPr="00900CEC" w:rsidRDefault="00C57CC5" w:rsidP="00C57CC5">
      <w:pPr>
        <w:pStyle w:val="Sraopastraipa"/>
        <w:numPr>
          <w:ilvl w:val="0"/>
          <w:numId w:val="35"/>
        </w:numPr>
        <w:spacing w:line="240" w:lineRule="auto"/>
        <w:ind w:left="567" w:hanging="567"/>
        <w:rPr>
          <w:szCs w:val="22"/>
          <w:lang w:val="lt-LT"/>
        </w:rPr>
      </w:pPr>
      <w:r w:rsidRPr="00900CEC">
        <w:rPr>
          <w:szCs w:val="22"/>
          <w:lang w:val="lt-LT"/>
        </w:rPr>
        <w:t xml:space="preserve">antibiotikų klasė, žinoma kaip </w:t>
      </w:r>
      <w:proofErr w:type="spellStart"/>
      <w:r w:rsidRPr="00900CEC">
        <w:rPr>
          <w:szCs w:val="22"/>
          <w:lang w:val="lt-LT"/>
        </w:rPr>
        <w:t>aminoglikozidai</w:t>
      </w:r>
      <w:proofErr w:type="spellEnd"/>
      <w:r w:rsidRPr="00900CEC">
        <w:rPr>
          <w:szCs w:val="22"/>
          <w:lang w:val="lt-LT"/>
        </w:rPr>
        <w:t xml:space="preserve"> (pvz., </w:t>
      </w:r>
      <w:proofErr w:type="spellStart"/>
      <w:r w:rsidRPr="00900CEC">
        <w:rPr>
          <w:szCs w:val="22"/>
          <w:lang w:val="lt-LT"/>
        </w:rPr>
        <w:t>gentamicinas</w:t>
      </w:r>
      <w:proofErr w:type="spellEnd"/>
      <w:r w:rsidRPr="00900CEC">
        <w:rPr>
          <w:szCs w:val="22"/>
          <w:lang w:val="lt-LT"/>
        </w:rPr>
        <w:t>, streptomicinas);</w:t>
      </w:r>
    </w:p>
    <w:p w14:paraId="53309D64" w14:textId="77777777" w:rsidR="00C57CC5" w:rsidRPr="00900CEC" w:rsidRDefault="00C57CC5" w:rsidP="00C57CC5">
      <w:pPr>
        <w:pStyle w:val="Sraopastraipa"/>
        <w:numPr>
          <w:ilvl w:val="0"/>
          <w:numId w:val="35"/>
        </w:numPr>
        <w:spacing w:line="240" w:lineRule="auto"/>
        <w:ind w:left="567" w:hanging="567"/>
        <w:rPr>
          <w:szCs w:val="22"/>
          <w:lang w:val="lt-LT"/>
        </w:rPr>
      </w:pPr>
      <w:proofErr w:type="spellStart"/>
      <w:r w:rsidRPr="00900CEC">
        <w:rPr>
          <w:szCs w:val="22"/>
          <w:lang w:val="lt-LT"/>
        </w:rPr>
        <w:t>chloramfenikolis</w:t>
      </w:r>
      <w:proofErr w:type="spellEnd"/>
      <w:r w:rsidRPr="00900CEC">
        <w:rPr>
          <w:szCs w:val="22"/>
          <w:lang w:val="lt-LT"/>
        </w:rPr>
        <w:t xml:space="preserve"> (antibiotikas, vartojamas ausų ir akių infekcijoms gydyti);</w:t>
      </w:r>
    </w:p>
    <w:p w14:paraId="0B12DCD9" w14:textId="77777777" w:rsidR="00C57CC5" w:rsidRPr="00900CEC" w:rsidRDefault="00C57CC5" w:rsidP="00C57CC5">
      <w:pPr>
        <w:pStyle w:val="Sraopastraipa"/>
        <w:numPr>
          <w:ilvl w:val="0"/>
          <w:numId w:val="35"/>
        </w:numPr>
        <w:spacing w:line="240" w:lineRule="auto"/>
        <w:ind w:left="567" w:hanging="567"/>
        <w:rPr>
          <w:szCs w:val="22"/>
          <w:lang w:val="lt-LT"/>
        </w:rPr>
      </w:pPr>
      <w:r w:rsidRPr="00900CEC">
        <w:rPr>
          <w:szCs w:val="22"/>
          <w:lang w:val="lt-LT"/>
        </w:rPr>
        <w:t xml:space="preserve">priešgrybeliniai vaistai, tokie kaip </w:t>
      </w:r>
      <w:proofErr w:type="spellStart"/>
      <w:r w:rsidRPr="00900CEC">
        <w:rPr>
          <w:szCs w:val="22"/>
          <w:lang w:val="lt-LT"/>
        </w:rPr>
        <w:t>vorikonazolas</w:t>
      </w:r>
      <w:proofErr w:type="spellEnd"/>
      <w:r w:rsidRPr="00900CEC">
        <w:rPr>
          <w:szCs w:val="22"/>
          <w:lang w:val="lt-LT"/>
        </w:rPr>
        <w:t xml:space="preserve"> ar </w:t>
      </w:r>
      <w:proofErr w:type="spellStart"/>
      <w:r w:rsidRPr="00900CEC">
        <w:rPr>
          <w:szCs w:val="22"/>
          <w:lang w:val="lt-LT"/>
        </w:rPr>
        <w:t>flukonazolas</w:t>
      </w:r>
      <w:proofErr w:type="spellEnd"/>
      <w:r w:rsidRPr="00900CEC">
        <w:rPr>
          <w:szCs w:val="22"/>
          <w:lang w:val="lt-LT"/>
        </w:rPr>
        <w:t>;</w:t>
      </w:r>
    </w:p>
    <w:p w14:paraId="6DAF2A4D" w14:textId="77777777" w:rsidR="00C57CC5" w:rsidRPr="00900CEC" w:rsidRDefault="00C57CC5" w:rsidP="00C57CC5">
      <w:pPr>
        <w:pStyle w:val="Sraopastraipa"/>
        <w:numPr>
          <w:ilvl w:val="0"/>
          <w:numId w:val="35"/>
        </w:numPr>
        <w:spacing w:line="240" w:lineRule="auto"/>
        <w:ind w:left="567" w:hanging="567"/>
        <w:rPr>
          <w:szCs w:val="22"/>
          <w:lang w:val="lt-LT"/>
        </w:rPr>
      </w:pPr>
      <w:r w:rsidRPr="00900CEC">
        <w:rPr>
          <w:szCs w:val="22"/>
          <w:lang w:val="lt-LT"/>
        </w:rPr>
        <w:t xml:space="preserve">vaistai, vartojami tuberkuliozei gydyti, tokie kaip </w:t>
      </w:r>
      <w:proofErr w:type="spellStart"/>
      <w:r w:rsidRPr="00900CEC">
        <w:rPr>
          <w:szCs w:val="22"/>
          <w:lang w:val="lt-LT"/>
        </w:rPr>
        <w:t>izoniazidas</w:t>
      </w:r>
      <w:proofErr w:type="spellEnd"/>
      <w:r w:rsidRPr="00900CEC">
        <w:rPr>
          <w:szCs w:val="22"/>
          <w:lang w:val="lt-LT"/>
        </w:rPr>
        <w:t xml:space="preserve"> ir </w:t>
      </w:r>
      <w:proofErr w:type="spellStart"/>
      <w:r w:rsidRPr="00900CEC">
        <w:rPr>
          <w:szCs w:val="22"/>
          <w:lang w:val="lt-LT"/>
        </w:rPr>
        <w:t>rifampicinas</w:t>
      </w:r>
      <w:proofErr w:type="spellEnd"/>
      <w:r w:rsidRPr="00900CEC">
        <w:rPr>
          <w:szCs w:val="22"/>
          <w:lang w:val="lt-LT"/>
        </w:rPr>
        <w:t>;</w:t>
      </w:r>
    </w:p>
    <w:p w14:paraId="73F6B206" w14:textId="77777777" w:rsidR="00C57CC5" w:rsidRPr="00900CEC" w:rsidRDefault="00C57CC5" w:rsidP="00C57CC5">
      <w:pPr>
        <w:pStyle w:val="Sraopastraipa"/>
        <w:numPr>
          <w:ilvl w:val="0"/>
          <w:numId w:val="35"/>
        </w:numPr>
        <w:spacing w:line="240" w:lineRule="auto"/>
        <w:ind w:left="567" w:hanging="567"/>
        <w:rPr>
          <w:szCs w:val="22"/>
          <w:lang w:val="lt-LT"/>
        </w:rPr>
      </w:pPr>
      <w:proofErr w:type="spellStart"/>
      <w:r w:rsidRPr="00900CEC">
        <w:rPr>
          <w:szCs w:val="22"/>
          <w:lang w:val="lt-LT"/>
        </w:rPr>
        <w:t>mifepristonas</w:t>
      </w:r>
      <w:proofErr w:type="spellEnd"/>
      <w:r w:rsidRPr="00900CEC">
        <w:rPr>
          <w:szCs w:val="22"/>
          <w:lang w:val="lt-LT"/>
        </w:rPr>
        <w:t xml:space="preserve"> (vaistas, vartojamas medicininiam nėštumo nutraukimui);</w:t>
      </w:r>
    </w:p>
    <w:p w14:paraId="5A18794E" w14:textId="1C356C82" w:rsidR="00C57CC5" w:rsidRDefault="00C57CC5" w:rsidP="00C57CC5">
      <w:pPr>
        <w:pStyle w:val="Sraopastraipa"/>
        <w:numPr>
          <w:ilvl w:val="0"/>
          <w:numId w:val="35"/>
        </w:numPr>
        <w:spacing w:line="240" w:lineRule="auto"/>
        <w:ind w:left="567" w:hanging="567"/>
        <w:rPr>
          <w:szCs w:val="22"/>
          <w:lang w:val="lt-LT"/>
        </w:rPr>
      </w:pPr>
      <w:r w:rsidRPr="00900CEC">
        <w:rPr>
          <w:szCs w:val="22"/>
          <w:lang w:val="lt-LT"/>
        </w:rPr>
        <w:t xml:space="preserve">kai kurie vaistažolių preparatai, tokie kaip </w:t>
      </w:r>
      <w:proofErr w:type="spellStart"/>
      <w:r w:rsidRPr="00900CEC">
        <w:rPr>
          <w:szCs w:val="22"/>
          <w:lang w:val="lt-LT"/>
        </w:rPr>
        <w:t>ginkmedis</w:t>
      </w:r>
      <w:proofErr w:type="spellEnd"/>
      <w:r w:rsidRPr="00900CEC">
        <w:rPr>
          <w:szCs w:val="22"/>
          <w:lang w:val="lt-LT"/>
        </w:rPr>
        <w:t xml:space="preserve"> (kartais vartojamas demencijai gydyti) arba jonažolė (</w:t>
      </w:r>
      <w:proofErr w:type="spellStart"/>
      <w:r w:rsidRPr="00900CEC">
        <w:rPr>
          <w:i/>
          <w:iCs/>
          <w:szCs w:val="22"/>
          <w:lang w:val="lt-LT"/>
        </w:rPr>
        <w:t>Hypericum</w:t>
      </w:r>
      <w:proofErr w:type="spellEnd"/>
      <w:r w:rsidRPr="00900CEC">
        <w:rPr>
          <w:szCs w:val="22"/>
          <w:lang w:val="lt-LT"/>
        </w:rPr>
        <w:t>, kartais vartojama lengvos depresijos</w:t>
      </w:r>
      <w:r>
        <w:rPr>
          <w:szCs w:val="22"/>
          <w:lang w:val="lt-LT"/>
        </w:rPr>
        <w:t xml:space="preserve"> gydymui</w:t>
      </w:r>
      <w:r w:rsidRPr="00900CEC">
        <w:rPr>
          <w:szCs w:val="22"/>
          <w:lang w:val="lt-LT"/>
        </w:rPr>
        <w:t>)</w:t>
      </w:r>
    </w:p>
    <w:p w14:paraId="77F2792D" w14:textId="489087B3" w:rsidR="00C57CC5" w:rsidRPr="00900CEC" w:rsidRDefault="00C57CC5" w:rsidP="00C57CC5">
      <w:pPr>
        <w:pStyle w:val="Sraopastraipa"/>
        <w:numPr>
          <w:ilvl w:val="0"/>
          <w:numId w:val="35"/>
        </w:numPr>
        <w:spacing w:line="240" w:lineRule="auto"/>
        <w:ind w:left="567" w:hanging="567"/>
        <w:rPr>
          <w:szCs w:val="22"/>
          <w:lang w:val="lt-LT"/>
        </w:rPr>
      </w:pPr>
      <w:proofErr w:type="spellStart"/>
      <w:r w:rsidRPr="00B12DAE">
        <w:rPr>
          <w:szCs w:val="22"/>
          <w:lang w:val="lt-LT"/>
        </w:rPr>
        <w:t>flukloksaciliną</w:t>
      </w:r>
      <w:proofErr w:type="spellEnd"/>
      <w:r w:rsidRPr="00B12DAE">
        <w:rPr>
          <w:szCs w:val="22"/>
          <w:lang w:val="lt-LT"/>
        </w:rPr>
        <w:t xml:space="preserve"> (antibiotiką) </w:t>
      </w:r>
      <w:r w:rsidRPr="005634B4">
        <w:rPr>
          <w:szCs w:val="22"/>
          <w:lang w:val="lt-LT"/>
        </w:rPr>
        <w:t xml:space="preserve">dėl didelės kraujo ir skysčių tyrimų nenormalių rodiklių (vadinamos </w:t>
      </w:r>
      <w:proofErr w:type="spellStart"/>
      <w:r w:rsidRPr="005634B4">
        <w:rPr>
          <w:szCs w:val="22"/>
          <w:lang w:val="lt-LT"/>
        </w:rPr>
        <w:t>metabolinės</w:t>
      </w:r>
      <w:proofErr w:type="spellEnd"/>
      <w:r w:rsidRPr="005634B4">
        <w:rPr>
          <w:szCs w:val="22"/>
          <w:lang w:val="lt-LT"/>
        </w:rPr>
        <w:t xml:space="preserve"> </w:t>
      </w:r>
      <w:proofErr w:type="spellStart"/>
      <w:r w:rsidRPr="005634B4">
        <w:rPr>
          <w:szCs w:val="22"/>
          <w:lang w:val="lt-LT"/>
        </w:rPr>
        <w:t>acidozės</w:t>
      </w:r>
      <w:proofErr w:type="spellEnd"/>
      <w:r w:rsidRPr="005634B4">
        <w:rPr>
          <w:szCs w:val="22"/>
          <w:lang w:val="lt-LT"/>
        </w:rPr>
        <w:t>) rizikos (žr. 2</w:t>
      </w:r>
      <w:r w:rsidR="00AB6D2E">
        <w:rPr>
          <w:szCs w:val="22"/>
          <w:lang w:val="lt-LT"/>
        </w:rPr>
        <w:t> </w:t>
      </w:r>
      <w:r w:rsidRPr="005634B4">
        <w:rPr>
          <w:szCs w:val="22"/>
          <w:lang w:val="lt-LT"/>
        </w:rPr>
        <w:t>skyrių), kurią reikia skubiai gydyti</w:t>
      </w:r>
      <w:r w:rsidRPr="00B12DAE">
        <w:rPr>
          <w:szCs w:val="22"/>
          <w:lang w:val="lt-LT"/>
        </w:rPr>
        <w:t>.</w:t>
      </w:r>
    </w:p>
    <w:p w14:paraId="2C1FBD5E" w14:textId="77777777" w:rsidR="00C57CC5" w:rsidRPr="00900CEC" w:rsidRDefault="00C57CC5" w:rsidP="00C57CC5">
      <w:pPr>
        <w:spacing w:line="240" w:lineRule="auto"/>
        <w:rPr>
          <w:szCs w:val="22"/>
          <w:lang w:val="lt-LT"/>
        </w:rPr>
      </w:pPr>
    </w:p>
    <w:p w14:paraId="58B0891A" w14:textId="6BB2BB03" w:rsidR="00C57CC5" w:rsidRPr="00900CEC" w:rsidRDefault="00C57CC5" w:rsidP="00C57CC5">
      <w:pPr>
        <w:spacing w:line="240" w:lineRule="auto"/>
        <w:rPr>
          <w:szCs w:val="22"/>
          <w:lang w:val="lt-LT"/>
        </w:rPr>
      </w:pPr>
      <w:r w:rsidRPr="00900CEC">
        <w:rPr>
          <w:szCs w:val="22"/>
          <w:lang w:val="lt-LT"/>
        </w:rPr>
        <w:t xml:space="preserve">Be to, </w:t>
      </w:r>
      <w:proofErr w:type="spellStart"/>
      <w:r w:rsidR="006A24B2">
        <w:rPr>
          <w:lang w:val="lt-LT"/>
        </w:rPr>
        <w:t>Paracetamol</w:t>
      </w:r>
      <w:proofErr w:type="spellEnd"/>
      <w:r w:rsidR="006A24B2">
        <w:rPr>
          <w:lang w:val="lt-LT"/>
        </w:rPr>
        <w:t>/</w:t>
      </w:r>
      <w:proofErr w:type="spellStart"/>
      <w:r w:rsidR="006A24B2">
        <w:rPr>
          <w:lang w:val="lt-LT"/>
        </w:rPr>
        <w:t>Ibuprofen</w:t>
      </w:r>
      <w:proofErr w:type="spellEnd"/>
      <w:r w:rsidR="006A24B2">
        <w:rPr>
          <w:lang w:val="lt-LT"/>
        </w:rPr>
        <w:t xml:space="preserve"> AFT </w:t>
      </w:r>
      <w:proofErr w:type="spellStart"/>
      <w:r w:rsidR="006A24B2">
        <w:rPr>
          <w:lang w:val="lt-LT"/>
        </w:rPr>
        <w:t>Pharmaceuticals</w:t>
      </w:r>
      <w:proofErr w:type="spellEnd"/>
      <w:r w:rsidRPr="00900CEC">
        <w:rPr>
          <w:lang w:val="lt-LT"/>
        </w:rPr>
        <w:t xml:space="preserve"> </w:t>
      </w:r>
      <w:r w:rsidRPr="00900CEC">
        <w:rPr>
          <w:szCs w:val="22"/>
          <w:lang w:val="lt-LT"/>
        </w:rPr>
        <w:t>gali turėti įtakos kai kurių kitų vaistų poveikiui, o kai kurie kiti vaistai – jo poveikiui. Dėl to visais atvejais prieš vartodami šį vaistą kartu su kitais pasikonsultuokite su gydytoju arba vaistininku.</w:t>
      </w:r>
    </w:p>
    <w:p w14:paraId="07888F01" w14:textId="77777777" w:rsidR="00C57CC5" w:rsidRPr="00900CEC" w:rsidRDefault="00C57CC5" w:rsidP="00C57CC5">
      <w:pPr>
        <w:numPr>
          <w:ilvl w:val="12"/>
          <w:numId w:val="0"/>
        </w:numPr>
        <w:tabs>
          <w:tab w:val="clear" w:pos="567"/>
        </w:tabs>
        <w:spacing w:line="240" w:lineRule="auto"/>
        <w:ind w:right="-2"/>
        <w:rPr>
          <w:szCs w:val="22"/>
          <w:lang w:val="lt-LT"/>
        </w:rPr>
      </w:pPr>
    </w:p>
    <w:p w14:paraId="1CE2C3B3" w14:textId="77777777" w:rsidR="00C57CC5" w:rsidRPr="00900CEC" w:rsidRDefault="00C57CC5" w:rsidP="00C57CC5">
      <w:pPr>
        <w:numPr>
          <w:ilvl w:val="12"/>
          <w:numId w:val="0"/>
        </w:numPr>
        <w:tabs>
          <w:tab w:val="clear" w:pos="567"/>
        </w:tabs>
        <w:spacing w:line="240" w:lineRule="auto"/>
        <w:ind w:right="-2"/>
        <w:rPr>
          <w:szCs w:val="22"/>
          <w:lang w:val="lt-LT"/>
        </w:rPr>
      </w:pPr>
      <w:r w:rsidRPr="00900CEC">
        <w:rPr>
          <w:szCs w:val="22"/>
          <w:lang w:val="lt-LT"/>
        </w:rPr>
        <w:t>Jei Jums reikia palikti kraujo ar šlapimo mėginį ištyrimui, turite pasakyti gydytojui, kad vartojate šį vaistą, nes jis gali paveikti tyrimo rezultatus.</w:t>
      </w:r>
    </w:p>
    <w:p w14:paraId="427A758E" w14:textId="77777777" w:rsidR="00C57CC5" w:rsidRPr="00900CEC" w:rsidRDefault="00C57CC5" w:rsidP="00C57CC5">
      <w:pPr>
        <w:numPr>
          <w:ilvl w:val="12"/>
          <w:numId w:val="0"/>
        </w:numPr>
        <w:tabs>
          <w:tab w:val="clear" w:pos="567"/>
        </w:tabs>
        <w:spacing w:line="240" w:lineRule="auto"/>
        <w:ind w:right="-2"/>
        <w:rPr>
          <w:szCs w:val="22"/>
          <w:lang w:val="lt-LT"/>
        </w:rPr>
      </w:pPr>
    </w:p>
    <w:p w14:paraId="6EFCA605" w14:textId="42BD4BE4" w:rsidR="00C57CC5" w:rsidRPr="00900CEC" w:rsidRDefault="006A24B2" w:rsidP="00C57CC5">
      <w:pPr>
        <w:pStyle w:val="Antrat4"/>
        <w:rPr>
          <w:rFonts w:ascii="Times New Roman" w:hAnsi="Times New Roman"/>
          <w:sz w:val="22"/>
          <w:lang w:val="lt-LT"/>
        </w:rPr>
      </w:pPr>
      <w:proofErr w:type="spellStart"/>
      <w:r>
        <w:rPr>
          <w:rFonts w:ascii="Times New Roman" w:hAnsi="Times New Roman"/>
          <w:sz w:val="22"/>
          <w:lang w:val="lt-LT"/>
        </w:rPr>
        <w:t>Paracetamol</w:t>
      </w:r>
      <w:proofErr w:type="spellEnd"/>
      <w:r>
        <w:rPr>
          <w:rFonts w:ascii="Times New Roman" w:hAnsi="Times New Roman"/>
          <w:sz w:val="22"/>
          <w:lang w:val="lt-LT"/>
        </w:rPr>
        <w:t>/</w:t>
      </w:r>
      <w:proofErr w:type="spellStart"/>
      <w:r>
        <w:rPr>
          <w:rFonts w:ascii="Times New Roman" w:hAnsi="Times New Roman"/>
          <w:sz w:val="22"/>
          <w:lang w:val="lt-LT"/>
        </w:rPr>
        <w:t>Ibuprofen</w:t>
      </w:r>
      <w:proofErr w:type="spellEnd"/>
      <w:r>
        <w:rPr>
          <w:rFonts w:ascii="Times New Roman" w:hAnsi="Times New Roman"/>
          <w:sz w:val="22"/>
          <w:lang w:val="lt-LT"/>
        </w:rPr>
        <w:t xml:space="preserve"> AFT </w:t>
      </w:r>
      <w:proofErr w:type="spellStart"/>
      <w:r>
        <w:rPr>
          <w:rFonts w:ascii="Times New Roman" w:hAnsi="Times New Roman"/>
          <w:sz w:val="22"/>
          <w:lang w:val="lt-LT"/>
        </w:rPr>
        <w:t>Pharmaceuticals</w:t>
      </w:r>
      <w:proofErr w:type="spellEnd"/>
      <w:r w:rsidR="00C57CC5" w:rsidRPr="00900CEC">
        <w:rPr>
          <w:rFonts w:ascii="Times New Roman" w:hAnsi="Times New Roman"/>
          <w:sz w:val="22"/>
          <w:lang w:val="lt-LT"/>
        </w:rPr>
        <w:t xml:space="preserve"> vartojimas su alkoholiu</w:t>
      </w:r>
    </w:p>
    <w:p w14:paraId="6D79FB0F" w14:textId="73152F95" w:rsidR="00C57CC5" w:rsidRPr="00900CEC" w:rsidRDefault="00C57CC5" w:rsidP="00C57CC5">
      <w:pPr>
        <w:numPr>
          <w:ilvl w:val="12"/>
          <w:numId w:val="0"/>
        </w:numPr>
        <w:tabs>
          <w:tab w:val="clear" w:pos="567"/>
        </w:tabs>
        <w:spacing w:line="240" w:lineRule="auto"/>
        <w:ind w:right="-2"/>
        <w:rPr>
          <w:szCs w:val="22"/>
          <w:lang w:val="lt-LT"/>
        </w:rPr>
      </w:pPr>
      <w:r w:rsidRPr="00900CEC">
        <w:rPr>
          <w:szCs w:val="22"/>
          <w:lang w:val="lt-LT"/>
        </w:rPr>
        <w:t xml:space="preserve">Vartodami šį vaistą, negerkite alkoholinių gėrimų. Derinant alkoholį su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00232105">
        <w:rPr>
          <w:szCs w:val="22"/>
          <w:lang w:val="lt-LT"/>
        </w:rPr>
        <w:t xml:space="preserve"> </w:t>
      </w:r>
      <w:r w:rsidRPr="00900CEC">
        <w:rPr>
          <w:szCs w:val="22"/>
          <w:lang w:val="lt-LT"/>
        </w:rPr>
        <w:t>gali būti pažeistos kepenys.</w:t>
      </w:r>
    </w:p>
    <w:p w14:paraId="7BA1685B" w14:textId="77777777" w:rsidR="00C57CC5" w:rsidRPr="00900CEC" w:rsidRDefault="00C57CC5" w:rsidP="00C57CC5">
      <w:pPr>
        <w:numPr>
          <w:ilvl w:val="12"/>
          <w:numId w:val="0"/>
        </w:numPr>
        <w:tabs>
          <w:tab w:val="clear" w:pos="567"/>
        </w:tabs>
        <w:spacing w:line="240" w:lineRule="auto"/>
        <w:ind w:right="-2"/>
        <w:rPr>
          <w:szCs w:val="22"/>
          <w:lang w:val="lt-LT"/>
        </w:rPr>
      </w:pPr>
    </w:p>
    <w:p w14:paraId="7A2D5946" w14:textId="77777777" w:rsidR="00C57CC5" w:rsidRPr="00900CEC" w:rsidRDefault="00C57CC5" w:rsidP="00C57CC5">
      <w:pPr>
        <w:pStyle w:val="Antrat2"/>
        <w:spacing w:before="0" w:after="0" w:line="240" w:lineRule="auto"/>
        <w:rPr>
          <w:rFonts w:ascii="Times New Roman" w:hAnsi="Times New Roman"/>
          <w:i w:val="0"/>
          <w:sz w:val="22"/>
          <w:szCs w:val="22"/>
          <w:lang w:val="lt-LT"/>
        </w:rPr>
      </w:pPr>
      <w:r w:rsidRPr="00900CEC">
        <w:rPr>
          <w:rFonts w:ascii="Times New Roman" w:hAnsi="Times New Roman"/>
          <w:i w:val="0"/>
          <w:sz w:val="22"/>
          <w:szCs w:val="22"/>
          <w:lang w:val="lt-LT"/>
        </w:rPr>
        <w:t>Nėštumas, žindymo laikotarpis ir vaisingumas</w:t>
      </w:r>
    </w:p>
    <w:p w14:paraId="38C6DA20" w14:textId="77777777" w:rsidR="00C57CC5" w:rsidRPr="00900CEC" w:rsidRDefault="00C57CC5" w:rsidP="00C57CC5">
      <w:pPr>
        <w:numPr>
          <w:ilvl w:val="12"/>
          <w:numId w:val="0"/>
        </w:numPr>
        <w:tabs>
          <w:tab w:val="clear" w:pos="567"/>
        </w:tabs>
        <w:spacing w:line="240" w:lineRule="auto"/>
        <w:rPr>
          <w:szCs w:val="22"/>
          <w:lang w:val="lt-LT"/>
        </w:rPr>
      </w:pPr>
      <w:r w:rsidRPr="00900CEC">
        <w:rPr>
          <w:szCs w:val="22"/>
          <w:lang w:val="lt-LT"/>
        </w:rPr>
        <w:t>Jeigu esate nėščia, žindote kūdikį, manote, kad galbūt esate nėščia, arba planuojate pastoti, tai, prieš vartodama šį vaistą, pasitarkite su gydytoju arba vaistininku.</w:t>
      </w:r>
    </w:p>
    <w:p w14:paraId="3FAAD5AB" w14:textId="77777777" w:rsidR="00C57CC5" w:rsidRPr="00900CEC" w:rsidRDefault="00C57CC5" w:rsidP="00C57CC5">
      <w:pPr>
        <w:tabs>
          <w:tab w:val="clear" w:pos="567"/>
        </w:tabs>
        <w:spacing w:line="240" w:lineRule="auto"/>
        <w:rPr>
          <w:szCs w:val="22"/>
          <w:lang w:val="lt-LT"/>
        </w:rPr>
      </w:pPr>
    </w:p>
    <w:p w14:paraId="17D3C502" w14:textId="77777777" w:rsidR="00C57CC5" w:rsidRDefault="00C57CC5" w:rsidP="00C57CC5">
      <w:pPr>
        <w:tabs>
          <w:tab w:val="clear" w:pos="567"/>
        </w:tabs>
        <w:spacing w:line="240" w:lineRule="auto"/>
        <w:rPr>
          <w:i/>
          <w:iCs/>
          <w:szCs w:val="22"/>
          <w:lang w:val="lt-LT"/>
        </w:rPr>
      </w:pPr>
      <w:r w:rsidRPr="00900CEC">
        <w:rPr>
          <w:i/>
          <w:iCs/>
          <w:szCs w:val="22"/>
          <w:lang w:val="lt-LT"/>
        </w:rPr>
        <w:t>Nėštumas</w:t>
      </w:r>
    </w:p>
    <w:p w14:paraId="3239A6EF" w14:textId="61F5B731" w:rsidR="00C57CC5" w:rsidRPr="007A4CC6" w:rsidRDefault="00C57CC5" w:rsidP="00C57CC5">
      <w:pPr>
        <w:tabs>
          <w:tab w:val="clear" w:pos="567"/>
        </w:tabs>
        <w:spacing w:line="240" w:lineRule="auto"/>
        <w:rPr>
          <w:iCs/>
          <w:szCs w:val="22"/>
          <w:lang w:val="lt-LT"/>
        </w:rPr>
      </w:pPr>
      <w:r w:rsidRPr="007A4CC6">
        <w:rPr>
          <w:iCs/>
          <w:szCs w:val="22"/>
          <w:u w:val="single"/>
          <w:lang w:val="lt-LT"/>
        </w:rPr>
        <w:t xml:space="preserve">Nevartokite </w:t>
      </w:r>
      <w:proofErr w:type="spellStart"/>
      <w:r w:rsidR="006A24B2">
        <w:rPr>
          <w:iCs/>
          <w:szCs w:val="22"/>
          <w:u w:val="single"/>
          <w:lang w:val="lt-LT"/>
        </w:rPr>
        <w:t>Paracetamol</w:t>
      </w:r>
      <w:proofErr w:type="spellEnd"/>
      <w:r w:rsidR="006A24B2">
        <w:rPr>
          <w:iCs/>
          <w:szCs w:val="22"/>
          <w:u w:val="single"/>
          <w:lang w:val="lt-LT"/>
        </w:rPr>
        <w:t>/</w:t>
      </w:r>
      <w:proofErr w:type="spellStart"/>
      <w:r w:rsidR="006A24B2">
        <w:rPr>
          <w:iCs/>
          <w:szCs w:val="22"/>
          <w:u w:val="single"/>
          <w:lang w:val="lt-LT"/>
        </w:rPr>
        <w:t>Ibuprofen</w:t>
      </w:r>
      <w:proofErr w:type="spellEnd"/>
      <w:r w:rsidR="006A24B2">
        <w:rPr>
          <w:iCs/>
          <w:szCs w:val="22"/>
          <w:u w:val="single"/>
          <w:lang w:val="lt-LT"/>
        </w:rPr>
        <w:t xml:space="preserve"> AFT </w:t>
      </w:r>
      <w:proofErr w:type="spellStart"/>
      <w:r w:rsidR="006A24B2">
        <w:rPr>
          <w:iCs/>
          <w:szCs w:val="22"/>
          <w:u w:val="single"/>
          <w:lang w:val="lt-LT"/>
        </w:rPr>
        <w:t>Pharmaceuticals</w:t>
      </w:r>
      <w:proofErr w:type="spellEnd"/>
      <w:r w:rsidRPr="007A4CC6">
        <w:rPr>
          <w:iCs/>
          <w:szCs w:val="22"/>
          <w:u w:val="single"/>
          <w:lang w:val="lt-LT"/>
        </w:rPr>
        <w:t>, jeigu Jums yra paskutiniai 3</w:t>
      </w:r>
      <w:r w:rsidR="006C75E7">
        <w:rPr>
          <w:iCs/>
          <w:szCs w:val="22"/>
          <w:u w:val="single"/>
          <w:lang w:val="lt-LT"/>
        </w:rPr>
        <w:t> </w:t>
      </w:r>
      <w:r w:rsidRPr="007A4CC6">
        <w:rPr>
          <w:iCs/>
          <w:szCs w:val="22"/>
          <w:u w:val="single"/>
          <w:lang w:val="lt-LT"/>
        </w:rPr>
        <w:t xml:space="preserve">nėštumo mėnesiai, nes tai gali pakenkti </w:t>
      </w:r>
      <w:r w:rsidR="00232105">
        <w:rPr>
          <w:iCs/>
          <w:szCs w:val="22"/>
          <w:u w:val="single"/>
          <w:lang w:val="lt-LT"/>
        </w:rPr>
        <w:t>J</w:t>
      </w:r>
      <w:r w:rsidRPr="007A4CC6">
        <w:rPr>
          <w:iCs/>
          <w:szCs w:val="22"/>
          <w:u w:val="single"/>
          <w:lang w:val="lt-LT"/>
        </w:rPr>
        <w:t>ūsų negimusiam vaikui arba sukelti problemų gimdymo metu</w:t>
      </w:r>
      <w:r w:rsidRPr="007A4CC6">
        <w:rPr>
          <w:iCs/>
          <w:szCs w:val="22"/>
          <w:lang w:val="lt-LT"/>
        </w:rPr>
        <w:t xml:space="preserve">. Tai gali sukelti inkstų ir širdies problemų </w:t>
      </w:r>
      <w:r w:rsidR="006C75E7">
        <w:rPr>
          <w:iCs/>
          <w:szCs w:val="22"/>
          <w:lang w:val="lt-LT"/>
        </w:rPr>
        <w:t>J</w:t>
      </w:r>
      <w:r w:rsidRPr="007A4CC6">
        <w:rPr>
          <w:iCs/>
          <w:szCs w:val="22"/>
          <w:lang w:val="lt-LT"/>
        </w:rPr>
        <w:t xml:space="preserve">ūsų negimusiam kūdikiui. Tai gali turėti įtakos Jūsų ir Jūsų kūdikio polinkiui kraujuoti ir atitolinti gimdymą arba jis gali trukti ilgiau nei tikėtasi. </w:t>
      </w:r>
    </w:p>
    <w:p w14:paraId="68C5E40E" w14:textId="77777777" w:rsidR="00C57CC5" w:rsidRPr="007A4CC6" w:rsidRDefault="00C57CC5" w:rsidP="00C57CC5">
      <w:pPr>
        <w:tabs>
          <w:tab w:val="clear" w:pos="567"/>
        </w:tabs>
        <w:spacing w:line="240" w:lineRule="auto"/>
        <w:rPr>
          <w:iCs/>
          <w:szCs w:val="22"/>
          <w:lang w:val="lt-LT"/>
        </w:rPr>
      </w:pPr>
    </w:p>
    <w:p w14:paraId="0ACAE6FF" w14:textId="0AC5AC1A" w:rsidR="00C57CC5" w:rsidRPr="007A4CC6" w:rsidRDefault="00C57CC5" w:rsidP="00C57CC5">
      <w:pPr>
        <w:tabs>
          <w:tab w:val="clear" w:pos="567"/>
        </w:tabs>
        <w:spacing w:line="240" w:lineRule="auto"/>
        <w:rPr>
          <w:iCs/>
          <w:szCs w:val="22"/>
          <w:lang w:val="lt-LT"/>
        </w:rPr>
      </w:pPr>
      <w:r w:rsidRPr="007A4CC6">
        <w:rPr>
          <w:iCs/>
          <w:szCs w:val="22"/>
          <w:u w:val="single"/>
          <w:lang w:val="lt-LT"/>
        </w:rPr>
        <w:t>Pirmuosius 6</w:t>
      </w:r>
      <w:r w:rsidR="006C75E7">
        <w:rPr>
          <w:iCs/>
          <w:szCs w:val="22"/>
          <w:u w:val="single"/>
          <w:lang w:val="lt-LT"/>
        </w:rPr>
        <w:t> </w:t>
      </w:r>
      <w:r w:rsidRPr="007A4CC6">
        <w:rPr>
          <w:iCs/>
          <w:szCs w:val="22"/>
          <w:u w:val="single"/>
          <w:lang w:val="lt-LT"/>
        </w:rPr>
        <w:t xml:space="preserve">nėštumo mėnesius </w:t>
      </w:r>
      <w:proofErr w:type="spellStart"/>
      <w:r w:rsidR="006A24B2">
        <w:rPr>
          <w:iCs/>
          <w:szCs w:val="22"/>
          <w:u w:val="single"/>
          <w:lang w:val="lt-LT"/>
        </w:rPr>
        <w:t>Paracetamol</w:t>
      </w:r>
      <w:proofErr w:type="spellEnd"/>
      <w:r w:rsidR="006A24B2">
        <w:rPr>
          <w:iCs/>
          <w:szCs w:val="22"/>
          <w:u w:val="single"/>
          <w:lang w:val="lt-LT"/>
        </w:rPr>
        <w:t>/</w:t>
      </w:r>
      <w:proofErr w:type="spellStart"/>
      <w:r w:rsidR="006A24B2">
        <w:rPr>
          <w:iCs/>
          <w:szCs w:val="22"/>
          <w:u w:val="single"/>
          <w:lang w:val="lt-LT"/>
        </w:rPr>
        <w:t>Ibuprofen</w:t>
      </w:r>
      <w:proofErr w:type="spellEnd"/>
      <w:r w:rsidR="006A24B2">
        <w:rPr>
          <w:iCs/>
          <w:szCs w:val="22"/>
          <w:u w:val="single"/>
          <w:lang w:val="lt-LT"/>
        </w:rPr>
        <w:t xml:space="preserve"> AFT </w:t>
      </w:r>
      <w:proofErr w:type="spellStart"/>
      <w:r w:rsidR="006A24B2">
        <w:rPr>
          <w:iCs/>
          <w:szCs w:val="22"/>
          <w:u w:val="single"/>
          <w:lang w:val="lt-LT"/>
        </w:rPr>
        <w:t>Pharmaceuticals</w:t>
      </w:r>
      <w:proofErr w:type="spellEnd"/>
      <w:r w:rsidRPr="007A4CC6">
        <w:rPr>
          <w:iCs/>
          <w:szCs w:val="22"/>
          <w:u w:val="single"/>
          <w:lang w:val="lt-LT"/>
        </w:rPr>
        <w:t xml:space="preserve"> vartoti negalima, nebent tai neabejotinai būtina ir yra gydytojo nurodymas</w:t>
      </w:r>
      <w:r w:rsidRPr="007A4CC6">
        <w:rPr>
          <w:iCs/>
          <w:szCs w:val="22"/>
          <w:lang w:val="lt-LT"/>
        </w:rPr>
        <w:t xml:space="preserve">. Jei šiuo laikotarpiu arba bandant pastoti Jums reikia gydymo, reikia vartoti mažiausią dozę trumpiausią įmanomą laiką. Jei </w:t>
      </w:r>
      <w:proofErr w:type="spellStart"/>
      <w:r w:rsidR="006A24B2">
        <w:rPr>
          <w:iCs/>
          <w:szCs w:val="22"/>
          <w:lang w:val="lt-LT"/>
        </w:rPr>
        <w:t>Paracetamol</w:t>
      </w:r>
      <w:proofErr w:type="spellEnd"/>
      <w:r w:rsidR="006A24B2">
        <w:rPr>
          <w:iCs/>
          <w:szCs w:val="22"/>
          <w:lang w:val="lt-LT"/>
        </w:rPr>
        <w:t>/</w:t>
      </w:r>
      <w:proofErr w:type="spellStart"/>
      <w:r w:rsidR="006A24B2">
        <w:rPr>
          <w:iCs/>
          <w:szCs w:val="22"/>
          <w:lang w:val="lt-LT"/>
        </w:rPr>
        <w:t>Ibuprofen</w:t>
      </w:r>
      <w:proofErr w:type="spellEnd"/>
      <w:r w:rsidR="006A24B2">
        <w:rPr>
          <w:iCs/>
          <w:szCs w:val="22"/>
          <w:lang w:val="lt-LT"/>
        </w:rPr>
        <w:t xml:space="preserve"> AFT </w:t>
      </w:r>
      <w:proofErr w:type="spellStart"/>
      <w:r w:rsidR="006A24B2">
        <w:rPr>
          <w:iCs/>
          <w:szCs w:val="22"/>
          <w:lang w:val="lt-LT"/>
        </w:rPr>
        <w:t>Pharmaceuticals</w:t>
      </w:r>
      <w:proofErr w:type="spellEnd"/>
      <w:r w:rsidRPr="007A4CC6">
        <w:rPr>
          <w:iCs/>
          <w:szCs w:val="22"/>
          <w:lang w:val="lt-LT"/>
        </w:rPr>
        <w:t xml:space="preserve"> vartojam</w:t>
      </w:r>
      <w:r w:rsidR="006C75E7">
        <w:rPr>
          <w:iCs/>
          <w:szCs w:val="22"/>
          <w:lang w:val="lt-LT"/>
        </w:rPr>
        <w:t>a</w:t>
      </w:r>
      <w:r w:rsidRPr="007A4CC6">
        <w:rPr>
          <w:iCs/>
          <w:szCs w:val="22"/>
          <w:lang w:val="lt-LT"/>
        </w:rPr>
        <w:t>s ilgiau nei kelias dienas nuo 20-osios nėštumo savaitės, j</w:t>
      </w:r>
      <w:r w:rsidR="00C40CEE">
        <w:rPr>
          <w:iCs/>
          <w:szCs w:val="22"/>
          <w:lang w:val="lt-LT"/>
        </w:rPr>
        <w:t>i</w:t>
      </w:r>
      <w:r w:rsidRPr="007A4CC6">
        <w:rPr>
          <w:iCs/>
          <w:szCs w:val="22"/>
          <w:lang w:val="lt-LT"/>
        </w:rPr>
        <w:t>s gali sukelti inkstų sutrikimų Jūsų negimusiam kūdikiui, dėl kurio gali sumažėti vaisiaus vandenų kiekis aplink kūdikį (</w:t>
      </w:r>
      <w:proofErr w:type="spellStart"/>
      <w:r w:rsidRPr="007A4CC6">
        <w:rPr>
          <w:iCs/>
          <w:szCs w:val="22"/>
          <w:lang w:val="lt-LT"/>
        </w:rPr>
        <w:t>oligohidramnionas</w:t>
      </w:r>
      <w:proofErr w:type="spellEnd"/>
      <w:r w:rsidRPr="007A4CC6">
        <w:rPr>
          <w:iCs/>
          <w:szCs w:val="22"/>
          <w:lang w:val="lt-LT"/>
        </w:rPr>
        <w:t xml:space="preserve">) arba susiaurėti kraujagyslės (arterinis latakas) kūdikio širdyje. Jei </w:t>
      </w:r>
      <w:r w:rsidR="00C40CEE">
        <w:rPr>
          <w:iCs/>
          <w:szCs w:val="22"/>
          <w:lang w:val="lt-LT"/>
        </w:rPr>
        <w:t>J</w:t>
      </w:r>
      <w:r w:rsidRPr="007A4CC6">
        <w:rPr>
          <w:iCs/>
          <w:szCs w:val="22"/>
          <w:lang w:val="lt-LT"/>
        </w:rPr>
        <w:t>ums reikia gydymo ilgiau nei kelias dienas, gydytojas gali rekomenduoti papildomą stebėjimą.</w:t>
      </w:r>
    </w:p>
    <w:p w14:paraId="250C8C6C" w14:textId="77777777" w:rsidR="00C57CC5" w:rsidRPr="007A4CC6" w:rsidRDefault="00C57CC5" w:rsidP="00C57CC5">
      <w:pPr>
        <w:tabs>
          <w:tab w:val="clear" w:pos="567"/>
        </w:tabs>
        <w:spacing w:line="240" w:lineRule="auto"/>
        <w:rPr>
          <w:iCs/>
          <w:szCs w:val="22"/>
          <w:lang w:val="lt-LT"/>
        </w:rPr>
      </w:pPr>
    </w:p>
    <w:p w14:paraId="6D73BF28" w14:textId="77777777" w:rsidR="00C57CC5" w:rsidRPr="00900CEC" w:rsidRDefault="00C57CC5" w:rsidP="00C57CC5">
      <w:pPr>
        <w:tabs>
          <w:tab w:val="clear" w:pos="567"/>
        </w:tabs>
        <w:spacing w:line="240" w:lineRule="auto"/>
        <w:rPr>
          <w:szCs w:val="22"/>
          <w:lang w:val="lt-LT"/>
        </w:rPr>
      </w:pPr>
      <w:r w:rsidRPr="00900CEC">
        <w:rPr>
          <w:i/>
          <w:iCs/>
          <w:szCs w:val="22"/>
          <w:lang w:val="lt-LT"/>
        </w:rPr>
        <w:t>Žindymas</w:t>
      </w:r>
    </w:p>
    <w:p w14:paraId="0C795D04" w14:textId="77777777" w:rsidR="00C57CC5" w:rsidRPr="00900CEC" w:rsidRDefault="00C57CC5" w:rsidP="00C57CC5">
      <w:pPr>
        <w:tabs>
          <w:tab w:val="clear" w:pos="567"/>
        </w:tabs>
        <w:spacing w:line="240" w:lineRule="auto"/>
        <w:rPr>
          <w:szCs w:val="22"/>
          <w:lang w:val="lt-LT"/>
        </w:rPr>
      </w:pPr>
      <w:r w:rsidRPr="00900CEC">
        <w:rPr>
          <w:szCs w:val="22"/>
          <w:lang w:val="lt-LT"/>
        </w:rPr>
        <w:t xml:space="preserve">Į motinos pieną patenka tik nedideli kiekiai paracetamolio ir ibuprofeno. Šis vaistas gali būti skiriamas žindymo laikotarpiu, jei jis vartojamas rekomenduojamomis dozėmis ir trumpiausią įmanomą laiką. </w:t>
      </w:r>
    </w:p>
    <w:p w14:paraId="26F2231E" w14:textId="77777777" w:rsidR="00C57CC5" w:rsidRPr="00900CEC" w:rsidRDefault="00C57CC5" w:rsidP="00C57CC5">
      <w:pPr>
        <w:tabs>
          <w:tab w:val="clear" w:pos="567"/>
        </w:tabs>
        <w:spacing w:line="240" w:lineRule="auto"/>
        <w:rPr>
          <w:szCs w:val="22"/>
          <w:lang w:val="lt-LT"/>
        </w:rPr>
      </w:pPr>
    </w:p>
    <w:p w14:paraId="323A065F" w14:textId="77777777" w:rsidR="00C57CC5" w:rsidRPr="00900CEC" w:rsidRDefault="00C57CC5" w:rsidP="00C57CC5">
      <w:pPr>
        <w:tabs>
          <w:tab w:val="clear" w:pos="567"/>
        </w:tabs>
        <w:spacing w:line="240" w:lineRule="auto"/>
        <w:ind w:right="-2"/>
        <w:rPr>
          <w:szCs w:val="22"/>
          <w:lang w:val="lt-LT"/>
        </w:rPr>
      </w:pPr>
      <w:r w:rsidRPr="00900CEC">
        <w:rPr>
          <w:i/>
          <w:iCs/>
          <w:szCs w:val="22"/>
          <w:lang w:val="lt-LT"/>
        </w:rPr>
        <w:t>Vaisingumas</w:t>
      </w:r>
    </w:p>
    <w:p w14:paraId="7713477F" w14:textId="77777777" w:rsidR="00C57CC5" w:rsidRPr="00900CEC" w:rsidRDefault="00C57CC5" w:rsidP="00C57CC5">
      <w:pPr>
        <w:tabs>
          <w:tab w:val="clear" w:pos="567"/>
        </w:tabs>
        <w:spacing w:line="240" w:lineRule="auto"/>
        <w:ind w:right="-2"/>
        <w:rPr>
          <w:szCs w:val="22"/>
          <w:lang w:val="lt-LT"/>
        </w:rPr>
      </w:pPr>
      <w:r w:rsidRPr="00900CEC">
        <w:rPr>
          <w:szCs w:val="22"/>
          <w:lang w:val="lt-LT"/>
        </w:rPr>
        <w:t>Šis vaistas gali sutrikdyti moterų vaisingumą, todėl mėginančioms pastoti moterims jo vartoti nerekomenduojama. Šis poveikis yra grįžtamas nutraukus vaisto vartojimą.</w:t>
      </w:r>
    </w:p>
    <w:p w14:paraId="39AABCF0" w14:textId="77777777" w:rsidR="00C57CC5" w:rsidRPr="00900CEC" w:rsidRDefault="00C57CC5" w:rsidP="00C57CC5">
      <w:pPr>
        <w:numPr>
          <w:ilvl w:val="12"/>
          <w:numId w:val="0"/>
        </w:numPr>
        <w:tabs>
          <w:tab w:val="clear" w:pos="567"/>
        </w:tabs>
        <w:spacing w:line="240" w:lineRule="auto"/>
        <w:rPr>
          <w:szCs w:val="22"/>
          <w:lang w:val="lt-LT"/>
        </w:rPr>
      </w:pPr>
    </w:p>
    <w:p w14:paraId="661F08F2" w14:textId="77777777" w:rsidR="00C57CC5" w:rsidRPr="00900CEC" w:rsidRDefault="00C57CC5" w:rsidP="00C57CC5">
      <w:pPr>
        <w:pStyle w:val="Antrat2"/>
        <w:spacing w:before="0" w:after="0" w:line="240" w:lineRule="auto"/>
        <w:rPr>
          <w:rFonts w:ascii="Times New Roman" w:hAnsi="Times New Roman"/>
          <w:i w:val="0"/>
          <w:sz w:val="22"/>
          <w:szCs w:val="22"/>
          <w:lang w:val="lt-LT"/>
        </w:rPr>
      </w:pPr>
      <w:r w:rsidRPr="00900CEC">
        <w:rPr>
          <w:rFonts w:ascii="Times New Roman" w:hAnsi="Times New Roman"/>
          <w:i w:val="0"/>
          <w:sz w:val="22"/>
          <w:szCs w:val="22"/>
          <w:lang w:val="lt-LT"/>
        </w:rPr>
        <w:t>Vairavimas ir mechanizmų valdymas</w:t>
      </w:r>
    </w:p>
    <w:p w14:paraId="4FA709E0" w14:textId="77777777" w:rsidR="00C57CC5" w:rsidRPr="00900CEC" w:rsidRDefault="00C57CC5" w:rsidP="00C57CC5">
      <w:pPr>
        <w:tabs>
          <w:tab w:val="clear" w:pos="567"/>
        </w:tabs>
        <w:spacing w:line="240" w:lineRule="auto"/>
        <w:rPr>
          <w:szCs w:val="22"/>
          <w:lang w:val="lt-LT"/>
        </w:rPr>
      </w:pPr>
      <w:r w:rsidRPr="00900CEC">
        <w:rPr>
          <w:szCs w:val="22"/>
          <w:lang w:val="lt-LT"/>
        </w:rPr>
        <w:t>Vartojus NVNU, galimas toks nepageidaujamas poveikis kaip galvos svaigimas, mieguistumas, nuovargis ir regos sutrikimai. Jei pasireiškė toks poveikis, neturėtumėte vairuoti ir valdyti mechanizmų.</w:t>
      </w:r>
    </w:p>
    <w:p w14:paraId="5632A7AC" w14:textId="77777777" w:rsidR="00C57CC5" w:rsidRPr="00900CEC" w:rsidRDefault="00C57CC5" w:rsidP="00C57CC5">
      <w:pPr>
        <w:tabs>
          <w:tab w:val="clear" w:pos="567"/>
        </w:tabs>
        <w:spacing w:line="240" w:lineRule="auto"/>
        <w:rPr>
          <w:szCs w:val="22"/>
          <w:lang w:val="lt-LT"/>
        </w:rPr>
      </w:pPr>
    </w:p>
    <w:p w14:paraId="70574E65" w14:textId="5C681718" w:rsidR="00C57CC5" w:rsidRPr="00900CEC" w:rsidRDefault="006A24B2" w:rsidP="00C57CC5">
      <w:pPr>
        <w:tabs>
          <w:tab w:val="clear" w:pos="567"/>
        </w:tabs>
        <w:spacing w:line="240" w:lineRule="auto"/>
        <w:rPr>
          <w:szCs w:val="22"/>
          <w:lang w:val="lt-LT"/>
        </w:rPr>
      </w:pPr>
      <w:proofErr w:type="spellStart"/>
      <w:r>
        <w:rPr>
          <w:b/>
          <w:snapToGrid/>
          <w:lang w:val="lt-LT"/>
        </w:rPr>
        <w:t>Paracetamol</w:t>
      </w:r>
      <w:proofErr w:type="spellEnd"/>
      <w:r>
        <w:rPr>
          <w:b/>
          <w:snapToGrid/>
          <w:lang w:val="lt-LT"/>
        </w:rPr>
        <w:t>/</w:t>
      </w:r>
      <w:proofErr w:type="spellStart"/>
      <w:r>
        <w:rPr>
          <w:b/>
          <w:snapToGrid/>
          <w:lang w:val="lt-LT"/>
        </w:rPr>
        <w:t>Ibuprofen</w:t>
      </w:r>
      <w:proofErr w:type="spellEnd"/>
      <w:r>
        <w:rPr>
          <w:b/>
          <w:snapToGrid/>
          <w:lang w:val="lt-LT"/>
        </w:rPr>
        <w:t xml:space="preserve"> AFT </w:t>
      </w:r>
      <w:proofErr w:type="spellStart"/>
      <w:r>
        <w:rPr>
          <w:b/>
          <w:snapToGrid/>
          <w:lang w:val="lt-LT"/>
        </w:rPr>
        <w:t>Pharmaceuticals</w:t>
      </w:r>
      <w:proofErr w:type="spellEnd"/>
      <w:r w:rsidR="00C57CC5" w:rsidRPr="00900CEC">
        <w:rPr>
          <w:snapToGrid/>
          <w:lang w:val="lt-LT"/>
        </w:rPr>
        <w:t xml:space="preserve"> </w:t>
      </w:r>
      <w:r w:rsidR="00C57CC5" w:rsidRPr="00900CEC">
        <w:rPr>
          <w:b/>
          <w:szCs w:val="22"/>
          <w:lang w:val="lt-LT"/>
        </w:rPr>
        <w:t>sudėtyje yra natrio</w:t>
      </w:r>
    </w:p>
    <w:p w14:paraId="60675B85" w14:textId="77777777" w:rsidR="00C57CC5" w:rsidRPr="00900CEC" w:rsidRDefault="00C57CC5" w:rsidP="00C57CC5">
      <w:pPr>
        <w:tabs>
          <w:tab w:val="clear" w:pos="567"/>
        </w:tabs>
        <w:spacing w:line="240" w:lineRule="auto"/>
        <w:rPr>
          <w:szCs w:val="22"/>
          <w:lang w:val="lt-LT"/>
        </w:rPr>
      </w:pPr>
      <w:r w:rsidRPr="00900CEC">
        <w:rPr>
          <w:szCs w:val="22"/>
          <w:lang w:val="lt-LT"/>
        </w:rPr>
        <w:t>Kiekvienuose šio vaisto 100 ml yra 35 mg natrio (valgomosios druskos sudedamosios dalies).</w:t>
      </w:r>
    </w:p>
    <w:p w14:paraId="782EEDA1" w14:textId="77777777" w:rsidR="00C57CC5" w:rsidRPr="00900CEC" w:rsidRDefault="00C57CC5" w:rsidP="00C57CC5">
      <w:pPr>
        <w:tabs>
          <w:tab w:val="clear" w:pos="567"/>
        </w:tabs>
        <w:spacing w:line="240" w:lineRule="auto"/>
        <w:rPr>
          <w:szCs w:val="22"/>
          <w:lang w:val="lt-LT"/>
        </w:rPr>
      </w:pPr>
      <w:r w:rsidRPr="00900CEC">
        <w:rPr>
          <w:szCs w:val="22"/>
          <w:lang w:val="lt-LT"/>
        </w:rPr>
        <w:t>Tai atitinka 1,75 % didžiausios rekomenduojamos natrio paros normos suaugusiesiems.</w:t>
      </w:r>
    </w:p>
    <w:p w14:paraId="3B5F4468" w14:textId="77777777" w:rsidR="00C57CC5" w:rsidRPr="00900CEC" w:rsidRDefault="00C57CC5" w:rsidP="00C57CC5">
      <w:pPr>
        <w:tabs>
          <w:tab w:val="clear" w:pos="567"/>
        </w:tabs>
        <w:spacing w:line="240" w:lineRule="auto"/>
        <w:rPr>
          <w:szCs w:val="22"/>
          <w:lang w:val="lt-LT"/>
        </w:rPr>
      </w:pPr>
    </w:p>
    <w:p w14:paraId="50D01AA1" w14:textId="77777777" w:rsidR="00C57CC5" w:rsidRPr="00900CEC" w:rsidRDefault="00C57CC5" w:rsidP="00C57CC5">
      <w:pPr>
        <w:tabs>
          <w:tab w:val="clear" w:pos="567"/>
        </w:tabs>
        <w:spacing w:line="240" w:lineRule="auto"/>
        <w:rPr>
          <w:szCs w:val="22"/>
          <w:lang w:val="lt-LT"/>
        </w:rPr>
      </w:pPr>
    </w:p>
    <w:p w14:paraId="5A9A6BF4" w14:textId="204ACFA8" w:rsidR="00C57CC5" w:rsidRPr="00B57D0B" w:rsidRDefault="00C57CC5" w:rsidP="00C57CC5">
      <w:pPr>
        <w:spacing w:line="240" w:lineRule="auto"/>
        <w:ind w:left="567" w:hanging="567"/>
        <w:outlineLvl w:val="0"/>
        <w:rPr>
          <w:b/>
          <w:szCs w:val="22"/>
          <w:lang w:val="lt-LT"/>
        </w:rPr>
      </w:pPr>
      <w:r w:rsidRPr="00900CEC">
        <w:rPr>
          <w:b/>
          <w:szCs w:val="22"/>
          <w:lang w:val="lt-LT"/>
        </w:rPr>
        <w:t>3.</w:t>
      </w:r>
      <w:r w:rsidRPr="00900CEC">
        <w:rPr>
          <w:b/>
          <w:szCs w:val="22"/>
          <w:lang w:val="lt-LT"/>
        </w:rPr>
        <w:tab/>
        <w:t xml:space="preserve">Kaip vartoti </w:t>
      </w:r>
      <w:proofErr w:type="spellStart"/>
      <w:r w:rsidR="006A24B2">
        <w:rPr>
          <w:b/>
          <w:snapToGrid/>
          <w:lang w:val="lt-LT"/>
        </w:rPr>
        <w:t>Paracetamol</w:t>
      </w:r>
      <w:proofErr w:type="spellEnd"/>
      <w:r w:rsidR="006A24B2">
        <w:rPr>
          <w:b/>
          <w:snapToGrid/>
          <w:lang w:val="lt-LT"/>
        </w:rPr>
        <w:t>/</w:t>
      </w:r>
      <w:proofErr w:type="spellStart"/>
      <w:r w:rsidR="006A24B2">
        <w:rPr>
          <w:b/>
          <w:snapToGrid/>
          <w:lang w:val="lt-LT"/>
        </w:rPr>
        <w:t>Ibuprofen</w:t>
      </w:r>
      <w:proofErr w:type="spellEnd"/>
      <w:r w:rsidR="006A24B2">
        <w:rPr>
          <w:b/>
          <w:snapToGrid/>
          <w:lang w:val="lt-LT"/>
        </w:rPr>
        <w:t xml:space="preserve"> AFT </w:t>
      </w:r>
      <w:proofErr w:type="spellStart"/>
      <w:r w:rsidR="006A24B2">
        <w:rPr>
          <w:b/>
          <w:snapToGrid/>
          <w:lang w:val="lt-LT"/>
        </w:rPr>
        <w:t>Pharmaceuticals</w:t>
      </w:r>
      <w:proofErr w:type="spellEnd"/>
    </w:p>
    <w:p w14:paraId="712C44D5" w14:textId="77777777" w:rsidR="00C57CC5" w:rsidRPr="00900CEC" w:rsidRDefault="00C57CC5" w:rsidP="00C57CC5">
      <w:pPr>
        <w:numPr>
          <w:ilvl w:val="12"/>
          <w:numId w:val="0"/>
        </w:numPr>
        <w:tabs>
          <w:tab w:val="clear" w:pos="567"/>
        </w:tabs>
        <w:spacing w:line="240" w:lineRule="auto"/>
        <w:ind w:right="-2"/>
        <w:rPr>
          <w:szCs w:val="22"/>
          <w:lang w:val="lt-LT"/>
        </w:rPr>
      </w:pPr>
    </w:p>
    <w:p w14:paraId="4A598D60" w14:textId="22B71A18" w:rsidR="00C57CC5" w:rsidRPr="00900CEC" w:rsidRDefault="006A24B2" w:rsidP="00C57CC5">
      <w:pPr>
        <w:numPr>
          <w:ilvl w:val="12"/>
          <w:numId w:val="0"/>
        </w:numPr>
        <w:tabs>
          <w:tab w:val="clear" w:pos="567"/>
        </w:tabs>
        <w:spacing w:line="240" w:lineRule="auto"/>
        <w:ind w:right="-2"/>
        <w:rPr>
          <w:szCs w:val="22"/>
          <w:lang w:val="lt-LT"/>
        </w:rPr>
      </w:pPr>
      <w:proofErr w:type="spellStart"/>
      <w:r>
        <w:rPr>
          <w:snapToGrid/>
          <w:lang w:val="lt-LT"/>
        </w:rPr>
        <w:t>Paracetamol</w:t>
      </w:r>
      <w:proofErr w:type="spellEnd"/>
      <w:r>
        <w:rPr>
          <w:snapToGrid/>
          <w:lang w:val="lt-LT"/>
        </w:rPr>
        <w:t>/</w:t>
      </w:r>
      <w:proofErr w:type="spellStart"/>
      <w:r>
        <w:rPr>
          <w:snapToGrid/>
          <w:lang w:val="lt-LT"/>
        </w:rPr>
        <w:t>Ibuprofen</w:t>
      </w:r>
      <w:proofErr w:type="spellEnd"/>
      <w:r>
        <w:rPr>
          <w:snapToGrid/>
          <w:lang w:val="lt-LT"/>
        </w:rPr>
        <w:t xml:space="preserve"> AFT </w:t>
      </w:r>
      <w:proofErr w:type="spellStart"/>
      <w:r>
        <w:rPr>
          <w:snapToGrid/>
          <w:lang w:val="lt-LT"/>
        </w:rPr>
        <w:t>Pharmaceuticals</w:t>
      </w:r>
      <w:proofErr w:type="spellEnd"/>
      <w:r w:rsidR="00C57CC5" w:rsidRPr="00900CEC">
        <w:rPr>
          <w:snapToGrid/>
          <w:lang w:val="lt-LT"/>
        </w:rPr>
        <w:t xml:space="preserve"> </w:t>
      </w:r>
      <w:r w:rsidR="00C57CC5" w:rsidRPr="00900CEC">
        <w:rPr>
          <w:szCs w:val="22"/>
          <w:lang w:val="lt-LT"/>
        </w:rPr>
        <w:t>Jums suleis sveikatos priežiūros specialistas, atlikdamas infuziją į vieną iš Jūsų venų. Infuzija turėtų būti atliekama 15</w:t>
      </w:r>
      <w:r w:rsidR="00C40CEE">
        <w:rPr>
          <w:szCs w:val="22"/>
          <w:lang w:val="lt-LT"/>
        </w:rPr>
        <w:t> </w:t>
      </w:r>
      <w:r w:rsidR="00C57CC5" w:rsidRPr="00900CEC">
        <w:rPr>
          <w:szCs w:val="22"/>
          <w:lang w:val="lt-LT"/>
        </w:rPr>
        <w:t>minučių.</w:t>
      </w:r>
    </w:p>
    <w:p w14:paraId="6891683A" w14:textId="77777777" w:rsidR="00C57CC5" w:rsidRPr="00900CEC" w:rsidRDefault="00C57CC5" w:rsidP="00C57CC5">
      <w:pPr>
        <w:numPr>
          <w:ilvl w:val="12"/>
          <w:numId w:val="0"/>
        </w:numPr>
        <w:tabs>
          <w:tab w:val="clear" w:pos="567"/>
        </w:tabs>
        <w:spacing w:line="240" w:lineRule="auto"/>
        <w:ind w:right="-2"/>
        <w:rPr>
          <w:szCs w:val="22"/>
          <w:lang w:val="lt-LT"/>
        </w:rPr>
      </w:pPr>
    </w:p>
    <w:p w14:paraId="2D58566F" w14:textId="6570BD25" w:rsidR="00C57CC5" w:rsidRPr="00900CEC" w:rsidRDefault="00C57CC5" w:rsidP="00C57CC5">
      <w:pPr>
        <w:numPr>
          <w:ilvl w:val="12"/>
          <w:numId w:val="0"/>
        </w:numPr>
        <w:tabs>
          <w:tab w:val="clear" w:pos="567"/>
        </w:tabs>
        <w:spacing w:line="240" w:lineRule="auto"/>
        <w:ind w:right="-2"/>
        <w:rPr>
          <w:szCs w:val="22"/>
          <w:lang w:val="lt-LT"/>
        </w:rPr>
      </w:pPr>
      <w:r w:rsidRPr="00900CEC">
        <w:rPr>
          <w:szCs w:val="22"/>
          <w:lang w:val="lt-LT"/>
        </w:rPr>
        <w:t>Šis vaistas skirtas tik trumpalaikiam vartojimui, ne ilgiau kaip 2</w:t>
      </w:r>
      <w:r w:rsidR="00C40CEE">
        <w:rPr>
          <w:szCs w:val="22"/>
          <w:lang w:val="lt-LT"/>
        </w:rPr>
        <w:t> </w:t>
      </w:r>
      <w:r w:rsidRPr="00900CEC">
        <w:rPr>
          <w:szCs w:val="22"/>
          <w:lang w:val="lt-LT"/>
        </w:rPr>
        <w:t>dienas.</w:t>
      </w:r>
    </w:p>
    <w:p w14:paraId="30F8A03D" w14:textId="77777777" w:rsidR="00C57CC5" w:rsidRPr="00900CEC" w:rsidRDefault="00C57CC5" w:rsidP="00C57CC5">
      <w:pPr>
        <w:numPr>
          <w:ilvl w:val="12"/>
          <w:numId w:val="0"/>
        </w:numPr>
        <w:tabs>
          <w:tab w:val="clear" w:pos="567"/>
        </w:tabs>
        <w:spacing w:line="240" w:lineRule="auto"/>
        <w:ind w:right="-2"/>
        <w:rPr>
          <w:szCs w:val="22"/>
          <w:lang w:val="lt-LT"/>
        </w:rPr>
      </w:pPr>
    </w:p>
    <w:p w14:paraId="4D281BAD" w14:textId="77777777" w:rsidR="00C57CC5" w:rsidRPr="00FB191F" w:rsidRDefault="00C57CC5" w:rsidP="00C57CC5">
      <w:pPr>
        <w:numPr>
          <w:ilvl w:val="12"/>
          <w:numId w:val="0"/>
        </w:numPr>
        <w:tabs>
          <w:tab w:val="clear" w:pos="567"/>
        </w:tabs>
        <w:spacing w:line="240" w:lineRule="auto"/>
        <w:ind w:right="-2"/>
        <w:rPr>
          <w:b/>
          <w:bCs/>
          <w:szCs w:val="22"/>
          <w:lang w:val="lt-LT"/>
        </w:rPr>
      </w:pPr>
      <w:r w:rsidRPr="00FB191F">
        <w:rPr>
          <w:b/>
          <w:bCs/>
          <w:szCs w:val="22"/>
          <w:lang w:val="lt-LT"/>
        </w:rPr>
        <w:t>Rekomenduojama dozė yra:</w:t>
      </w:r>
    </w:p>
    <w:p w14:paraId="16BA9BAF" w14:textId="113901AA" w:rsidR="00C57CC5" w:rsidRPr="00900CEC" w:rsidRDefault="00C57CC5" w:rsidP="00C57CC5">
      <w:pPr>
        <w:numPr>
          <w:ilvl w:val="12"/>
          <w:numId w:val="0"/>
        </w:numPr>
        <w:tabs>
          <w:tab w:val="clear" w:pos="567"/>
        </w:tabs>
        <w:spacing w:line="240" w:lineRule="auto"/>
        <w:ind w:right="-2"/>
        <w:rPr>
          <w:szCs w:val="22"/>
          <w:lang w:val="lt-LT"/>
        </w:rPr>
      </w:pPr>
      <w:r w:rsidRPr="00FB191F">
        <w:rPr>
          <w:i/>
          <w:iCs/>
          <w:szCs w:val="22"/>
          <w:lang w:val="lt-LT"/>
        </w:rPr>
        <w:t>Suaugusiesiems, sveriantiems daugiau nei 50 kg</w:t>
      </w:r>
      <w:r w:rsidRPr="00FB191F">
        <w:rPr>
          <w:szCs w:val="22"/>
          <w:lang w:val="lt-LT"/>
        </w:rPr>
        <w:t>: 1</w:t>
      </w:r>
      <w:r w:rsidR="00C40CEE">
        <w:rPr>
          <w:szCs w:val="22"/>
          <w:lang w:val="lt-LT"/>
        </w:rPr>
        <w:t> </w:t>
      </w:r>
      <w:r w:rsidRPr="00900CEC">
        <w:rPr>
          <w:szCs w:val="22"/>
          <w:lang w:val="lt-LT"/>
        </w:rPr>
        <w:t>flakonas kas 6</w:t>
      </w:r>
      <w:r w:rsidR="00C40CEE">
        <w:rPr>
          <w:szCs w:val="22"/>
          <w:lang w:val="lt-LT"/>
        </w:rPr>
        <w:t> </w:t>
      </w:r>
      <w:r w:rsidRPr="00900CEC">
        <w:rPr>
          <w:szCs w:val="22"/>
          <w:lang w:val="lt-LT"/>
        </w:rPr>
        <w:t>valandas</w:t>
      </w:r>
      <w:r>
        <w:rPr>
          <w:szCs w:val="22"/>
          <w:lang w:val="lt-LT"/>
        </w:rPr>
        <w:t>,</w:t>
      </w:r>
      <w:r w:rsidRPr="00900CEC">
        <w:rPr>
          <w:szCs w:val="22"/>
          <w:lang w:val="lt-LT"/>
        </w:rPr>
        <w:t xml:space="preserve"> pagal poreikį.</w:t>
      </w:r>
    </w:p>
    <w:p w14:paraId="0FF34844" w14:textId="77777777" w:rsidR="00C57CC5" w:rsidRPr="00900CEC" w:rsidRDefault="00C57CC5" w:rsidP="00C57CC5">
      <w:pPr>
        <w:numPr>
          <w:ilvl w:val="12"/>
          <w:numId w:val="0"/>
        </w:numPr>
        <w:tabs>
          <w:tab w:val="clear" w:pos="567"/>
        </w:tabs>
        <w:spacing w:line="240" w:lineRule="auto"/>
        <w:ind w:right="-2"/>
        <w:rPr>
          <w:szCs w:val="22"/>
          <w:lang w:val="lt-LT"/>
        </w:rPr>
      </w:pPr>
    </w:p>
    <w:p w14:paraId="03281B52" w14:textId="77777777" w:rsidR="00C57CC5" w:rsidRPr="00900CEC" w:rsidRDefault="00C57CC5" w:rsidP="00C57CC5">
      <w:pPr>
        <w:numPr>
          <w:ilvl w:val="12"/>
          <w:numId w:val="0"/>
        </w:numPr>
        <w:tabs>
          <w:tab w:val="clear" w:pos="567"/>
        </w:tabs>
        <w:spacing w:line="240" w:lineRule="auto"/>
        <w:ind w:right="-2"/>
        <w:rPr>
          <w:szCs w:val="22"/>
          <w:lang w:val="lt-LT"/>
        </w:rPr>
      </w:pPr>
      <w:r w:rsidRPr="00900CEC">
        <w:rPr>
          <w:szCs w:val="22"/>
          <w:lang w:val="lt-LT"/>
        </w:rPr>
        <w:t>Didžiausia paros dozė yra keturi flakonai, kas atitinka 4000 mg (4 g) paracetamolio ir 1200 mg ibuprofeno.</w:t>
      </w:r>
    </w:p>
    <w:p w14:paraId="34ACB843" w14:textId="77777777" w:rsidR="00C57CC5" w:rsidRPr="00900CEC" w:rsidRDefault="00C57CC5" w:rsidP="00C57CC5">
      <w:pPr>
        <w:numPr>
          <w:ilvl w:val="12"/>
          <w:numId w:val="0"/>
        </w:numPr>
        <w:tabs>
          <w:tab w:val="clear" w:pos="567"/>
        </w:tabs>
        <w:spacing w:line="240" w:lineRule="auto"/>
        <w:ind w:right="-2"/>
        <w:rPr>
          <w:szCs w:val="22"/>
          <w:lang w:val="lt-LT"/>
        </w:rPr>
      </w:pPr>
    </w:p>
    <w:p w14:paraId="6125A0E8" w14:textId="77777777" w:rsidR="00C57CC5" w:rsidRPr="00900CEC" w:rsidRDefault="00C57CC5" w:rsidP="00C57CC5">
      <w:pPr>
        <w:numPr>
          <w:ilvl w:val="12"/>
          <w:numId w:val="0"/>
        </w:numPr>
        <w:tabs>
          <w:tab w:val="clear" w:pos="567"/>
        </w:tabs>
        <w:spacing w:line="240" w:lineRule="auto"/>
        <w:ind w:right="-2"/>
        <w:rPr>
          <w:szCs w:val="22"/>
          <w:lang w:val="lt-LT"/>
        </w:rPr>
      </w:pPr>
      <w:r w:rsidRPr="00900CEC">
        <w:rPr>
          <w:i/>
          <w:iCs/>
          <w:szCs w:val="22"/>
          <w:lang w:val="lt-LT"/>
        </w:rPr>
        <w:t>Jei sveriate 50 kg ar mažiau, esate senyvas arba turite kepenų ar inkstų sutrikimų</w:t>
      </w:r>
      <w:r w:rsidRPr="00900CEC">
        <w:rPr>
          <w:szCs w:val="22"/>
          <w:lang w:val="lt-LT"/>
        </w:rPr>
        <w:t>: Jūsų gydytojas gali nuspręsti sumažinti dozę arba padidinti laiką tarp dozių, nes yra padidėjusi šalutinio poveikio rizika.</w:t>
      </w:r>
    </w:p>
    <w:p w14:paraId="7B9AC875" w14:textId="77777777" w:rsidR="00C57CC5" w:rsidRPr="00900CEC" w:rsidRDefault="00C57CC5" w:rsidP="00C57CC5">
      <w:pPr>
        <w:numPr>
          <w:ilvl w:val="12"/>
          <w:numId w:val="0"/>
        </w:numPr>
        <w:tabs>
          <w:tab w:val="clear" w:pos="567"/>
        </w:tabs>
        <w:spacing w:line="240" w:lineRule="auto"/>
        <w:ind w:right="-2"/>
        <w:rPr>
          <w:szCs w:val="22"/>
          <w:lang w:val="lt-LT"/>
        </w:rPr>
      </w:pPr>
    </w:p>
    <w:p w14:paraId="7C092B15" w14:textId="0059EC5B" w:rsidR="00C57CC5" w:rsidRPr="00900CEC" w:rsidRDefault="00C57CC5" w:rsidP="00C57CC5">
      <w:pPr>
        <w:spacing w:line="240" w:lineRule="auto"/>
        <w:rPr>
          <w:szCs w:val="22"/>
          <w:lang w:val="lt-LT"/>
        </w:rPr>
      </w:pPr>
      <w:r w:rsidRPr="00900CEC">
        <w:rPr>
          <w:szCs w:val="22"/>
          <w:lang w:val="lt-LT"/>
        </w:rPr>
        <w:t>Didesnė rekomenduojama dozė nesustiprina skausmą malšinančio poveikio; vietoj to ji gali sukelti rimtą pavojų (taip pat žr. skyrelį „</w:t>
      </w:r>
      <w:r w:rsidRPr="00900CEC">
        <w:rPr>
          <w:b/>
          <w:bCs/>
          <w:iCs/>
          <w:szCs w:val="22"/>
          <w:lang w:val="lt-LT"/>
        </w:rPr>
        <w:t xml:space="preserve">Ką daryti pavartojus per didelę </w:t>
      </w:r>
      <w:proofErr w:type="spellStart"/>
      <w:r w:rsidR="006A24B2">
        <w:rPr>
          <w:b/>
          <w:bCs/>
          <w:iCs/>
          <w:szCs w:val="22"/>
          <w:lang w:val="lt-LT"/>
        </w:rPr>
        <w:t>Paracetamol</w:t>
      </w:r>
      <w:proofErr w:type="spellEnd"/>
      <w:r w:rsidR="006A24B2">
        <w:rPr>
          <w:b/>
          <w:bCs/>
          <w:iCs/>
          <w:szCs w:val="22"/>
          <w:lang w:val="lt-LT"/>
        </w:rPr>
        <w:t>/</w:t>
      </w:r>
      <w:proofErr w:type="spellStart"/>
      <w:r w:rsidR="006A24B2">
        <w:rPr>
          <w:b/>
          <w:bCs/>
          <w:iCs/>
          <w:szCs w:val="22"/>
          <w:lang w:val="lt-LT"/>
        </w:rPr>
        <w:t>Ibuprofen</w:t>
      </w:r>
      <w:proofErr w:type="spellEnd"/>
      <w:r w:rsidR="006A24B2">
        <w:rPr>
          <w:b/>
          <w:bCs/>
          <w:iCs/>
          <w:szCs w:val="22"/>
          <w:lang w:val="lt-LT"/>
        </w:rPr>
        <w:t xml:space="preserve"> AFT </w:t>
      </w:r>
      <w:proofErr w:type="spellStart"/>
      <w:r w:rsidR="006A24B2">
        <w:rPr>
          <w:b/>
          <w:bCs/>
          <w:iCs/>
          <w:szCs w:val="22"/>
          <w:lang w:val="lt-LT"/>
        </w:rPr>
        <w:t>Pharmaceuticals</w:t>
      </w:r>
      <w:proofErr w:type="spellEnd"/>
      <w:r w:rsidRPr="00900CEC">
        <w:rPr>
          <w:b/>
          <w:bCs/>
          <w:iCs/>
          <w:szCs w:val="22"/>
          <w:lang w:val="lt-LT"/>
        </w:rPr>
        <w:t xml:space="preserve"> dozę?</w:t>
      </w:r>
      <w:r w:rsidRPr="00900CEC">
        <w:rPr>
          <w:szCs w:val="22"/>
          <w:lang w:val="lt-LT"/>
        </w:rPr>
        <w:t xml:space="preserve">“). </w:t>
      </w:r>
      <w:r w:rsidRPr="00F43E33">
        <w:rPr>
          <w:szCs w:val="22"/>
          <w:lang w:val="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00C40CEE">
        <w:rPr>
          <w:szCs w:val="22"/>
          <w:lang w:val="lt-LT"/>
        </w:rPr>
        <w:t> </w:t>
      </w:r>
      <w:r w:rsidRPr="00F43E33">
        <w:rPr>
          <w:szCs w:val="22"/>
          <w:lang w:val="lt-LT"/>
        </w:rPr>
        <w:t>skyrių).</w:t>
      </w:r>
    </w:p>
    <w:p w14:paraId="06C6CB21" w14:textId="77777777" w:rsidR="00C57CC5" w:rsidRPr="00900CEC" w:rsidRDefault="00C57CC5" w:rsidP="00C57CC5">
      <w:pPr>
        <w:spacing w:line="240" w:lineRule="auto"/>
        <w:rPr>
          <w:szCs w:val="22"/>
          <w:lang w:val="lt-LT"/>
        </w:rPr>
      </w:pPr>
    </w:p>
    <w:p w14:paraId="136B6644" w14:textId="14CD189B" w:rsidR="00C57CC5" w:rsidRPr="00900CEC" w:rsidRDefault="00C57CC5" w:rsidP="00C57CC5">
      <w:pPr>
        <w:pStyle w:val="Antrat2"/>
        <w:spacing w:before="0" w:after="0" w:line="240" w:lineRule="auto"/>
        <w:rPr>
          <w:rFonts w:ascii="Times New Roman" w:hAnsi="Times New Roman"/>
          <w:i w:val="0"/>
          <w:sz w:val="22"/>
          <w:szCs w:val="22"/>
          <w:lang w:val="lt-LT"/>
        </w:rPr>
      </w:pPr>
      <w:r w:rsidRPr="00900CEC">
        <w:rPr>
          <w:rFonts w:ascii="Times New Roman" w:hAnsi="Times New Roman"/>
          <w:i w:val="0"/>
          <w:sz w:val="22"/>
          <w:szCs w:val="22"/>
          <w:lang w:val="lt-LT"/>
        </w:rPr>
        <w:t xml:space="preserve">Ką daryti pavartojus per didelę </w:t>
      </w:r>
      <w:proofErr w:type="spellStart"/>
      <w:r w:rsidR="006A24B2">
        <w:rPr>
          <w:rFonts w:ascii="Times New Roman" w:hAnsi="Times New Roman"/>
          <w:i w:val="0"/>
          <w:sz w:val="22"/>
          <w:szCs w:val="22"/>
          <w:lang w:val="lt-LT"/>
        </w:rPr>
        <w:t>Paracetamol</w:t>
      </w:r>
      <w:proofErr w:type="spellEnd"/>
      <w:r w:rsidR="006A24B2">
        <w:rPr>
          <w:rFonts w:ascii="Times New Roman" w:hAnsi="Times New Roman"/>
          <w:i w:val="0"/>
          <w:sz w:val="22"/>
          <w:szCs w:val="22"/>
          <w:lang w:val="lt-LT"/>
        </w:rPr>
        <w:t>/</w:t>
      </w:r>
      <w:proofErr w:type="spellStart"/>
      <w:r w:rsidR="006A24B2">
        <w:rPr>
          <w:rFonts w:ascii="Times New Roman" w:hAnsi="Times New Roman"/>
          <w:i w:val="0"/>
          <w:sz w:val="22"/>
          <w:szCs w:val="22"/>
          <w:lang w:val="lt-LT"/>
        </w:rPr>
        <w:t>Ibuprofen</w:t>
      </w:r>
      <w:proofErr w:type="spellEnd"/>
      <w:r w:rsidR="006A24B2">
        <w:rPr>
          <w:rFonts w:ascii="Times New Roman" w:hAnsi="Times New Roman"/>
          <w:i w:val="0"/>
          <w:sz w:val="22"/>
          <w:szCs w:val="22"/>
          <w:lang w:val="lt-LT"/>
        </w:rPr>
        <w:t xml:space="preserve"> AFT </w:t>
      </w:r>
      <w:proofErr w:type="spellStart"/>
      <w:r w:rsidR="006A24B2">
        <w:rPr>
          <w:rFonts w:ascii="Times New Roman" w:hAnsi="Times New Roman"/>
          <w:i w:val="0"/>
          <w:sz w:val="22"/>
          <w:szCs w:val="22"/>
          <w:lang w:val="lt-LT"/>
        </w:rPr>
        <w:t>Pharmaceuticals</w:t>
      </w:r>
      <w:proofErr w:type="spellEnd"/>
      <w:r w:rsidRPr="00900CEC">
        <w:rPr>
          <w:rFonts w:ascii="Times New Roman" w:hAnsi="Times New Roman"/>
          <w:i w:val="0"/>
          <w:sz w:val="22"/>
          <w:szCs w:val="22"/>
          <w:lang w:val="lt-LT"/>
        </w:rPr>
        <w:t xml:space="preserve"> dozę?</w:t>
      </w:r>
    </w:p>
    <w:p w14:paraId="1A3EF7CD" w14:textId="77777777" w:rsidR="00C57CC5" w:rsidRPr="00900CEC" w:rsidRDefault="00C57CC5" w:rsidP="00C57CC5">
      <w:pPr>
        <w:spacing w:line="240" w:lineRule="auto"/>
        <w:rPr>
          <w:szCs w:val="22"/>
          <w:lang w:val="lt-LT"/>
        </w:rPr>
      </w:pPr>
      <w:r w:rsidRPr="00900CEC">
        <w:rPr>
          <w:b/>
          <w:bCs/>
          <w:szCs w:val="22"/>
          <w:lang w:val="lt-LT"/>
        </w:rPr>
        <w:t>Nedelsdami</w:t>
      </w:r>
      <w:r w:rsidRPr="00900CEC">
        <w:rPr>
          <w:szCs w:val="22"/>
          <w:lang w:val="lt-LT"/>
        </w:rPr>
        <w:t xml:space="preserve"> kreipkitės į gydytoją arba slaugytoją, jei manote, kad netyčia Jums buvo suleista per didelė šio vaisto dozė. </w:t>
      </w:r>
      <w:r w:rsidRPr="00900CEC">
        <w:rPr>
          <w:b/>
          <w:bCs/>
          <w:szCs w:val="22"/>
          <w:lang w:val="lt-LT"/>
        </w:rPr>
        <w:t>Padarykite tai net jeigu jaučiatės gerai.</w:t>
      </w:r>
      <w:r w:rsidRPr="00900CEC">
        <w:rPr>
          <w:szCs w:val="22"/>
          <w:lang w:val="lt-LT"/>
        </w:rPr>
        <w:t xml:space="preserve"> Taip yra todėl, kad per didelis paracetamolio kiekis gali sukelti uždelstą, rimtą kepenų pažeidimą, kuris gali būti mirtinas. Net jei nėra diskomforto ar apsinuodijimo požymių, Jums gali prireikti skubios medicinos pagalbos.</w:t>
      </w:r>
    </w:p>
    <w:p w14:paraId="7CB536AE" w14:textId="77777777" w:rsidR="00C57CC5" w:rsidRPr="00900CEC" w:rsidRDefault="00C57CC5" w:rsidP="00C57CC5">
      <w:pPr>
        <w:spacing w:line="240" w:lineRule="auto"/>
        <w:rPr>
          <w:szCs w:val="22"/>
          <w:lang w:val="lt-LT"/>
        </w:rPr>
      </w:pPr>
    </w:p>
    <w:p w14:paraId="4EFFAECA" w14:textId="77777777" w:rsidR="00C57CC5" w:rsidRPr="00900CEC" w:rsidRDefault="00C57CC5" w:rsidP="00C57CC5">
      <w:pPr>
        <w:spacing w:line="240" w:lineRule="auto"/>
        <w:rPr>
          <w:szCs w:val="22"/>
          <w:lang w:val="lt-LT"/>
        </w:rPr>
      </w:pPr>
      <w:r w:rsidRPr="00900CEC">
        <w:rPr>
          <w:szCs w:val="22"/>
          <w:lang w:val="lt-LT"/>
        </w:rPr>
        <w:t>Norint išvengti kepenų pažeidimo, būtina kuo anksčiau pradėti gydymą. Kuo trumpesnis laiko tarpas tarp vartojimo ir gydymo priešnuodžiu pradžios (kuo mažiau valandų), tuo didesnė tikimybė, kad bus išvengta kepenų pažeidimo.</w:t>
      </w:r>
    </w:p>
    <w:p w14:paraId="41E165B5" w14:textId="77777777" w:rsidR="00C57CC5" w:rsidRPr="00900CEC" w:rsidRDefault="00C57CC5" w:rsidP="00C57CC5">
      <w:pPr>
        <w:spacing w:line="240" w:lineRule="auto"/>
        <w:rPr>
          <w:szCs w:val="22"/>
          <w:lang w:val="lt-LT"/>
        </w:rPr>
      </w:pPr>
    </w:p>
    <w:p w14:paraId="7F07A0EC" w14:textId="77777777" w:rsidR="00C57CC5" w:rsidRPr="00482544" w:rsidRDefault="00C57CC5" w:rsidP="00C57CC5">
      <w:pPr>
        <w:spacing w:line="259" w:lineRule="auto"/>
        <w:rPr>
          <w:lang w:val="lt-LT"/>
        </w:rPr>
      </w:pPr>
      <w:r w:rsidRPr="00900CEC">
        <w:rPr>
          <w:szCs w:val="22"/>
          <w:lang w:val="lt-LT" w:eastAsia="en-IE"/>
        </w:rPr>
        <w:t xml:space="preserve">Kiti </w:t>
      </w:r>
      <w:r>
        <w:rPr>
          <w:szCs w:val="22"/>
          <w:lang w:val="lt-LT" w:eastAsia="en-IE"/>
        </w:rPr>
        <w:t xml:space="preserve">perdozavimo </w:t>
      </w:r>
      <w:r w:rsidRPr="00900CEC">
        <w:rPr>
          <w:szCs w:val="22"/>
          <w:lang w:val="lt-LT" w:eastAsia="en-IE"/>
        </w:rPr>
        <w:t>simptomai gali būti pykinimas, skrandžio skausmas, vėmimas (gali būti kraujo ruoželių), galvos skausmas, ūžesys ausyse, sumišimas ir akių judesių sutrikimas. Pavartojus dideles dozes gali pasireikši mieguistumas, krūtinės skausmas, juntamas širdies plakimas (</w:t>
      </w:r>
      <w:proofErr w:type="spellStart"/>
      <w:r w:rsidRPr="00900CEC">
        <w:rPr>
          <w:szCs w:val="22"/>
          <w:lang w:val="lt-LT" w:eastAsia="en-IE"/>
        </w:rPr>
        <w:t>palpitacijos</w:t>
      </w:r>
      <w:proofErr w:type="spellEnd"/>
      <w:r w:rsidRPr="00900CEC">
        <w:rPr>
          <w:szCs w:val="22"/>
          <w:lang w:val="lt-LT" w:eastAsia="en-IE"/>
        </w:rPr>
        <w:t>), sąmonės netekimas, traukuliai (dažniausiai vaikams), silpnumas ir svaigulys, kraujas šlapime,</w:t>
      </w:r>
      <w:r>
        <w:rPr>
          <w:szCs w:val="22"/>
          <w:lang w:val="lt-LT" w:eastAsia="en-IE"/>
        </w:rPr>
        <w:t xml:space="preserve"> </w:t>
      </w:r>
      <w:r w:rsidRPr="00482544">
        <w:rPr>
          <w:szCs w:val="22"/>
          <w:lang w:val="lt-LT" w:eastAsia="en-IE"/>
        </w:rPr>
        <w:t>mažas kalio kiekis kraujyje,</w:t>
      </w:r>
      <w:r w:rsidRPr="00900CEC">
        <w:rPr>
          <w:szCs w:val="22"/>
          <w:lang w:val="lt-LT" w:eastAsia="en-IE"/>
        </w:rPr>
        <w:t xml:space="preserve"> šal</w:t>
      </w:r>
      <w:r>
        <w:rPr>
          <w:szCs w:val="22"/>
          <w:lang w:val="lt-LT" w:eastAsia="en-IE"/>
        </w:rPr>
        <w:t>čio pojūtis</w:t>
      </w:r>
      <w:r w:rsidRPr="00900CEC">
        <w:rPr>
          <w:szCs w:val="22"/>
          <w:lang w:val="lt-LT" w:eastAsia="en-IE"/>
        </w:rPr>
        <w:t xml:space="preserve"> ir kvėpavimo sutrikimai.</w:t>
      </w:r>
    </w:p>
    <w:p w14:paraId="62B58B92" w14:textId="77777777" w:rsidR="00C57CC5" w:rsidRPr="00900CEC" w:rsidRDefault="00C57CC5" w:rsidP="00C57CC5">
      <w:pPr>
        <w:spacing w:line="240" w:lineRule="auto"/>
        <w:rPr>
          <w:i/>
          <w:szCs w:val="22"/>
          <w:lang w:val="lt-LT"/>
        </w:rPr>
      </w:pPr>
    </w:p>
    <w:p w14:paraId="69B85A65" w14:textId="77777777" w:rsidR="00C57CC5" w:rsidRPr="00900CEC" w:rsidRDefault="00C57CC5" w:rsidP="00C57CC5">
      <w:pPr>
        <w:spacing w:line="240" w:lineRule="auto"/>
        <w:rPr>
          <w:iCs/>
          <w:szCs w:val="22"/>
          <w:lang w:val="lt-LT"/>
        </w:rPr>
      </w:pPr>
    </w:p>
    <w:p w14:paraId="6070C648" w14:textId="77777777" w:rsidR="00C57CC5" w:rsidRPr="00900CEC" w:rsidRDefault="00C57CC5" w:rsidP="00C57CC5">
      <w:pPr>
        <w:spacing w:line="240" w:lineRule="auto"/>
        <w:ind w:left="567" w:hanging="567"/>
        <w:outlineLvl w:val="0"/>
        <w:rPr>
          <w:b/>
          <w:szCs w:val="22"/>
          <w:lang w:val="lt-LT"/>
        </w:rPr>
      </w:pPr>
      <w:r w:rsidRPr="00900CEC">
        <w:rPr>
          <w:b/>
          <w:szCs w:val="22"/>
          <w:lang w:val="lt-LT"/>
        </w:rPr>
        <w:t>4.</w:t>
      </w:r>
      <w:r w:rsidRPr="00900CEC">
        <w:rPr>
          <w:b/>
          <w:szCs w:val="22"/>
          <w:lang w:val="lt-LT"/>
        </w:rPr>
        <w:tab/>
        <w:t>Galimas šalutinis poveikis</w:t>
      </w:r>
    </w:p>
    <w:p w14:paraId="6173A014" w14:textId="77777777" w:rsidR="00C57CC5" w:rsidRPr="00900CEC" w:rsidRDefault="00C57CC5" w:rsidP="00C57CC5">
      <w:pPr>
        <w:spacing w:line="240" w:lineRule="auto"/>
        <w:rPr>
          <w:szCs w:val="22"/>
          <w:lang w:val="lt-LT"/>
        </w:rPr>
      </w:pPr>
    </w:p>
    <w:p w14:paraId="2BD11CFF" w14:textId="77777777" w:rsidR="00C57CC5" w:rsidRPr="00900CEC" w:rsidRDefault="00C57CC5" w:rsidP="00C57CC5">
      <w:pPr>
        <w:spacing w:line="240" w:lineRule="auto"/>
        <w:rPr>
          <w:szCs w:val="22"/>
          <w:lang w:val="lt-LT"/>
        </w:rPr>
      </w:pPr>
      <w:r w:rsidRPr="00900CEC">
        <w:rPr>
          <w:szCs w:val="22"/>
          <w:lang w:val="lt-LT"/>
        </w:rPr>
        <w:t>Šis vaistas, kaip ir visi kiti, gali sukelti šalutinį poveikį, nors jis pasireiškia ne visiems žmonėms.</w:t>
      </w:r>
    </w:p>
    <w:p w14:paraId="10523489" w14:textId="77777777" w:rsidR="00C57CC5" w:rsidRPr="00900CEC" w:rsidRDefault="00C57CC5" w:rsidP="00C57CC5">
      <w:pPr>
        <w:spacing w:line="240" w:lineRule="auto"/>
        <w:rPr>
          <w:szCs w:val="22"/>
          <w:lang w:val="lt-LT"/>
        </w:rPr>
      </w:pPr>
    </w:p>
    <w:p w14:paraId="3CB633B4" w14:textId="1B35B8F8" w:rsidR="00C57CC5" w:rsidRPr="00900CEC" w:rsidRDefault="00C57CC5" w:rsidP="00C57CC5">
      <w:pPr>
        <w:spacing w:line="240" w:lineRule="auto"/>
        <w:rPr>
          <w:bCs/>
          <w:szCs w:val="22"/>
          <w:lang w:val="lt-LT"/>
        </w:rPr>
      </w:pPr>
      <w:r w:rsidRPr="00900CEC">
        <w:rPr>
          <w:bCs/>
          <w:szCs w:val="22"/>
          <w:lang w:val="lt-LT"/>
        </w:rPr>
        <w:lastRenderedPageBreak/>
        <w:t xml:space="preserve">Jeigu Jums pasireikštų kuris nors toliau nurodytas sunkus šalutinis poveikis, </w:t>
      </w:r>
      <w:r w:rsidRPr="00900CEC">
        <w:rPr>
          <w:b/>
          <w:szCs w:val="22"/>
          <w:lang w:val="lt-LT"/>
        </w:rPr>
        <w:t xml:space="preserve">nutraukite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Pr="00900CEC">
        <w:rPr>
          <w:szCs w:val="22"/>
          <w:lang w:val="lt-LT"/>
        </w:rPr>
        <w:t xml:space="preserve"> </w:t>
      </w:r>
      <w:r w:rsidRPr="00900CEC">
        <w:rPr>
          <w:b/>
          <w:szCs w:val="22"/>
          <w:lang w:val="lt-LT"/>
        </w:rPr>
        <w:t xml:space="preserve">vartojimą </w:t>
      </w:r>
      <w:r w:rsidRPr="00900CEC">
        <w:rPr>
          <w:bCs/>
          <w:szCs w:val="22"/>
          <w:lang w:val="lt-LT"/>
        </w:rPr>
        <w:t xml:space="preserve">ir </w:t>
      </w:r>
      <w:r w:rsidRPr="00900CEC">
        <w:rPr>
          <w:b/>
          <w:szCs w:val="22"/>
          <w:lang w:val="lt-LT"/>
        </w:rPr>
        <w:t xml:space="preserve">nedelsdami </w:t>
      </w:r>
      <w:r w:rsidRPr="00900CEC">
        <w:rPr>
          <w:bCs/>
          <w:szCs w:val="22"/>
          <w:lang w:val="lt-LT"/>
        </w:rPr>
        <w:t>praneškite gydytojui arba vykite į artimiausios ligoninės skubiosios pagalbos skyrių.</w:t>
      </w:r>
    </w:p>
    <w:p w14:paraId="34EA4241" w14:textId="77777777" w:rsidR="00C57CC5" w:rsidRPr="00900CEC" w:rsidRDefault="00C57CC5" w:rsidP="00C57CC5">
      <w:pPr>
        <w:spacing w:line="240" w:lineRule="auto"/>
        <w:rPr>
          <w:szCs w:val="22"/>
          <w:lang w:val="lt-LT"/>
        </w:rPr>
      </w:pPr>
    </w:p>
    <w:p w14:paraId="19FC847E" w14:textId="77777777" w:rsidR="00C57CC5" w:rsidRPr="00900CEC" w:rsidRDefault="00C57CC5" w:rsidP="00C57CC5">
      <w:pPr>
        <w:spacing w:line="240" w:lineRule="auto"/>
        <w:rPr>
          <w:i/>
          <w:szCs w:val="22"/>
          <w:lang w:val="lt-LT"/>
        </w:rPr>
      </w:pPr>
      <w:r w:rsidRPr="00900CEC">
        <w:rPr>
          <w:i/>
          <w:szCs w:val="22"/>
          <w:lang w:val="lt-LT"/>
        </w:rPr>
        <w:t>Nedažnas šalutinis poveikis:</w:t>
      </w:r>
    </w:p>
    <w:p w14:paraId="07739731"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vėmimas krauju arba panašiu į kavos tirščius turiniu;</w:t>
      </w:r>
    </w:p>
    <w:p w14:paraId="787BD5DD"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kraujavimas iš išeinamosios angos, juodos lipnios išmatos arba viduriavimas su krauju;</w:t>
      </w:r>
    </w:p>
    <w:p w14:paraId="41C87FCA"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veido, lūpų ar liežuvio patinimas, dėl kurio gali pasunkėti rijimas arba kvėpavimas.</w:t>
      </w:r>
    </w:p>
    <w:p w14:paraId="43DB2FA4" w14:textId="77777777" w:rsidR="00C57CC5" w:rsidRPr="00900CEC" w:rsidRDefault="00C57CC5" w:rsidP="00C57CC5">
      <w:pPr>
        <w:spacing w:line="240" w:lineRule="auto"/>
        <w:rPr>
          <w:bCs/>
          <w:i/>
          <w:szCs w:val="22"/>
          <w:lang w:val="lt-LT"/>
        </w:rPr>
      </w:pPr>
    </w:p>
    <w:p w14:paraId="4ABF7674" w14:textId="77777777" w:rsidR="00C57CC5" w:rsidRPr="00900CEC" w:rsidRDefault="00C57CC5" w:rsidP="00C57CC5">
      <w:pPr>
        <w:spacing w:line="240" w:lineRule="auto"/>
        <w:rPr>
          <w:i/>
          <w:szCs w:val="22"/>
          <w:lang w:val="lt-LT"/>
        </w:rPr>
      </w:pPr>
      <w:r w:rsidRPr="00900CEC">
        <w:rPr>
          <w:i/>
          <w:szCs w:val="22"/>
          <w:lang w:val="lt-LT"/>
        </w:rPr>
        <w:t>Labai retas šalutinis poveikis:</w:t>
      </w:r>
    </w:p>
    <w:p w14:paraId="2E300BBF"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bCs/>
          <w:snapToGrid/>
          <w:szCs w:val="22"/>
          <w:lang w:val="lt-LT" w:eastAsia="zh-CN"/>
        </w:rPr>
      </w:pPr>
      <w:r w:rsidRPr="00900CEC">
        <w:rPr>
          <w:bCs/>
          <w:snapToGrid/>
          <w:szCs w:val="22"/>
          <w:lang w:val="lt-LT" w:eastAsia="zh-CN"/>
        </w:rPr>
        <w:t xml:space="preserve">astma, švokštimas, </w:t>
      </w:r>
      <w:r w:rsidRPr="00900CEC">
        <w:rPr>
          <w:szCs w:val="22"/>
          <w:lang w:val="lt-LT" w:eastAsia="en-IE"/>
        </w:rPr>
        <w:t>oro</w:t>
      </w:r>
      <w:r w:rsidRPr="00900CEC">
        <w:rPr>
          <w:bCs/>
          <w:snapToGrid/>
          <w:szCs w:val="22"/>
          <w:lang w:val="lt-LT" w:eastAsia="zh-CN"/>
        </w:rPr>
        <w:t xml:space="preserve"> stoka;</w:t>
      </w:r>
    </w:p>
    <w:p w14:paraId="043F5C6E"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bCs/>
          <w:snapToGrid/>
          <w:szCs w:val="22"/>
          <w:lang w:val="lt-LT" w:eastAsia="zh-CN"/>
        </w:rPr>
      </w:pPr>
      <w:r w:rsidRPr="00900CEC">
        <w:rPr>
          <w:bCs/>
          <w:snapToGrid/>
          <w:szCs w:val="22"/>
          <w:lang w:val="lt-LT" w:eastAsia="zh-CN"/>
        </w:rPr>
        <w:t>staiga pasireiškęs ar stiprus niežulys, odos išbėrimas, dilgėlinė;</w:t>
      </w:r>
    </w:p>
    <w:p w14:paraId="0DC9AABA"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bCs/>
          <w:snapToGrid/>
          <w:szCs w:val="22"/>
          <w:lang w:val="lt-LT" w:eastAsia="zh-CN"/>
        </w:rPr>
      </w:pPr>
      <w:r w:rsidRPr="00900CEC">
        <w:rPr>
          <w:bCs/>
          <w:snapToGrid/>
          <w:szCs w:val="22"/>
          <w:lang w:val="lt-LT" w:eastAsia="zh-CN"/>
        </w:rPr>
        <w:t xml:space="preserve">stiprus odos išbėrimas pūslėmis bei kraujavimas </w:t>
      </w:r>
      <w:r w:rsidRPr="002D2AD8">
        <w:rPr>
          <w:bCs/>
          <w:snapToGrid/>
          <w:szCs w:val="22"/>
          <w:lang w:val="lt-LT" w:eastAsia="zh-CN"/>
        </w:rPr>
        <w:t>iš</w:t>
      </w:r>
      <w:r w:rsidRPr="00900CEC">
        <w:rPr>
          <w:bCs/>
          <w:snapToGrid/>
          <w:szCs w:val="22"/>
          <w:lang w:val="lt-LT" w:eastAsia="zh-CN"/>
        </w:rPr>
        <w:t xml:space="preserve"> lūpų, akių, burnos ertmės, nosies ir lytinių organų (</w:t>
      </w:r>
      <w:proofErr w:type="spellStart"/>
      <w:r w:rsidRPr="00900CEC">
        <w:rPr>
          <w:bCs/>
          <w:snapToGrid/>
          <w:szCs w:val="22"/>
          <w:lang w:val="lt-LT" w:eastAsia="zh-CN"/>
        </w:rPr>
        <w:t>Stivenso</w:t>
      </w:r>
      <w:proofErr w:type="spellEnd"/>
      <w:r w:rsidRPr="00900CEC">
        <w:rPr>
          <w:bCs/>
          <w:snapToGrid/>
          <w:szCs w:val="22"/>
          <w:lang w:val="lt-LT" w:eastAsia="zh-CN"/>
        </w:rPr>
        <w:t>-Džonsono (</w:t>
      </w:r>
      <w:proofErr w:type="spellStart"/>
      <w:r w:rsidRPr="00900CEC">
        <w:rPr>
          <w:bCs/>
          <w:i/>
          <w:snapToGrid/>
          <w:szCs w:val="22"/>
          <w:lang w:val="lt-LT" w:eastAsia="zh-CN"/>
        </w:rPr>
        <w:t>Steven-Johnson</w:t>
      </w:r>
      <w:proofErr w:type="spellEnd"/>
      <w:r w:rsidRPr="00900CEC">
        <w:rPr>
          <w:bCs/>
          <w:snapToGrid/>
          <w:szCs w:val="22"/>
          <w:lang w:val="lt-LT" w:eastAsia="zh-CN"/>
        </w:rPr>
        <w:t xml:space="preserve">) sindromas). Labai retais </w:t>
      </w:r>
      <w:r w:rsidRPr="00900CEC">
        <w:rPr>
          <w:szCs w:val="22"/>
          <w:lang w:val="lt-LT" w:eastAsia="en-IE"/>
        </w:rPr>
        <w:t>atvejais</w:t>
      </w:r>
      <w:r w:rsidRPr="00900CEC">
        <w:rPr>
          <w:bCs/>
          <w:snapToGrid/>
          <w:szCs w:val="22"/>
          <w:lang w:val="lt-LT" w:eastAsia="zh-CN"/>
        </w:rPr>
        <w:t xml:space="preserve"> užfiksuota sunkių odos reakcijų;</w:t>
      </w:r>
    </w:p>
    <w:p w14:paraId="0CA74EFB"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bCs/>
          <w:snapToGrid/>
          <w:szCs w:val="22"/>
          <w:lang w:val="lt-LT" w:eastAsia="zh-CN"/>
        </w:rPr>
        <w:t xml:space="preserve">esamų stipriai išreikštų odos infekcinių ligų pasunkėjimas (gali išberti odą, susidaryti pūslių, pakisti jos spalva, pasireikšti karščiavimas, </w:t>
      </w:r>
      <w:r w:rsidRPr="00900CEC">
        <w:rPr>
          <w:szCs w:val="22"/>
          <w:lang w:val="lt-LT" w:eastAsia="en-IE"/>
        </w:rPr>
        <w:t>mieguistumas, viduriavimas ir pykinimas), kitų infekcinių ligų (vėjaraupių ar pūslelinės) pasunkėjimas arba stipriai išreikšta infekcija su poodinių audinių ir raumenų irimu (nekroze), pūslių susidarymu ir odos lupimusi;</w:t>
      </w:r>
    </w:p>
    <w:p w14:paraId="098DA983"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bCs/>
          <w:snapToGrid/>
          <w:szCs w:val="22"/>
          <w:lang w:val="lt-LT" w:eastAsia="zh-CN"/>
        </w:rPr>
      </w:pPr>
      <w:r w:rsidRPr="00900CEC">
        <w:rPr>
          <w:szCs w:val="22"/>
          <w:lang w:val="lt-LT" w:eastAsia="en-IE"/>
        </w:rPr>
        <w:t>karščiavimas, bendras negalavimas, pykinimas</w:t>
      </w:r>
      <w:r w:rsidRPr="00900CEC">
        <w:rPr>
          <w:bCs/>
          <w:snapToGrid/>
          <w:szCs w:val="22"/>
          <w:lang w:val="lt-LT" w:eastAsia="zh-CN"/>
        </w:rPr>
        <w:t>, pilvo skausmas, galvos skausmas ir kaklo stingulys (</w:t>
      </w:r>
      <w:proofErr w:type="spellStart"/>
      <w:r w:rsidRPr="00900CEC">
        <w:rPr>
          <w:bCs/>
          <w:snapToGrid/>
          <w:szCs w:val="22"/>
          <w:lang w:val="lt-LT" w:eastAsia="zh-CN"/>
        </w:rPr>
        <w:t>aseptinio</w:t>
      </w:r>
      <w:proofErr w:type="spellEnd"/>
      <w:r w:rsidRPr="00900CEC">
        <w:rPr>
          <w:bCs/>
          <w:snapToGrid/>
          <w:szCs w:val="22"/>
          <w:lang w:val="lt-LT" w:eastAsia="zh-CN"/>
        </w:rPr>
        <w:t xml:space="preserve"> meningito – smegenis supančios apsauginės membranos uždegimo, simptomai).</w:t>
      </w:r>
    </w:p>
    <w:p w14:paraId="1AACAE28" w14:textId="77777777" w:rsidR="00C57CC5" w:rsidRPr="00900CEC" w:rsidRDefault="00C57CC5" w:rsidP="00C57CC5">
      <w:pPr>
        <w:tabs>
          <w:tab w:val="clear" w:pos="567"/>
        </w:tabs>
        <w:autoSpaceDE w:val="0"/>
        <w:autoSpaceDN w:val="0"/>
        <w:adjustRightInd w:val="0"/>
        <w:spacing w:line="240" w:lineRule="auto"/>
        <w:rPr>
          <w:bCs/>
          <w:snapToGrid/>
          <w:szCs w:val="22"/>
          <w:lang w:val="lt-LT" w:eastAsia="zh-CN"/>
        </w:rPr>
      </w:pPr>
    </w:p>
    <w:p w14:paraId="6DA1E468" w14:textId="77777777" w:rsidR="00C57CC5" w:rsidRPr="00900CEC" w:rsidRDefault="00C57CC5" w:rsidP="00C57CC5">
      <w:pPr>
        <w:keepNext/>
        <w:tabs>
          <w:tab w:val="clear" w:pos="567"/>
        </w:tabs>
        <w:autoSpaceDE w:val="0"/>
        <w:autoSpaceDN w:val="0"/>
        <w:adjustRightInd w:val="0"/>
        <w:spacing w:line="240" w:lineRule="auto"/>
        <w:rPr>
          <w:bCs/>
          <w:i/>
          <w:iCs/>
          <w:snapToGrid/>
          <w:szCs w:val="22"/>
          <w:lang w:val="lt-LT" w:eastAsia="zh-CN"/>
        </w:rPr>
      </w:pPr>
      <w:r w:rsidRPr="00900CEC">
        <w:rPr>
          <w:bCs/>
          <w:i/>
          <w:iCs/>
          <w:snapToGrid/>
          <w:szCs w:val="22"/>
          <w:lang w:val="lt-LT" w:eastAsia="zh-CN"/>
        </w:rPr>
        <w:t>Nežinomo dažnio šalutinis poveikis (negali būti apskaičiuotas pagal turimus duomenis)</w:t>
      </w:r>
    </w:p>
    <w:p w14:paraId="76C46C9A" w14:textId="77777777" w:rsidR="00C57CC5" w:rsidRPr="00900CEC" w:rsidRDefault="00C57CC5" w:rsidP="00C57CC5">
      <w:pPr>
        <w:pStyle w:val="Sraopastraipa"/>
        <w:keepNext/>
        <w:numPr>
          <w:ilvl w:val="0"/>
          <w:numId w:val="20"/>
        </w:numPr>
        <w:tabs>
          <w:tab w:val="clear" w:pos="567"/>
        </w:tabs>
        <w:autoSpaceDE w:val="0"/>
        <w:autoSpaceDN w:val="0"/>
        <w:adjustRightInd w:val="0"/>
        <w:spacing w:line="240" w:lineRule="auto"/>
        <w:ind w:left="426" w:hanging="426"/>
        <w:rPr>
          <w:szCs w:val="22"/>
          <w:lang w:val="lt-LT" w:eastAsia="en-IE"/>
        </w:rPr>
      </w:pPr>
      <w:r w:rsidRPr="00900CEC">
        <w:rPr>
          <w:iCs/>
          <w:szCs w:val="22"/>
          <w:lang w:val="lt-LT"/>
        </w:rPr>
        <w:t xml:space="preserve">gali atsirasti sunki odos reakcija, vadinama DRESS sindromu. DRESS simptomai yra šie: odos išbėrimas, karščiavimas, limfmazgių </w:t>
      </w:r>
      <w:r w:rsidRPr="00900CEC">
        <w:rPr>
          <w:bCs/>
          <w:szCs w:val="22"/>
          <w:lang w:val="lt-LT" w:eastAsia="en-IE"/>
        </w:rPr>
        <w:t>padidėjimas ir padidėj</w:t>
      </w:r>
      <w:r>
        <w:rPr>
          <w:bCs/>
          <w:szCs w:val="22"/>
          <w:lang w:val="lt-LT" w:eastAsia="en-IE"/>
        </w:rPr>
        <w:t>ę</w:t>
      </w:r>
      <w:r w:rsidRPr="00900CEC">
        <w:rPr>
          <w:bCs/>
          <w:szCs w:val="22"/>
          <w:lang w:val="lt-LT" w:eastAsia="en-IE"/>
        </w:rPr>
        <w:t xml:space="preserve">s </w:t>
      </w:r>
      <w:proofErr w:type="spellStart"/>
      <w:r w:rsidRPr="00900CEC">
        <w:rPr>
          <w:bCs/>
          <w:szCs w:val="22"/>
          <w:lang w:val="lt-LT" w:eastAsia="en-IE"/>
        </w:rPr>
        <w:t>eozinofilų</w:t>
      </w:r>
      <w:proofErr w:type="spellEnd"/>
      <w:r w:rsidRPr="00900CEC">
        <w:rPr>
          <w:bCs/>
          <w:szCs w:val="22"/>
          <w:lang w:val="lt-LT" w:eastAsia="en-IE"/>
        </w:rPr>
        <w:t xml:space="preserve"> (baltųjų kraujo ląstelių rūšies) kiekis;</w:t>
      </w:r>
    </w:p>
    <w:p w14:paraId="688755D7" w14:textId="3DF83D16" w:rsidR="00C57CC5" w:rsidRPr="00900CEC" w:rsidRDefault="00C57CC5" w:rsidP="00C57CC5">
      <w:pPr>
        <w:pStyle w:val="Sraopastraipa"/>
        <w:numPr>
          <w:ilvl w:val="0"/>
          <w:numId w:val="20"/>
        </w:numPr>
        <w:spacing w:line="240" w:lineRule="auto"/>
        <w:ind w:left="426" w:hanging="426"/>
        <w:rPr>
          <w:szCs w:val="22"/>
          <w:lang w:val="lt-LT"/>
        </w:rPr>
      </w:pPr>
      <w:bookmarkStart w:id="4" w:name="_Hlk22203534"/>
      <w:r w:rsidRPr="00900CEC">
        <w:rPr>
          <w:szCs w:val="22"/>
          <w:lang w:val="lt-LT"/>
        </w:rPr>
        <w:t xml:space="preserve">gydymo pradžioje kartu su karščiavimu pasireiškiantis raudonas, </w:t>
      </w:r>
      <w:r w:rsidRPr="00557B2B">
        <w:rPr>
          <w:szCs w:val="22"/>
          <w:lang w:val="lt-LT"/>
        </w:rPr>
        <w:t>žvynuotas</w:t>
      </w:r>
      <w:r w:rsidRPr="00900CEC">
        <w:rPr>
          <w:szCs w:val="22"/>
          <w:lang w:val="lt-LT"/>
        </w:rPr>
        <w:t xml:space="preserve">, išplitęs išbėrimas su poodiniais gumbeliais ir pūslelėmis, dažniausiai pažeidžiantis odos raukšles, liemenį ir viršutines galūnes (ūminė </w:t>
      </w:r>
      <w:proofErr w:type="spellStart"/>
      <w:r w:rsidRPr="00900CEC">
        <w:rPr>
          <w:szCs w:val="22"/>
          <w:lang w:val="lt-LT"/>
        </w:rPr>
        <w:t>generalizuota</w:t>
      </w:r>
      <w:proofErr w:type="spellEnd"/>
      <w:r w:rsidRPr="00900CEC">
        <w:rPr>
          <w:szCs w:val="22"/>
          <w:lang w:val="lt-LT"/>
        </w:rPr>
        <w:t xml:space="preserve"> </w:t>
      </w:r>
      <w:proofErr w:type="spellStart"/>
      <w:r w:rsidRPr="00900CEC">
        <w:rPr>
          <w:szCs w:val="22"/>
          <w:lang w:val="lt-LT"/>
        </w:rPr>
        <w:t>egzanteminė</w:t>
      </w:r>
      <w:proofErr w:type="spellEnd"/>
      <w:r w:rsidRPr="00900CEC">
        <w:rPr>
          <w:szCs w:val="22"/>
          <w:lang w:val="lt-LT"/>
        </w:rPr>
        <w:t xml:space="preserve"> </w:t>
      </w:r>
      <w:proofErr w:type="spellStart"/>
      <w:r w:rsidRPr="00900CEC">
        <w:rPr>
          <w:szCs w:val="22"/>
          <w:lang w:val="lt-LT"/>
        </w:rPr>
        <w:t>pustuliozė</w:t>
      </w:r>
      <w:proofErr w:type="spellEnd"/>
      <w:r w:rsidRPr="00900CEC">
        <w:rPr>
          <w:szCs w:val="22"/>
          <w:lang w:val="lt-LT"/>
        </w:rPr>
        <w:t xml:space="preserve">). </w:t>
      </w:r>
      <w:r w:rsidRPr="00557B2B">
        <w:rPr>
          <w:szCs w:val="22"/>
          <w:lang w:val="lt-LT"/>
        </w:rPr>
        <w:t xml:space="preserve">Jei </w:t>
      </w:r>
      <w:r w:rsidR="00C40CEE">
        <w:rPr>
          <w:szCs w:val="22"/>
          <w:lang w:val="lt-LT"/>
        </w:rPr>
        <w:t>J</w:t>
      </w:r>
      <w:r w:rsidRPr="00557B2B">
        <w:rPr>
          <w:szCs w:val="22"/>
          <w:lang w:val="lt-LT"/>
        </w:rPr>
        <w:t xml:space="preserve">ums pasireikštų šių simptomų, nutraukite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Pr="00900CEC">
        <w:rPr>
          <w:szCs w:val="22"/>
          <w:lang w:val="lt-LT"/>
        </w:rPr>
        <w:t xml:space="preserve"> </w:t>
      </w:r>
      <w:r w:rsidRPr="00557B2B">
        <w:rPr>
          <w:szCs w:val="22"/>
          <w:lang w:val="lt-LT"/>
        </w:rPr>
        <w:t xml:space="preserve">vartojimą ir nedelsdami kreipkitės medicininės pagalbos. </w:t>
      </w:r>
      <w:r w:rsidRPr="00900CEC">
        <w:rPr>
          <w:szCs w:val="22"/>
          <w:lang w:val="lt-LT"/>
        </w:rPr>
        <w:t>Taip pat žr. 2</w:t>
      </w:r>
      <w:r w:rsidR="00C40CEE">
        <w:rPr>
          <w:szCs w:val="22"/>
          <w:lang w:val="lt-LT"/>
        </w:rPr>
        <w:t> </w:t>
      </w:r>
      <w:r w:rsidRPr="00900CEC">
        <w:rPr>
          <w:szCs w:val="22"/>
          <w:lang w:val="lt-LT"/>
        </w:rPr>
        <w:t>skyrių.</w:t>
      </w:r>
    </w:p>
    <w:bookmarkEnd w:id="4"/>
    <w:p w14:paraId="2AF509B9" w14:textId="77777777" w:rsidR="00C57CC5" w:rsidRPr="00900CEC" w:rsidRDefault="00C57CC5" w:rsidP="00C57CC5">
      <w:pPr>
        <w:spacing w:line="240" w:lineRule="auto"/>
        <w:rPr>
          <w:b/>
          <w:szCs w:val="22"/>
          <w:lang w:val="lt-LT"/>
        </w:rPr>
      </w:pPr>
    </w:p>
    <w:p w14:paraId="1582D846" w14:textId="77777777" w:rsidR="00C57CC5" w:rsidRPr="00900CEC" w:rsidRDefault="00C57CC5" w:rsidP="00C57CC5">
      <w:pPr>
        <w:spacing w:line="240" w:lineRule="auto"/>
        <w:rPr>
          <w:b/>
          <w:szCs w:val="22"/>
          <w:lang w:val="lt-LT"/>
        </w:rPr>
      </w:pPr>
      <w:r w:rsidRPr="00900CEC">
        <w:rPr>
          <w:b/>
          <w:szCs w:val="22"/>
          <w:lang w:val="lt-LT"/>
        </w:rPr>
        <w:t>Kitas galimas šalutinis poveikis</w:t>
      </w:r>
    </w:p>
    <w:p w14:paraId="57AFB5A4" w14:textId="77777777" w:rsidR="00C57CC5" w:rsidRPr="00900CEC" w:rsidRDefault="00C57CC5" w:rsidP="00C57CC5">
      <w:pPr>
        <w:spacing w:line="240" w:lineRule="auto"/>
        <w:rPr>
          <w:b/>
          <w:szCs w:val="22"/>
          <w:lang w:val="lt-LT"/>
        </w:rPr>
      </w:pPr>
    </w:p>
    <w:p w14:paraId="0AD847F9" w14:textId="474D622C" w:rsidR="00C57CC5" w:rsidRPr="00900CEC" w:rsidRDefault="00C57CC5" w:rsidP="00C57CC5">
      <w:pPr>
        <w:pStyle w:val="Antrat2"/>
        <w:spacing w:before="0" w:after="0" w:line="240" w:lineRule="auto"/>
        <w:rPr>
          <w:rFonts w:ascii="Times New Roman" w:hAnsi="Times New Roman"/>
          <w:b w:val="0"/>
          <w:sz w:val="22"/>
          <w:szCs w:val="22"/>
          <w:lang w:val="lt-LT"/>
        </w:rPr>
      </w:pPr>
      <w:r w:rsidRPr="00900CEC">
        <w:rPr>
          <w:rFonts w:ascii="Times New Roman" w:hAnsi="Times New Roman"/>
          <w:b w:val="0"/>
          <w:sz w:val="22"/>
          <w:szCs w:val="22"/>
          <w:lang w:val="lt-LT"/>
        </w:rPr>
        <w:t>Dažnas (gali pasireikšti rečiau nei 1 iš 10</w:t>
      </w:r>
      <w:r w:rsidR="00C40CEE">
        <w:rPr>
          <w:rFonts w:ascii="Times New Roman" w:hAnsi="Times New Roman"/>
          <w:b w:val="0"/>
          <w:sz w:val="22"/>
          <w:szCs w:val="22"/>
          <w:lang w:val="lt-LT"/>
        </w:rPr>
        <w:t> asmenų</w:t>
      </w:r>
      <w:r w:rsidRPr="00900CEC">
        <w:rPr>
          <w:rFonts w:ascii="Times New Roman" w:hAnsi="Times New Roman"/>
          <w:b w:val="0"/>
          <w:sz w:val="22"/>
          <w:szCs w:val="22"/>
          <w:lang w:val="lt-LT"/>
        </w:rPr>
        <w:t>):</w:t>
      </w:r>
    </w:p>
    <w:p w14:paraId="264DC472"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pykinimas ar vėmimas;</w:t>
      </w:r>
    </w:p>
    <w:p w14:paraId="10760A9B"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apetito stoka;</w:t>
      </w:r>
    </w:p>
    <w:p w14:paraId="1B8190D6"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rėmuo ar viršutinės pilvo dalies skausmas;</w:t>
      </w:r>
    </w:p>
    <w:p w14:paraId="549E21E1"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skrandžio spazmai, dujų išėjimas, vidurių užkietėjimas ar viduriavimas, nestiprus kraujavimas virškinimo trakte;</w:t>
      </w:r>
    </w:p>
    <w:p w14:paraId="5186A129"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odos išbėrimas, niežėjimas;</w:t>
      </w:r>
    </w:p>
    <w:p w14:paraId="34E1755E"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galvos skausmas;</w:t>
      </w:r>
    </w:p>
    <w:p w14:paraId="486057F6"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svaigulys;</w:t>
      </w:r>
    </w:p>
    <w:p w14:paraId="331B56C7"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nervingumas;</w:t>
      </w:r>
    </w:p>
    <w:p w14:paraId="3ADCE50A"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ūžesys ar spengimas ausyse;</w:t>
      </w:r>
    </w:p>
    <w:p w14:paraId="474B74D1"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neįprastas svorio prieaugis, patinimas ir skysčių susilaikymas, kulkšnių ar kojų patinimas (edema).</w:t>
      </w:r>
    </w:p>
    <w:p w14:paraId="34CD5B01" w14:textId="77777777" w:rsidR="00C57CC5" w:rsidRPr="00900CEC" w:rsidRDefault="00C57CC5" w:rsidP="00C57CC5">
      <w:pPr>
        <w:pStyle w:val="Sraassuenkleliais"/>
        <w:widowControl/>
        <w:tabs>
          <w:tab w:val="left" w:pos="363"/>
        </w:tabs>
        <w:rPr>
          <w:rFonts w:ascii="Times New Roman" w:hAnsi="Times New Roman" w:cs="Times New Roman"/>
          <w:szCs w:val="22"/>
          <w:lang w:val="lt-LT"/>
        </w:rPr>
      </w:pPr>
    </w:p>
    <w:p w14:paraId="4529107A" w14:textId="0D8081F3" w:rsidR="00C57CC5" w:rsidRPr="00900CEC" w:rsidRDefault="00C57CC5" w:rsidP="00C57CC5">
      <w:pPr>
        <w:pStyle w:val="Antrat2"/>
        <w:spacing w:before="0" w:after="0" w:line="240" w:lineRule="auto"/>
        <w:rPr>
          <w:rFonts w:ascii="Times New Roman" w:hAnsi="Times New Roman"/>
          <w:b w:val="0"/>
          <w:sz w:val="22"/>
          <w:szCs w:val="22"/>
          <w:lang w:val="lt-LT"/>
        </w:rPr>
      </w:pPr>
      <w:r w:rsidRPr="00900CEC">
        <w:rPr>
          <w:rFonts w:ascii="Times New Roman" w:hAnsi="Times New Roman"/>
          <w:b w:val="0"/>
          <w:sz w:val="22"/>
          <w:szCs w:val="22"/>
          <w:lang w:val="lt-LT"/>
        </w:rPr>
        <w:t>Nedažnas (gali pasireikšti rečiau nei 1 iš 100</w:t>
      </w:r>
      <w:r w:rsidR="00C40CEE">
        <w:rPr>
          <w:rFonts w:ascii="Times New Roman" w:hAnsi="Times New Roman"/>
          <w:b w:val="0"/>
          <w:sz w:val="22"/>
          <w:szCs w:val="22"/>
          <w:lang w:val="lt-LT"/>
        </w:rPr>
        <w:t> asmenų</w:t>
      </w:r>
      <w:r w:rsidRPr="00900CEC">
        <w:rPr>
          <w:rFonts w:ascii="Times New Roman" w:hAnsi="Times New Roman"/>
          <w:b w:val="0"/>
          <w:sz w:val="22"/>
          <w:szCs w:val="22"/>
          <w:lang w:val="lt-LT"/>
        </w:rPr>
        <w:t>):</w:t>
      </w:r>
    </w:p>
    <w:p w14:paraId="5369ED5D"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bCs/>
          <w:snapToGrid/>
          <w:szCs w:val="22"/>
          <w:lang w:val="lt-LT" w:eastAsia="zh-CN"/>
        </w:rPr>
      </w:pPr>
      <w:r w:rsidRPr="00900CEC">
        <w:rPr>
          <w:bCs/>
          <w:snapToGrid/>
          <w:szCs w:val="22"/>
          <w:lang w:val="lt-LT" w:eastAsia="zh-CN"/>
        </w:rPr>
        <w:t>sumažėjęs raudonųjų kraujo ląstelių kiekis, kraujavimas iš nosies ir gausesni menstruaciniai kraujavimai;</w:t>
      </w:r>
    </w:p>
    <w:p w14:paraId="21C3E8D8"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bCs/>
          <w:snapToGrid/>
          <w:szCs w:val="22"/>
          <w:lang w:val="lt-LT" w:eastAsia="zh-CN"/>
        </w:rPr>
      </w:pPr>
      <w:r w:rsidRPr="00900CEC">
        <w:rPr>
          <w:bCs/>
          <w:snapToGrid/>
          <w:szCs w:val="22"/>
          <w:lang w:val="lt-LT" w:eastAsia="zh-CN"/>
        </w:rPr>
        <w:t xml:space="preserve">alerginės reakcijos – odos išbėrimas, nuovargis, sąnarių skausmas (pvz., </w:t>
      </w:r>
      <w:proofErr w:type="spellStart"/>
      <w:r w:rsidRPr="00900CEC">
        <w:rPr>
          <w:bCs/>
          <w:snapToGrid/>
          <w:szCs w:val="22"/>
          <w:lang w:val="lt-LT" w:eastAsia="zh-CN"/>
        </w:rPr>
        <w:t>seruminė</w:t>
      </w:r>
      <w:proofErr w:type="spellEnd"/>
      <w:r w:rsidRPr="00900CEC">
        <w:rPr>
          <w:bCs/>
          <w:snapToGrid/>
          <w:szCs w:val="22"/>
          <w:lang w:val="lt-LT" w:eastAsia="zh-CN"/>
        </w:rPr>
        <w:t xml:space="preserve"> liga, raudonosios vilkligės sindromas, </w:t>
      </w:r>
      <w:proofErr w:type="spellStart"/>
      <w:r w:rsidRPr="00900CEC">
        <w:rPr>
          <w:bCs/>
          <w:i/>
          <w:snapToGrid/>
          <w:szCs w:val="22"/>
          <w:lang w:val="lt-LT" w:eastAsia="zh-CN"/>
        </w:rPr>
        <w:t>Henoch-Schönlein</w:t>
      </w:r>
      <w:proofErr w:type="spellEnd"/>
      <w:r w:rsidRPr="00900CEC">
        <w:rPr>
          <w:bCs/>
          <w:snapToGrid/>
          <w:szCs w:val="22"/>
          <w:lang w:val="lt-LT" w:eastAsia="zh-CN"/>
        </w:rPr>
        <w:t xml:space="preserve"> </w:t>
      </w:r>
      <w:proofErr w:type="spellStart"/>
      <w:r w:rsidRPr="00900CEC">
        <w:rPr>
          <w:bCs/>
          <w:snapToGrid/>
          <w:szCs w:val="22"/>
          <w:lang w:val="lt-LT" w:eastAsia="zh-CN"/>
        </w:rPr>
        <w:t>vaskulitas</w:t>
      </w:r>
      <w:proofErr w:type="spellEnd"/>
      <w:r w:rsidRPr="00900CEC">
        <w:rPr>
          <w:bCs/>
          <w:snapToGrid/>
          <w:szCs w:val="22"/>
          <w:lang w:val="lt-LT" w:eastAsia="zh-CN"/>
        </w:rPr>
        <w:t xml:space="preserve">, </w:t>
      </w:r>
      <w:proofErr w:type="spellStart"/>
      <w:r w:rsidRPr="00900CEC">
        <w:rPr>
          <w:bCs/>
          <w:snapToGrid/>
          <w:szCs w:val="22"/>
          <w:lang w:val="lt-LT" w:eastAsia="zh-CN"/>
        </w:rPr>
        <w:t>angioneurozinė</w:t>
      </w:r>
      <w:proofErr w:type="spellEnd"/>
      <w:r w:rsidRPr="00900CEC">
        <w:rPr>
          <w:bCs/>
          <w:snapToGrid/>
          <w:szCs w:val="22"/>
          <w:lang w:val="lt-LT" w:eastAsia="zh-CN"/>
        </w:rPr>
        <w:t xml:space="preserve"> edema);</w:t>
      </w:r>
    </w:p>
    <w:p w14:paraId="73C87B0F"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bCs/>
          <w:snapToGrid/>
          <w:szCs w:val="22"/>
          <w:lang w:val="lt-LT" w:eastAsia="zh-CN"/>
        </w:rPr>
      </w:pPr>
      <w:r w:rsidRPr="00900CEC">
        <w:rPr>
          <w:bCs/>
          <w:snapToGrid/>
          <w:szCs w:val="22"/>
          <w:lang w:val="lt-LT" w:eastAsia="zh-CN"/>
        </w:rPr>
        <w:t xml:space="preserve">vyrų </w:t>
      </w:r>
      <w:r w:rsidRPr="00900CEC">
        <w:rPr>
          <w:szCs w:val="22"/>
          <w:lang w:val="lt-LT" w:eastAsia="en-IE"/>
        </w:rPr>
        <w:t>krūtų</w:t>
      </w:r>
      <w:r w:rsidRPr="00900CEC">
        <w:rPr>
          <w:bCs/>
          <w:snapToGrid/>
          <w:szCs w:val="22"/>
          <w:lang w:val="lt-LT" w:eastAsia="zh-CN"/>
        </w:rPr>
        <w:t xml:space="preserve"> audinio išvešėjimas, sumažėjęs cukraus kiekis kraujyje;</w:t>
      </w:r>
    </w:p>
    <w:p w14:paraId="6D25F16C"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bCs/>
          <w:snapToGrid/>
          <w:szCs w:val="22"/>
          <w:lang w:val="lt-LT" w:eastAsia="zh-CN"/>
        </w:rPr>
      </w:pPr>
      <w:r w:rsidRPr="00900CEC">
        <w:rPr>
          <w:szCs w:val="22"/>
          <w:lang w:val="lt-LT" w:eastAsia="en-IE"/>
        </w:rPr>
        <w:t>nemiga</w:t>
      </w:r>
      <w:r w:rsidRPr="00900CEC">
        <w:rPr>
          <w:bCs/>
          <w:snapToGrid/>
          <w:szCs w:val="22"/>
          <w:lang w:val="lt-LT" w:eastAsia="zh-CN"/>
        </w:rPr>
        <w:t>;</w:t>
      </w:r>
    </w:p>
    <w:p w14:paraId="63ABA98E"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bCs/>
          <w:snapToGrid/>
          <w:szCs w:val="22"/>
          <w:lang w:val="lt-LT" w:eastAsia="zh-CN"/>
        </w:rPr>
      </w:pPr>
      <w:r w:rsidRPr="00900CEC">
        <w:rPr>
          <w:szCs w:val="22"/>
          <w:lang w:val="lt-LT" w:eastAsia="en-IE"/>
        </w:rPr>
        <w:t>pakitusi</w:t>
      </w:r>
      <w:r w:rsidRPr="00900CEC">
        <w:rPr>
          <w:bCs/>
          <w:snapToGrid/>
          <w:szCs w:val="22"/>
          <w:lang w:val="lt-LT" w:eastAsia="zh-CN"/>
        </w:rPr>
        <w:t xml:space="preserve"> nuotaika, pvz., depresija, sutrikusi orientacija, nervingumas;</w:t>
      </w:r>
    </w:p>
    <w:p w14:paraId="4B948706"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bCs/>
          <w:snapToGrid/>
          <w:szCs w:val="22"/>
          <w:lang w:val="lt-LT" w:eastAsia="zh-CN"/>
        </w:rPr>
      </w:pPr>
      <w:r w:rsidRPr="00900CEC">
        <w:rPr>
          <w:bCs/>
          <w:snapToGrid/>
          <w:szCs w:val="22"/>
          <w:lang w:val="lt-LT" w:eastAsia="zh-CN"/>
        </w:rPr>
        <w:lastRenderedPageBreak/>
        <w:t xml:space="preserve">akių </w:t>
      </w:r>
      <w:r w:rsidRPr="00900CEC">
        <w:rPr>
          <w:szCs w:val="22"/>
          <w:lang w:val="lt-LT" w:eastAsia="en-IE"/>
        </w:rPr>
        <w:t>sutrikimai</w:t>
      </w:r>
      <w:r w:rsidRPr="00900CEC">
        <w:rPr>
          <w:bCs/>
          <w:snapToGrid/>
          <w:szCs w:val="22"/>
          <w:lang w:val="lt-LT" w:eastAsia="zh-CN"/>
        </w:rPr>
        <w:t>, pvz., laikinai neryškus matymas, akių perštėjimas ir paraudimas, niežėjimas;</w:t>
      </w:r>
    </w:p>
    <w:p w14:paraId="1C0CD43D"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bCs/>
          <w:snapToGrid/>
          <w:szCs w:val="22"/>
          <w:lang w:val="lt-LT" w:eastAsia="zh-CN"/>
        </w:rPr>
      </w:pPr>
      <w:r w:rsidRPr="00900CEC">
        <w:rPr>
          <w:szCs w:val="22"/>
          <w:lang w:val="lt-LT" w:eastAsia="en-IE"/>
        </w:rPr>
        <w:t>gleivių sutirštėjimas;</w:t>
      </w:r>
    </w:p>
    <w:p w14:paraId="3336E095"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 xml:space="preserve">stiprus pilvo skausmas arba skausmingumas, </w:t>
      </w:r>
      <w:proofErr w:type="spellStart"/>
      <w:r w:rsidRPr="00900CEC">
        <w:rPr>
          <w:szCs w:val="22"/>
          <w:lang w:val="lt-LT" w:eastAsia="en-IE"/>
        </w:rPr>
        <w:t>peptinė</w:t>
      </w:r>
      <w:proofErr w:type="spellEnd"/>
      <w:r w:rsidRPr="00900CEC">
        <w:rPr>
          <w:szCs w:val="22"/>
          <w:lang w:val="lt-LT" w:eastAsia="en-IE"/>
        </w:rPr>
        <w:t xml:space="preserve"> virškinimo trakto opa;</w:t>
      </w:r>
    </w:p>
    <w:p w14:paraId="5B52855A"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 xml:space="preserve">žarnų uždegimas, storosios žarnos uždegimo (kolito) ir virškinimo trakto uždegimo (Krono ligos) pasunkėjimas, storosios žarnos </w:t>
      </w:r>
      <w:proofErr w:type="spellStart"/>
      <w:r w:rsidRPr="00900CEC">
        <w:rPr>
          <w:szCs w:val="22"/>
          <w:lang w:val="lt-LT" w:eastAsia="en-IE"/>
        </w:rPr>
        <w:t>divertikulų</w:t>
      </w:r>
      <w:proofErr w:type="spellEnd"/>
      <w:r w:rsidRPr="00900CEC">
        <w:rPr>
          <w:szCs w:val="22"/>
          <w:lang w:val="lt-LT" w:eastAsia="en-IE"/>
        </w:rPr>
        <w:t xml:space="preserve"> komplikacijos (prakiurimas ar fistulė);</w:t>
      </w:r>
    </w:p>
    <w:p w14:paraId="07D2A3A4"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negalėjimas visiškai ištuštinti šlapimo pūslės (šlapimo susilaikymas);</w:t>
      </w:r>
    </w:p>
    <w:p w14:paraId="36DC8B2B"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Pr>
          <w:szCs w:val="22"/>
          <w:lang w:val="lt-LT" w:eastAsia="en-IE"/>
        </w:rPr>
        <w:t>pakitę</w:t>
      </w:r>
      <w:r w:rsidRPr="00900CEC">
        <w:rPr>
          <w:szCs w:val="22"/>
          <w:lang w:val="lt-LT" w:eastAsia="en-IE"/>
        </w:rPr>
        <w:t xml:space="preserve"> laboratorinių (kraujo, kepenų ir inkstų fermentų) tyrimų duomenys.</w:t>
      </w:r>
    </w:p>
    <w:p w14:paraId="45D3BA20" w14:textId="77777777" w:rsidR="00C57CC5" w:rsidRPr="00900CEC" w:rsidRDefault="00C57CC5" w:rsidP="00C57CC5">
      <w:pPr>
        <w:spacing w:line="240" w:lineRule="auto"/>
        <w:rPr>
          <w:szCs w:val="22"/>
          <w:lang w:val="lt-LT"/>
        </w:rPr>
      </w:pPr>
    </w:p>
    <w:p w14:paraId="66983EBB" w14:textId="16060C70" w:rsidR="00C57CC5" w:rsidRPr="00900CEC" w:rsidRDefault="00C57CC5" w:rsidP="00C57CC5">
      <w:pPr>
        <w:pStyle w:val="Antrat2"/>
        <w:spacing w:before="0" w:after="0" w:line="240" w:lineRule="auto"/>
        <w:rPr>
          <w:rFonts w:ascii="Times New Roman" w:hAnsi="Times New Roman"/>
          <w:b w:val="0"/>
          <w:sz w:val="22"/>
          <w:szCs w:val="22"/>
          <w:lang w:val="lt-LT"/>
        </w:rPr>
      </w:pPr>
      <w:r w:rsidRPr="00900CEC">
        <w:rPr>
          <w:rFonts w:ascii="Times New Roman" w:hAnsi="Times New Roman"/>
          <w:b w:val="0"/>
          <w:sz w:val="22"/>
          <w:szCs w:val="22"/>
          <w:lang w:val="lt-LT"/>
        </w:rPr>
        <w:t>Retas (gali pasireikšti rečiau nei 1 iš 1000</w:t>
      </w:r>
      <w:r w:rsidR="00C40CEE">
        <w:rPr>
          <w:rFonts w:ascii="Times New Roman" w:hAnsi="Times New Roman"/>
          <w:b w:val="0"/>
          <w:sz w:val="22"/>
          <w:szCs w:val="22"/>
          <w:lang w:val="lt-LT"/>
        </w:rPr>
        <w:t> asmenų</w:t>
      </w:r>
      <w:r w:rsidRPr="00900CEC">
        <w:rPr>
          <w:rFonts w:ascii="Times New Roman" w:hAnsi="Times New Roman"/>
          <w:b w:val="0"/>
          <w:sz w:val="22"/>
          <w:szCs w:val="22"/>
          <w:lang w:val="lt-LT"/>
        </w:rPr>
        <w:t>):</w:t>
      </w:r>
    </w:p>
    <w:p w14:paraId="79AB755B"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plaštakų ir pėdų dilgčiojimas;</w:t>
      </w:r>
    </w:p>
    <w:p w14:paraId="41C213B4"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nenormalūs sapnai, nesamų daiktų matymas (haliucinacijos);</w:t>
      </w:r>
    </w:p>
    <w:p w14:paraId="4D7AACBE"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inkstų audinio pažeidimas (ypač vartojant ilgai);</w:t>
      </w:r>
    </w:p>
    <w:p w14:paraId="7641D262"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padidėjęs šlapimo rūgšties kiekis kraujyje (</w:t>
      </w:r>
      <w:proofErr w:type="spellStart"/>
      <w:r w:rsidRPr="00900CEC">
        <w:rPr>
          <w:szCs w:val="22"/>
          <w:lang w:val="lt-LT" w:eastAsia="en-IE"/>
        </w:rPr>
        <w:t>hiperurikemija</w:t>
      </w:r>
      <w:proofErr w:type="spellEnd"/>
      <w:r w:rsidRPr="00900CEC">
        <w:rPr>
          <w:szCs w:val="22"/>
          <w:lang w:val="lt-LT" w:eastAsia="en-IE"/>
        </w:rPr>
        <w:t>).</w:t>
      </w:r>
    </w:p>
    <w:p w14:paraId="5630DFE1" w14:textId="77777777" w:rsidR="00C57CC5" w:rsidRPr="00900CEC" w:rsidRDefault="00C57CC5" w:rsidP="00C57CC5">
      <w:pPr>
        <w:spacing w:line="240" w:lineRule="auto"/>
        <w:rPr>
          <w:szCs w:val="22"/>
          <w:lang w:val="lt-LT"/>
        </w:rPr>
      </w:pPr>
    </w:p>
    <w:p w14:paraId="2C099255" w14:textId="0E8F899C" w:rsidR="00C57CC5" w:rsidRPr="00900CEC" w:rsidRDefault="00C57CC5" w:rsidP="00C57CC5">
      <w:pPr>
        <w:pStyle w:val="Antrat2"/>
        <w:spacing w:before="0" w:after="0" w:line="240" w:lineRule="auto"/>
        <w:rPr>
          <w:rFonts w:ascii="Times New Roman" w:hAnsi="Times New Roman"/>
          <w:b w:val="0"/>
          <w:sz w:val="22"/>
          <w:szCs w:val="22"/>
          <w:lang w:val="lt-LT"/>
        </w:rPr>
      </w:pPr>
      <w:r w:rsidRPr="00900CEC">
        <w:rPr>
          <w:rFonts w:ascii="Times New Roman" w:hAnsi="Times New Roman"/>
          <w:b w:val="0"/>
          <w:sz w:val="22"/>
          <w:szCs w:val="22"/>
          <w:lang w:val="lt-LT"/>
        </w:rPr>
        <w:t>Labai retas (gali pasireikšti rečiau nei 1 iš 10000</w:t>
      </w:r>
      <w:r w:rsidR="00C40CEE">
        <w:rPr>
          <w:rFonts w:ascii="Times New Roman" w:hAnsi="Times New Roman"/>
          <w:b w:val="0"/>
          <w:sz w:val="22"/>
          <w:szCs w:val="22"/>
          <w:lang w:val="lt-LT"/>
        </w:rPr>
        <w:t> asmenų</w:t>
      </w:r>
      <w:r w:rsidRPr="00900CEC">
        <w:rPr>
          <w:rFonts w:ascii="Times New Roman" w:hAnsi="Times New Roman"/>
          <w:b w:val="0"/>
          <w:sz w:val="22"/>
          <w:szCs w:val="22"/>
          <w:lang w:val="lt-LT"/>
        </w:rPr>
        <w:t>):</w:t>
      </w:r>
    </w:p>
    <w:p w14:paraId="063F8752"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sumažėjęs kalio kiekis (hipokalemija), dėl kurio pasireiškia silpnumas, nuovargis ir raumenų mėšlungis;</w:t>
      </w:r>
    </w:p>
    <w:p w14:paraId="4E37105B"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mažakraujystės požymiai, pvz., nuovargis, galvos skausmas, dusulys ir blyškumas;</w:t>
      </w:r>
    </w:p>
    <w:p w14:paraId="317B5C69"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neįprastai dažnas kraujavimas ar kraujosruvos, rausvos ar purpurinės dėmės po oda;</w:t>
      </w:r>
    </w:p>
    <w:p w14:paraId="6494EA74"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stiprus ar nuolatinis galvos skausmas;</w:t>
      </w:r>
    </w:p>
    <w:p w14:paraId="3FF35AD4"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aplinkos sukimosi pojūtis (</w:t>
      </w:r>
      <w:proofErr w:type="spellStart"/>
      <w:r w:rsidRPr="00900CEC">
        <w:rPr>
          <w:i/>
          <w:szCs w:val="22"/>
          <w:lang w:val="lt-LT" w:eastAsia="en-IE"/>
        </w:rPr>
        <w:t>vertigo</w:t>
      </w:r>
      <w:proofErr w:type="spellEnd"/>
      <w:r w:rsidRPr="00900CEC">
        <w:rPr>
          <w:szCs w:val="22"/>
          <w:lang w:val="lt-LT" w:eastAsia="en-IE"/>
        </w:rPr>
        <w:t>);</w:t>
      </w:r>
    </w:p>
    <w:p w14:paraId="75F04610"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dažni ar nereguliarūs širdies susitraukimai (jaučiamas širdies plakimas, vadinamas palpitacijomis);</w:t>
      </w:r>
    </w:p>
    <w:p w14:paraId="1DBCC5DB"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 xml:space="preserve">padidėjęs kraujospūdis ir galimi širdies sutrikimai; </w:t>
      </w:r>
    </w:p>
    <w:p w14:paraId="6DFF27B7"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stemplės uždegimas;</w:t>
      </w:r>
    </w:p>
    <w:p w14:paraId="70A38A6B"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pageltusi oda ir (arba) akys (gelta);</w:t>
      </w:r>
    </w:p>
    <w:p w14:paraId="4D021D49"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kepenų pažeidimas (ypač vartojant ilgai);</w:t>
      </w:r>
    </w:p>
    <w:p w14:paraId="652A6171"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plaukų slinkimas;</w:t>
      </w:r>
    </w:p>
    <w:p w14:paraId="25E929C8"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padidėjęs prakaitavimas;</w:t>
      </w:r>
    </w:p>
    <w:p w14:paraId="7CF4AF8D" w14:textId="77777777" w:rsidR="00C57CC5"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sidRPr="00900CEC">
        <w:rPr>
          <w:szCs w:val="22"/>
          <w:lang w:val="lt-LT" w:eastAsia="en-IE"/>
        </w:rPr>
        <w:t>dažnai pasireiškiantys arba nerimą keliantys infekcijų požymiai, pvz., karščiavimas, stiprus šaltkrėtis, ryklės uždegimas ar burnos ertmės opelės</w:t>
      </w:r>
      <w:r>
        <w:rPr>
          <w:szCs w:val="22"/>
          <w:lang w:val="lt-LT" w:eastAsia="en-IE"/>
        </w:rPr>
        <w:t>;</w:t>
      </w:r>
    </w:p>
    <w:p w14:paraId="51FFA284" w14:textId="77777777" w:rsidR="00C57CC5" w:rsidRPr="00900CEC" w:rsidRDefault="00C57CC5" w:rsidP="00C57CC5">
      <w:pPr>
        <w:numPr>
          <w:ilvl w:val="0"/>
          <w:numId w:val="12"/>
        </w:numPr>
        <w:tabs>
          <w:tab w:val="clear" w:pos="567"/>
        </w:tabs>
        <w:autoSpaceDE w:val="0"/>
        <w:autoSpaceDN w:val="0"/>
        <w:adjustRightInd w:val="0"/>
        <w:spacing w:line="240" w:lineRule="auto"/>
        <w:ind w:left="360"/>
        <w:rPr>
          <w:szCs w:val="22"/>
          <w:lang w:val="lt-LT" w:eastAsia="en-IE"/>
        </w:rPr>
      </w:pPr>
      <w:r>
        <w:rPr>
          <w:szCs w:val="22"/>
          <w:lang w:val="lt-LT" w:eastAsia="en-IE"/>
        </w:rPr>
        <w:t xml:space="preserve">įvairių formų inkstų pažeidimas: </w:t>
      </w:r>
      <w:proofErr w:type="spellStart"/>
      <w:r>
        <w:rPr>
          <w:szCs w:val="22"/>
          <w:lang w:val="lt-LT" w:eastAsia="en-IE"/>
        </w:rPr>
        <w:t>intersticinis</w:t>
      </w:r>
      <w:proofErr w:type="spellEnd"/>
      <w:r>
        <w:rPr>
          <w:szCs w:val="22"/>
          <w:lang w:val="lt-LT" w:eastAsia="en-IE"/>
        </w:rPr>
        <w:t xml:space="preserve"> nefritas, </w:t>
      </w:r>
      <w:proofErr w:type="spellStart"/>
      <w:r>
        <w:rPr>
          <w:szCs w:val="22"/>
          <w:lang w:val="lt-LT" w:eastAsia="en-IE"/>
        </w:rPr>
        <w:t>nefrozinis</w:t>
      </w:r>
      <w:proofErr w:type="spellEnd"/>
      <w:r>
        <w:rPr>
          <w:szCs w:val="22"/>
          <w:lang w:val="lt-LT" w:eastAsia="en-IE"/>
        </w:rPr>
        <w:t xml:space="preserve"> sindromas ir ūminis ar lėtinis inkstų funkcijos nepakankamumas.</w:t>
      </w:r>
    </w:p>
    <w:p w14:paraId="570A8A2D" w14:textId="77777777" w:rsidR="00C57CC5" w:rsidRDefault="00C57CC5" w:rsidP="00C57CC5">
      <w:pPr>
        <w:spacing w:line="240" w:lineRule="auto"/>
        <w:rPr>
          <w:b/>
          <w:bCs/>
          <w:szCs w:val="22"/>
          <w:lang w:val="lt-LT"/>
        </w:rPr>
      </w:pPr>
    </w:p>
    <w:p w14:paraId="4A63D396" w14:textId="339ED93A" w:rsidR="00C57CC5" w:rsidRDefault="00C57CC5" w:rsidP="00C57CC5">
      <w:pPr>
        <w:spacing w:line="240" w:lineRule="auto"/>
        <w:rPr>
          <w:szCs w:val="22"/>
          <w:lang w:val="lt-LT"/>
        </w:rPr>
      </w:pPr>
      <w:r w:rsidRPr="003009EE">
        <w:rPr>
          <w:i/>
          <w:iCs/>
          <w:szCs w:val="22"/>
          <w:lang w:val="lt-LT"/>
        </w:rPr>
        <w:t>Dažnis nežinomas (negali būti apskaičiuotas pagal turimus duomenis):</w:t>
      </w:r>
      <w:r w:rsidRPr="003B0A6D">
        <w:rPr>
          <w:b/>
          <w:bCs/>
          <w:szCs w:val="22"/>
          <w:lang w:val="lt-LT"/>
        </w:rPr>
        <w:t xml:space="preserve"> </w:t>
      </w:r>
      <w:r w:rsidRPr="003009EE">
        <w:rPr>
          <w:szCs w:val="22"/>
          <w:lang w:val="lt-LT"/>
        </w:rPr>
        <w:t>sunkus sutrikimas, dėl kurio gali padidėti kraujo rūgštingumas (vadinamas metaboline acidoze) sunkia liga sergantiems pacientams, vartojantiems paracetamolį (žr. 2</w:t>
      </w:r>
      <w:r w:rsidR="00C40CEE">
        <w:rPr>
          <w:szCs w:val="22"/>
          <w:lang w:val="lt-LT"/>
        </w:rPr>
        <w:t> </w:t>
      </w:r>
      <w:r w:rsidRPr="003009EE">
        <w:rPr>
          <w:szCs w:val="22"/>
          <w:lang w:val="lt-LT"/>
        </w:rPr>
        <w:t>skyrių).</w:t>
      </w:r>
    </w:p>
    <w:p w14:paraId="72B90944" w14:textId="77777777" w:rsidR="00C57CC5" w:rsidRPr="00900CEC" w:rsidRDefault="00C57CC5" w:rsidP="00C57CC5">
      <w:pPr>
        <w:spacing w:line="240" w:lineRule="auto"/>
        <w:rPr>
          <w:b/>
          <w:bCs/>
          <w:szCs w:val="22"/>
          <w:lang w:val="lt-LT"/>
        </w:rPr>
      </w:pPr>
    </w:p>
    <w:p w14:paraId="3FA5657F" w14:textId="77777777" w:rsidR="00C57CC5" w:rsidRPr="00900CEC" w:rsidRDefault="00C57CC5" w:rsidP="00C57CC5">
      <w:pPr>
        <w:spacing w:line="240" w:lineRule="auto"/>
        <w:rPr>
          <w:b/>
          <w:szCs w:val="22"/>
          <w:lang w:val="lt-LT"/>
        </w:rPr>
      </w:pPr>
      <w:r w:rsidRPr="00900CEC">
        <w:rPr>
          <w:b/>
          <w:szCs w:val="22"/>
          <w:lang w:val="lt-LT"/>
        </w:rPr>
        <w:t>Pranešimas apie šalutinį poveikį</w:t>
      </w:r>
    </w:p>
    <w:p w14:paraId="47339346" w14:textId="77777777" w:rsidR="00C57CC5" w:rsidRPr="00900CEC" w:rsidRDefault="00C57CC5" w:rsidP="00C57CC5">
      <w:pPr>
        <w:spacing w:line="240" w:lineRule="auto"/>
        <w:ind w:right="-449"/>
        <w:rPr>
          <w:szCs w:val="22"/>
          <w:lang w:val="lt-LT"/>
        </w:rPr>
      </w:pPr>
      <w:r w:rsidRPr="00482544">
        <w:rPr>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482544">
        <w:rPr>
          <w:color w:val="0000EE"/>
          <w:szCs w:val="22"/>
          <w:u w:val="single"/>
          <w:lang w:val="lt-LT" w:eastAsia="lt-LT"/>
        </w:rPr>
        <w:t>https://vvkt.lrv.lt/lt/</w:t>
      </w:r>
      <w:r w:rsidRPr="00482544">
        <w:rPr>
          <w:szCs w:val="22"/>
          <w:lang w:val="lt-LT" w:eastAsia="lt-LT"/>
        </w:rPr>
        <w:t xml:space="preserve"> nurodytais būdais arba paskambinti nemokamu telefonu </w:t>
      </w:r>
      <w:r>
        <w:rPr>
          <w:szCs w:val="22"/>
          <w:lang w:val="lt-LT" w:eastAsia="lt-LT"/>
        </w:rPr>
        <w:t>+370</w:t>
      </w:r>
      <w:r w:rsidRPr="00482544">
        <w:rPr>
          <w:szCs w:val="22"/>
          <w:lang w:val="lt-LT" w:eastAsia="lt-LT"/>
        </w:rPr>
        <w:t xml:space="preserve"> 800 73 568. Pranešdami apie šalutinį poveikį galite mums padėti gauti daugiau informacijos apie šio vaisto saugumą.</w:t>
      </w:r>
    </w:p>
    <w:p w14:paraId="20A5D1FA" w14:textId="77777777" w:rsidR="00C57CC5" w:rsidRPr="00900CEC" w:rsidRDefault="00C57CC5" w:rsidP="00C57CC5">
      <w:pPr>
        <w:spacing w:line="240" w:lineRule="auto"/>
        <w:ind w:right="-449"/>
        <w:rPr>
          <w:szCs w:val="22"/>
          <w:lang w:val="lt-LT"/>
        </w:rPr>
      </w:pPr>
    </w:p>
    <w:p w14:paraId="14752CBB" w14:textId="700043D9" w:rsidR="00C57CC5" w:rsidRPr="00900CEC" w:rsidRDefault="00C57CC5" w:rsidP="00C57CC5">
      <w:pPr>
        <w:spacing w:line="240" w:lineRule="auto"/>
        <w:ind w:left="567" w:hanging="567"/>
        <w:outlineLvl w:val="0"/>
        <w:rPr>
          <w:b/>
          <w:szCs w:val="22"/>
          <w:lang w:val="lt-LT"/>
        </w:rPr>
      </w:pPr>
      <w:r w:rsidRPr="00900CEC">
        <w:rPr>
          <w:b/>
          <w:szCs w:val="22"/>
          <w:lang w:val="lt-LT"/>
        </w:rPr>
        <w:t>5.</w:t>
      </w:r>
      <w:r w:rsidRPr="00900CEC">
        <w:rPr>
          <w:b/>
          <w:szCs w:val="22"/>
          <w:lang w:val="lt-LT"/>
        </w:rPr>
        <w:tab/>
        <w:t xml:space="preserve">Kaip laikyti </w:t>
      </w:r>
      <w:proofErr w:type="spellStart"/>
      <w:r w:rsidR="006A24B2">
        <w:rPr>
          <w:b/>
          <w:snapToGrid/>
          <w:lang w:val="lt-LT"/>
        </w:rPr>
        <w:t>Paracetamol</w:t>
      </w:r>
      <w:proofErr w:type="spellEnd"/>
      <w:r w:rsidR="006A24B2">
        <w:rPr>
          <w:b/>
          <w:snapToGrid/>
          <w:lang w:val="lt-LT"/>
        </w:rPr>
        <w:t>/</w:t>
      </w:r>
      <w:proofErr w:type="spellStart"/>
      <w:r w:rsidR="006A24B2">
        <w:rPr>
          <w:b/>
          <w:snapToGrid/>
          <w:lang w:val="lt-LT"/>
        </w:rPr>
        <w:t>Ibuprofen</w:t>
      </w:r>
      <w:proofErr w:type="spellEnd"/>
      <w:r w:rsidR="006A24B2">
        <w:rPr>
          <w:b/>
          <w:snapToGrid/>
          <w:lang w:val="lt-LT"/>
        </w:rPr>
        <w:t xml:space="preserve"> AFT </w:t>
      </w:r>
      <w:proofErr w:type="spellStart"/>
      <w:r w:rsidR="006A24B2">
        <w:rPr>
          <w:b/>
          <w:snapToGrid/>
          <w:lang w:val="lt-LT"/>
        </w:rPr>
        <w:t>Pharmaceuticals</w:t>
      </w:r>
      <w:proofErr w:type="spellEnd"/>
    </w:p>
    <w:p w14:paraId="6E41AB4B" w14:textId="77777777" w:rsidR="00C57CC5" w:rsidRPr="00900CEC" w:rsidRDefault="00C57CC5" w:rsidP="00C57CC5">
      <w:pPr>
        <w:numPr>
          <w:ilvl w:val="12"/>
          <w:numId w:val="0"/>
        </w:numPr>
        <w:tabs>
          <w:tab w:val="clear" w:pos="567"/>
        </w:tabs>
        <w:spacing w:line="240" w:lineRule="auto"/>
        <w:ind w:right="-2"/>
        <w:rPr>
          <w:szCs w:val="22"/>
          <w:lang w:val="lt-LT"/>
        </w:rPr>
      </w:pPr>
    </w:p>
    <w:p w14:paraId="68554046" w14:textId="77777777" w:rsidR="00C57CC5" w:rsidRPr="00900CEC" w:rsidRDefault="00C57CC5" w:rsidP="00C57CC5">
      <w:pPr>
        <w:numPr>
          <w:ilvl w:val="12"/>
          <w:numId w:val="0"/>
        </w:numPr>
        <w:tabs>
          <w:tab w:val="clear" w:pos="567"/>
        </w:tabs>
        <w:spacing w:line="240" w:lineRule="auto"/>
        <w:ind w:right="-2"/>
        <w:rPr>
          <w:szCs w:val="22"/>
          <w:lang w:val="lt-LT"/>
        </w:rPr>
      </w:pPr>
      <w:r w:rsidRPr="00900CEC">
        <w:rPr>
          <w:szCs w:val="22"/>
          <w:lang w:val="lt-LT"/>
        </w:rPr>
        <w:t xml:space="preserve">Šį vaistą laikykite vaikams </w:t>
      </w:r>
      <w:r>
        <w:rPr>
          <w:szCs w:val="22"/>
          <w:lang w:val="lt-LT"/>
        </w:rPr>
        <w:t xml:space="preserve">ir paaugliams </w:t>
      </w:r>
      <w:r w:rsidRPr="00900CEC">
        <w:rPr>
          <w:szCs w:val="22"/>
          <w:lang w:val="lt-LT"/>
        </w:rPr>
        <w:t>nepastebimoje ir nepasiekiamoje vietoje.</w:t>
      </w:r>
    </w:p>
    <w:p w14:paraId="298FAA27" w14:textId="77777777" w:rsidR="00C57CC5" w:rsidRPr="00900CEC" w:rsidRDefault="00C57CC5" w:rsidP="00C57CC5">
      <w:pPr>
        <w:numPr>
          <w:ilvl w:val="12"/>
          <w:numId w:val="0"/>
        </w:numPr>
        <w:tabs>
          <w:tab w:val="clear" w:pos="567"/>
        </w:tabs>
        <w:spacing w:line="240" w:lineRule="auto"/>
        <w:ind w:right="-2"/>
        <w:rPr>
          <w:szCs w:val="22"/>
          <w:lang w:val="lt-LT"/>
        </w:rPr>
      </w:pPr>
    </w:p>
    <w:p w14:paraId="077F6327" w14:textId="77777777" w:rsidR="00C57CC5" w:rsidRPr="00900CEC" w:rsidRDefault="00C57CC5" w:rsidP="00C57CC5">
      <w:pPr>
        <w:spacing w:line="240" w:lineRule="auto"/>
        <w:rPr>
          <w:szCs w:val="22"/>
          <w:lang w:val="lt-LT"/>
        </w:rPr>
      </w:pPr>
      <w:r w:rsidRPr="00900CEC">
        <w:rPr>
          <w:lang w:val="lt-LT"/>
        </w:rPr>
        <w:t>Laikyti žemesnėje kaip 25 </w:t>
      </w:r>
      <w:r w:rsidRPr="00900CEC">
        <w:rPr>
          <w:szCs w:val="22"/>
          <w:lang w:val="lt-LT"/>
        </w:rPr>
        <w:sym w:font="Symbol" w:char="F0B0"/>
      </w:r>
      <w:r w:rsidRPr="00900CEC">
        <w:rPr>
          <w:lang w:val="lt-LT"/>
        </w:rPr>
        <w:t>C temperatūroje</w:t>
      </w:r>
      <w:r w:rsidRPr="00900CEC">
        <w:rPr>
          <w:szCs w:val="22"/>
          <w:lang w:val="lt-LT"/>
        </w:rPr>
        <w:t>. Negalima šaldyti ar užšaldyti. Laikyti gamintojo dėžutėje, kad vaistas būtų apsaugotas nuo šviesos.</w:t>
      </w:r>
    </w:p>
    <w:p w14:paraId="3D0B7F7F" w14:textId="77777777" w:rsidR="00C57CC5" w:rsidRPr="00900CEC" w:rsidRDefault="00C57CC5" w:rsidP="00C57CC5">
      <w:pPr>
        <w:numPr>
          <w:ilvl w:val="12"/>
          <w:numId w:val="0"/>
        </w:numPr>
        <w:tabs>
          <w:tab w:val="clear" w:pos="567"/>
        </w:tabs>
        <w:spacing w:line="240" w:lineRule="auto"/>
        <w:ind w:right="-2"/>
        <w:rPr>
          <w:szCs w:val="22"/>
          <w:lang w:val="lt-LT"/>
        </w:rPr>
      </w:pPr>
    </w:p>
    <w:p w14:paraId="7D270B0B" w14:textId="77777777" w:rsidR="00C57CC5" w:rsidRPr="00900CEC" w:rsidRDefault="00C57CC5" w:rsidP="00C57CC5">
      <w:pPr>
        <w:numPr>
          <w:ilvl w:val="12"/>
          <w:numId w:val="0"/>
        </w:numPr>
        <w:tabs>
          <w:tab w:val="clear" w:pos="567"/>
        </w:tabs>
        <w:spacing w:line="240" w:lineRule="auto"/>
        <w:ind w:right="-2"/>
        <w:rPr>
          <w:szCs w:val="22"/>
          <w:lang w:val="lt-LT"/>
        </w:rPr>
      </w:pPr>
      <w:r w:rsidRPr="00900CEC">
        <w:rPr>
          <w:szCs w:val="22"/>
          <w:lang w:val="lt-LT"/>
        </w:rPr>
        <w:t>Ant dėžutės ir flakono po „EXP“ nurodytam tinkamumo laikui pasibaigus, šio vaisto vartoti negalima. Vaistas tinkamas vartoti iki paskutinės nurodyto mėnesio dienos.</w:t>
      </w:r>
    </w:p>
    <w:p w14:paraId="5DDF9204" w14:textId="77777777" w:rsidR="00C57CC5" w:rsidRPr="00900CEC" w:rsidRDefault="00C57CC5" w:rsidP="00C57CC5">
      <w:pPr>
        <w:numPr>
          <w:ilvl w:val="12"/>
          <w:numId w:val="0"/>
        </w:numPr>
        <w:tabs>
          <w:tab w:val="clear" w:pos="567"/>
        </w:tabs>
        <w:spacing w:line="240" w:lineRule="auto"/>
        <w:ind w:right="-2"/>
        <w:rPr>
          <w:szCs w:val="22"/>
          <w:lang w:val="lt-LT"/>
        </w:rPr>
      </w:pPr>
    </w:p>
    <w:p w14:paraId="64F18861" w14:textId="77777777" w:rsidR="00C57CC5" w:rsidRPr="00900CEC" w:rsidRDefault="00C57CC5" w:rsidP="00C57CC5">
      <w:pPr>
        <w:numPr>
          <w:ilvl w:val="12"/>
          <w:numId w:val="0"/>
        </w:numPr>
        <w:tabs>
          <w:tab w:val="clear" w:pos="567"/>
        </w:tabs>
        <w:spacing w:line="240" w:lineRule="auto"/>
        <w:ind w:right="-2"/>
        <w:rPr>
          <w:szCs w:val="22"/>
          <w:lang w:val="lt-LT"/>
        </w:rPr>
      </w:pPr>
      <w:r w:rsidRPr="00900CEC">
        <w:rPr>
          <w:szCs w:val="22"/>
          <w:lang w:val="lt-LT"/>
        </w:rPr>
        <w:t xml:space="preserve">Pastebėjus, kad pakuotė pažeista ar apgadinta, šio vaisto vartoti negalima. </w:t>
      </w:r>
      <w:r w:rsidRPr="00900CEC">
        <w:rPr>
          <w:szCs w:val="24"/>
          <w:lang w:val="lt-LT"/>
        </w:rPr>
        <w:t>Pastebėjus matomų dalelių ar spalvos pokyčių, šio vaisto vartoti negalima</w:t>
      </w:r>
    </w:p>
    <w:p w14:paraId="2109E4C8" w14:textId="77777777" w:rsidR="00C57CC5" w:rsidRPr="00900CEC" w:rsidRDefault="00C57CC5" w:rsidP="00C57CC5">
      <w:pPr>
        <w:tabs>
          <w:tab w:val="clear" w:pos="567"/>
        </w:tabs>
        <w:spacing w:line="240" w:lineRule="auto"/>
        <w:ind w:right="-2"/>
        <w:rPr>
          <w:szCs w:val="22"/>
          <w:lang w:val="lt-LT"/>
        </w:rPr>
      </w:pPr>
    </w:p>
    <w:p w14:paraId="139A8395" w14:textId="77777777" w:rsidR="00C57CC5" w:rsidRPr="00900CEC" w:rsidRDefault="00C57CC5" w:rsidP="00C57CC5">
      <w:pPr>
        <w:numPr>
          <w:ilvl w:val="12"/>
          <w:numId w:val="0"/>
        </w:numPr>
        <w:tabs>
          <w:tab w:val="clear" w:pos="567"/>
        </w:tabs>
        <w:spacing w:line="240" w:lineRule="auto"/>
        <w:ind w:right="-2"/>
        <w:rPr>
          <w:szCs w:val="22"/>
          <w:lang w:val="lt-LT"/>
        </w:rPr>
      </w:pPr>
      <w:r w:rsidRPr="00900CEC">
        <w:rPr>
          <w:szCs w:val="22"/>
          <w:lang w:val="lt-LT"/>
        </w:rPr>
        <w:t>Šis vaistas skirtas tik vienkartiniam vartojimui. Vaistą reikia vartoti nedelsiant. Nesuvartotą tirpalą reikia išmesti.</w:t>
      </w:r>
    </w:p>
    <w:p w14:paraId="29B6A413" w14:textId="77777777" w:rsidR="00C57CC5" w:rsidRPr="00900CEC" w:rsidRDefault="00C57CC5" w:rsidP="00C57CC5">
      <w:pPr>
        <w:numPr>
          <w:ilvl w:val="12"/>
          <w:numId w:val="0"/>
        </w:numPr>
        <w:tabs>
          <w:tab w:val="clear" w:pos="567"/>
        </w:tabs>
        <w:spacing w:line="240" w:lineRule="auto"/>
        <w:ind w:right="-2"/>
        <w:rPr>
          <w:szCs w:val="22"/>
          <w:lang w:val="lt-LT"/>
        </w:rPr>
      </w:pPr>
    </w:p>
    <w:p w14:paraId="5EC1488A" w14:textId="77777777" w:rsidR="00C57CC5" w:rsidRPr="00900CEC" w:rsidRDefault="00C57CC5" w:rsidP="00C57CC5">
      <w:pPr>
        <w:numPr>
          <w:ilvl w:val="12"/>
          <w:numId w:val="0"/>
        </w:numPr>
        <w:tabs>
          <w:tab w:val="clear" w:pos="567"/>
        </w:tabs>
        <w:spacing w:line="240" w:lineRule="auto"/>
        <w:ind w:right="-2"/>
        <w:rPr>
          <w:i/>
          <w:szCs w:val="22"/>
          <w:lang w:val="lt-LT"/>
        </w:rPr>
      </w:pPr>
      <w:r w:rsidRPr="00900CEC">
        <w:rPr>
          <w:szCs w:val="22"/>
          <w:lang w:val="lt-LT"/>
        </w:rPr>
        <w:t xml:space="preserve">Išmesti pagal vietinius reikalavimus. </w:t>
      </w:r>
    </w:p>
    <w:p w14:paraId="3808B598" w14:textId="77777777" w:rsidR="00C57CC5" w:rsidRPr="00900CEC" w:rsidRDefault="00C57CC5" w:rsidP="00C57CC5">
      <w:pPr>
        <w:spacing w:line="240" w:lineRule="auto"/>
        <w:rPr>
          <w:bCs/>
          <w:szCs w:val="22"/>
          <w:lang w:val="lt-LT"/>
        </w:rPr>
      </w:pPr>
    </w:p>
    <w:p w14:paraId="412B4B6E" w14:textId="77777777" w:rsidR="00C57CC5" w:rsidRPr="00900CEC" w:rsidRDefault="00C57CC5" w:rsidP="00C57CC5">
      <w:pPr>
        <w:numPr>
          <w:ilvl w:val="12"/>
          <w:numId w:val="0"/>
        </w:numPr>
        <w:tabs>
          <w:tab w:val="clear" w:pos="567"/>
        </w:tabs>
        <w:spacing w:line="240" w:lineRule="auto"/>
        <w:ind w:right="-2"/>
        <w:rPr>
          <w:szCs w:val="22"/>
          <w:lang w:val="lt-LT"/>
        </w:rPr>
      </w:pPr>
    </w:p>
    <w:p w14:paraId="34F9922E" w14:textId="77777777" w:rsidR="00C57CC5" w:rsidRPr="00900CEC" w:rsidRDefault="00C57CC5" w:rsidP="00C57CC5">
      <w:pPr>
        <w:spacing w:line="240" w:lineRule="auto"/>
        <w:ind w:left="567" w:hanging="567"/>
        <w:outlineLvl w:val="0"/>
        <w:rPr>
          <w:b/>
          <w:szCs w:val="22"/>
          <w:lang w:val="lt-LT"/>
        </w:rPr>
      </w:pPr>
      <w:r w:rsidRPr="00900CEC">
        <w:rPr>
          <w:b/>
          <w:szCs w:val="22"/>
          <w:lang w:val="lt-LT"/>
        </w:rPr>
        <w:t>6.</w:t>
      </w:r>
      <w:r w:rsidRPr="00900CEC">
        <w:rPr>
          <w:b/>
          <w:szCs w:val="22"/>
          <w:lang w:val="lt-LT"/>
        </w:rPr>
        <w:tab/>
        <w:t>Pakuotės turinys ir kita informacija</w:t>
      </w:r>
    </w:p>
    <w:p w14:paraId="6569B2AB" w14:textId="77777777" w:rsidR="00C57CC5" w:rsidRPr="00900CEC" w:rsidRDefault="00C57CC5" w:rsidP="00C57CC5">
      <w:pPr>
        <w:numPr>
          <w:ilvl w:val="12"/>
          <w:numId w:val="0"/>
        </w:numPr>
        <w:tabs>
          <w:tab w:val="clear" w:pos="567"/>
        </w:tabs>
        <w:spacing w:line="240" w:lineRule="auto"/>
        <w:rPr>
          <w:szCs w:val="22"/>
          <w:lang w:val="lt-LT"/>
        </w:rPr>
      </w:pPr>
    </w:p>
    <w:p w14:paraId="22F840A9" w14:textId="5537BFBF" w:rsidR="00C57CC5" w:rsidRPr="00900CEC" w:rsidRDefault="006A24B2" w:rsidP="00C57CC5">
      <w:pPr>
        <w:pStyle w:val="Antrat2"/>
        <w:spacing w:before="0" w:after="0" w:line="240" w:lineRule="auto"/>
        <w:rPr>
          <w:rFonts w:ascii="Times New Roman" w:hAnsi="Times New Roman"/>
          <w:i w:val="0"/>
          <w:sz w:val="22"/>
          <w:szCs w:val="22"/>
          <w:lang w:val="lt-LT"/>
        </w:rPr>
      </w:pPr>
      <w:proofErr w:type="spellStart"/>
      <w:r>
        <w:rPr>
          <w:rFonts w:ascii="Times New Roman" w:hAnsi="Times New Roman"/>
          <w:i w:val="0"/>
          <w:sz w:val="22"/>
          <w:szCs w:val="22"/>
          <w:lang w:val="lt-LT"/>
        </w:rPr>
        <w:t>Paracetamol</w:t>
      </w:r>
      <w:proofErr w:type="spellEnd"/>
      <w:r>
        <w:rPr>
          <w:rFonts w:ascii="Times New Roman" w:hAnsi="Times New Roman"/>
          <w:i w:val="0"/>
          <w:sz w:val="22"/>
          <w:szCs w:val="22"/>
          <w:lang w:val="lt-LT"/>
        </w:rPr>
        <w:t>/</w:t>
      </w:r>
      <w:proofErr w:type="spellStart"/>
      <w:r>
        <w:rPr>
          <w:rFonts w:ascii="Times New Roman" w:hAnsi="Times New Roman"/>
          <w:i w:val="0"/>
          <w:sz w:val="22"/>
          <w:szCs w:val="22"/>
          <w:lang w:val="lt-LT"/>
        </w:rPr>
        <w:t>Ibuprofen</w:t>
      </w:r>
      <w:proofErr w:type="spellEnd"/>
      <w:r>
        <w:rPr>
          <w:rFonts w:ascii="Times New Roman" w:hAnsi="Times New Roman"/>
          <w:i w:val="0"/>
          <w:sz w:val="22"/>
          <w:szCs w:val="22"/>
          <w:lang w:val="lt-LT"/>
        </w:rPr>
        <w:t xml:space="preserve"> AFT </w:t>
      </w:r>
      <w:proofErr w:type="spellStart"/>
      <w:r>
        <w:rPr>
          <w:rFonts w:ascii="Times New Roman" w:hAnsi="Times New Roman"/>
          <w:i w:val="0"/>
          <w:sz w:val="22"/>
          <w:szCs w:val="22"/>
          <w:lang w:val="lt-LT"/>
        </w:rPr>
        <w:t>Pharmaceuticals</w:t>
      </w:r>
      <w:proofErr w:type="spellEnd"/>
      <w:r w:rsidR="00C57CC5" w:rsidRPr="00900CEC">
        <w:rPr>
          <w:rFonts w:ascii="Times New Roman" w:hAnsi="Times New Roman"/>
          <w:i w:val="0"/>
          <w:sz w:val="22"/>
          <w:szCs w:val="22"/>
          <w:lang w:val="lt-LT"/>
        </w:rPr>
        <w:t xml:space="preserve"> sudėtis </w:t>
      </w:r>
    </w:p>
    <w:p w14:paraId="28D55482" w14:textId="77777777" w:rsidR="00C57CC5" w:rsidRPr="00900CEC" w:rsidRDefault="00C57CC5" w:rsidP="00C57CC5">
      <w:pPr>
        <w:tabs>
          <w:tab w:val="clear" w:pos="567"/>
        </w:tabs>
        <w:spacing w:line="240" w:lineRule="auto"/>
        <w:ind w:right="-2"/>
        <w:rPr>
          <w:szCs w:val="22"/>
          <w:lang w:val="lt-LT"/>
        </w:rPr>
      </w:pPr>
      <w:r w:rsidRPr="00900CEC">
        <w:rPr>
          <w:szCs w:val="22"/>
          <w:lang w:val="lt-LT"/>
        </w:rPr>
        <w:t>Veikliosios medžiagos</w:t>
      </w:r>
      <w:r>
        <w:rPr>
          <w:szCs w:val="22"/>
          <w:lang w:val="lt-LT"/>
        </w:rPr>
        <w:t xml:space="preserve">. Kiekviename tirpalo ml yra </w:t>
      </w:r>
      <w:r w:rsidRPr="00900CEC">
        <w:rPr>
          <w:szCs w:val="22"/>
          <w:lang w:val="lt-LT"/>
        </w:rPr>
        <w:t>10 mg paracetamolio ir 3 mg ibuprofeno.</w:t>
      </w:r>
    </w:p>
    <w:p w14:paraId="1B17D326" w14:textId="77777777" w:rsidR="00C57CC5" w:rsidRPr="00900CEC" w:rsidRDefault="00C57CC5" w:rsidP="00C57CC5">
      <w:pPr>
        <w:tabs>
          <w:tab w:val="clear" w:pos="567"/>
        </w:tabs>
        <w:spacing w:line="240" w:lineRule="auto"/>
        <w:rPr>
          <w:szCs w:val="22"/>
          <w:lang w:val="lt-LT"/>
        </w:rPr>
      </w:pPr>
      <w:r w:rsidRPr="00900CEC">
        <w:rPr>
          <w:szCs w:val="22"/>
          <w:lang w:val="lt-LT"/>
        </w:rPr>
        <w:t xml:space="preserve">Pagalbinės medžiagos yra </w:t>
      </w:r>
      <w:proofErr w:type="spellStart"/>
      <w:r w:rsidRPr="00900CEC">
        <w:rPr>
          <w:szCs w:val="22"/>
          <w:lang w:val="lt-LT"/>
        </w:rPr>
        <w:t>cisteino</w:t>
      </w:r>
      <w:proofErr w:type="spellEnd"/>
      <w:r w:rsidRPr="00900CEC">
        <w:rPr>
          <w:szCs w:val="22"/>
          <w:lang w:val="lt-LT"/>
        </w:rPr>
        <w:t xml:space="preserve"> hidrochloridas </w:t>
      </w:r>
      <w:proofErr w:type="spellStart"/>
      <w:r w:rsidRPr="00900CEC">
        <w:rPr>
          <w:szCs w:val="22"/>
          <w:lang w:val="lt-LT"/>
        </w:rPr>
        <w:t>monohidratas</w:t>
      </w:r>
      <w:proofErr w:type="spellEnd"/>
      <w:r w:rsidRPr="00900CEC">
        <w:rPr>
          <w:szCs w:val="22"/>
          <w:lang w:val="lt-LT"/>
        </w:rPr>
        <w:t xml:space="preserve">, </w:t>
      </w:r>
      <w:proofErr w:type="spellStart"/>
      <w:r w:rsidRPr="00900CEC">
        <w:rPr>
          <w:szCs w:val="22"/>
          <w:lang w:val="lt-LT"/>
        </w:rPr>
        <w:t>dinatrio</w:t>
      </w:r>
      <w:proofErr w:type="spellEnd"/>
      <w:r w:rsidRPr="00900CEC">
        <w:rPr>
          <w:szCs w:val="22"/>
          <w:lang w:val="lt-LT"/>
        </w:rPr>
        <w:t xml:space="preserve"> fosfatas </w:t>
      </w:r>
      <w:proofErr w:type="spellStart"/>
      <w:r w:rsidRPr="00900CEC">
        <w:rPr>
          <w:szCs w:val="22"/>
          <w:lang w:val="lt-LT"/>
        </w:rPr>
        <w:t>dihidratas</w:t>
      </w:r>
      <w:proofErr w:type="spellEnd"/>
      <w:r w:rsidRPr="00900CEC">
        <w:rPr>
          <w:szCs w:val="22"/>
          <w:lang w:val="lt-LT"/>
        </w:rPr>
        <w:t xml:space="preserve">, </w:t>
      </w:r>
      <w:proofErr w:type="spellStart"/>
      <w:r w:rsidRPr="00900CEC">
        <w:rPr>
          <w:szCs w:val="22"/>
          <w:lang w:val="lt-LT"/>
        </w:rPr>
        <w:t>manitolis</w:t>
      </w:r>
      <w:proofErr w:type="spellEnd"/>
      <w:r w:rsidRPr="00900CEC">
        <w:rPr>
          <w:szCs w:val="22"/>
          <w:lang w:val="lt-LT"/>
        </w:rPr>
        <w:t>, vandenilio chlorido rūgštis (pH sureguliuoti), natrio hidroksidas (pH sureguliuoti) ir injekcinis vanduo.</w:t>
      </w:r>
    </w:p>
    <w:p w14:paraId="7C0C1D10" w14:textId="77777777" w:rsidR="00C57CC5" w:rsidRPr="00900CEC" w:rsidRDefault="00C57CC5" w:rsidP="00C57CC5">
      <w:pPr>
        <w:tabs>
          <w:tab w:val="clear" w:pos="567"/>
        </w:tabs>
        <w:spacing w:line="240" w:lineRule="auto"/>
        <w:ind w:right="-2"/>
        <w:rPr>
          <w:szCs w:val="22"/>
          <w:lang w:val="lt-LT"/>
        </w:rPr>
      </w:pPr>
    </w:p>
    <w:p w14:paraId="77C3DADB" w14:textId="56C3F7CC" w:rsidR="00C57CC5" w:rsidRPr="00900CEC" w:rsidRDefault="006A24B2" w:rsidP="00C57CC5">
      <w:pPr>
        <w:pStyle w:val="Antrat2"/>
        <w:spacing w:before="0" w:after="0" w:line="240" w:lineRule="auto"/>
        <w:rPr>
          <w:rFonts w:ascii="Times New Roman" w:hAnsi="Times New Roman"/>
          <w:i w:val="0"/>
          <w:sz w:val="22"/>
          <w:szCs w:val="22"/>
          <w:lang w:val="lt-LT"/>
        </w:rPr>
      </w:pPr>
      <w:proofErr w:type="spellStart"/>
      <w:r>
        <w:rPr>
          <w:rFonts w:ascii="Times New Roman" w:hAnsi="Times New Roman"/>
          <w:i w:val="0"/>
          <w:sz w:val="22"/>
          <w:szCs w:val="22"/>
          <w:lang w:val="lt-LT"/>
        </w:rPr>
        <w:t>Paracetamol</w:t>
      </w:r>
      <w:proofErr w:type="spellEnd"/>
      <w:r>
        <w:rPr>
          <w:rFonts w:ascii="Times New Roman" w:hAnsi="Times New Roman"/>
          <w:i w:val="0"/>
          <w:sz w:val="22"/>
          <w:szCs w:val="22"/>
          <w:lang w:val="lt-LT"/>
        </w:rPr>
        <w:t>/</w:t>
      </w:r>
      <w:proofErr w:type="spellStart"/>
      <w:r>
        <w:rPr>
          <w:rFonts w:ascii="Times New Roman" w:hAnsi="Times New Roman"/>
          <w:i w:val="0"/>
          <w:sz w:val="22"/>
          <w:szCs w:val="22"/>
          <w:lang w:val="lt-LT"/>
        </w:rPr>
        <w:t>Ibuprofen</w:t>
      </w:r>
      <w:proofErr w:type="spellEnd"/>
      <w:r>
        <w:rPr>
          <w:rFonts w:ascii="Times New Roman" w:hAnsi="Times New Roman"/>
          <w:i w:val="0"/>
          <w:sz w:val="22"/>
          <w:szCs w:val="22"/>
          <w:lang w:val="lt-LT"/>
        </w:rPr>
        <w:t xml:space="preserve"> AFT </w:t>
      </w:r>
      <w:proofErr w:type="spellStart"/>
      <w:r>
        <w:rPr>
          <w:rFonts w:ascii="Times New Roman" w:hAnsi="Times New Roman"/>
          <w:i w:val="0"/>
          <w:sz w:val="22"/>
          <w:szCs w:val="22"/>
          <w:lang w:val="lt-LT"/>
        </w:rPr>
        <w:t>Pharmaceuticals</w:t>
      </w:r>
      <w:proofErr w:type="spellEnd"/>
      <w:r w:rsidR="00C57CC5" w:rsidRPr="00900CEC">
        <w:rPr>
          <w:rFonts w:ascii="Times New Roman" w:hAnsi="Times New Roman"/>
          <w:i w:val="0"/>
          <w:sz w:val="22"/>
          <w:szCs w:val="22"/>
          <w:lang w:val="lt-LT"/>
        </w:rPr>
        <w:t xml:space="preserve"> išvaizda ir kiekis pakuotėje</w:t>
      </w:r>
    </w:p>
    <w:p w14:paraId="2FB00111" w14:textId="058F235B" w:rsidR="00C57CC5" w:rsidRPr="00900CEC" w:rsidRDefault="006A24B2" w:rsidP="00C57CC5">
      <w:pPr>
        <w:spacing w:line="240" w:lineRule="auto"/>
        <w:rPr>
          <w:szCs w:val="22"/>
          <w:lang w:val="lt-LT"/>
        </w:rPr>
      </w:pPr>
      <w:proofErr w:type="spellStart"/>
      <w:r>
        <w:rPr>
          <w:szCs w:val="22"/>
          <w:lang w:val="lt-LT"/>
        </w:rPr>
        <w:t>Paracetamol</w:t>
      </w:r>
      <w:proofErr w:type="spellEnd"/>
      <w:r>
        <w:rPr>
          <w:szCs w:val="22"/>
          <w:lang w:val="lt-LT"/>
        </w:rPr>
        <w:t>/</w:t>
      </w:r>
      <w:proofErr w:type="spellStart"/>
      <w:r>
        <w:rPr>
          <w:szCs w:val="22"/>
          <w:lang w:val="lt-LT"/>
        </w:rPr>
        <w:t>Ibuprofen</w:t>
      </w:r>
      <w:proofErr w:type="spellEnd"/>
      <w:r>
        <w:rPr>
          <w:szCs w:val="22"/>
          <w:lang w:val="lt-LT"/>
        </w:rPr>
        <w:t xml:space="preserve"> AFT </w:t>
      </w:r>
      <w:proofErr w:type="spellStart"/>
      <w:r>
        <w:rPr>
          <w:szCs w:val="22"/>
          <w:lang w:val="lt-LT"/>
        </w:rPr>
        <w:t>Pharmaceuticals</w:t>
      </w:r>
      <w:proofErr w:type="spellEnd"/>
      <w:r w:rsidR="00C57CC5" w:rsidRPr="00900CEC">
        <w:rPr>
          <w:szCs w:val="22"/>
          <w:lang w:val="lt-LT"/>
        </w:rPr>
        <w:t xml:space="preserve"> yra skaidrus bespalvis infuzinis tirpalas be matomų dalelių. Jis yra tiekiamas 100 ml</w:t>
      </w:r>
      <w:r w:rsidR="006320D5">
        <w:rPr>
          <w:szCs w:val="22"/>
          <w:lang w:val="lt-LT"/>
        </w:rPr>
        <w:t> </w:t>
      </w:r>
      <w:r w:rsidR="00C57CC5" w:rsidRPr="00900CEC">
        <w:rPr>
          <w:szCs w:val="22"/>
          <w:lang w:val="lt-LT"/>
        </w:rPr>
        <w:t xml:space="preserve">skaidraus stiklo flakonuose, uždarytuose pilkos spalvos </w:t>
      </w:r>
      <w:proofErr w:type="spellStart"/>
      <w:r w:rsidR="00C57CC5" w:rsidRPr="00900CEC">
        <w:rPr>
          <w:szCs w:val="22"/>
          <w:lang w:val="lt-LT"/>
        </w:rPr>
        <w:t>bromobutilo</w:t>
      </w:r>
      <w:proofErr w:type="spellEnd"/>
      <w:r w:rsidR="00C57CC5" w:rsidRPr="00900CEC">
        <w:rPr>
          <w:szCs w:val="22"/>
          <w:lang w:val="lt-LT"/>
        </w:rPr>
        <w:t xml:space="preserve"> gumos kamščiu ir nuplėšiamu aliuminio dangteliu. Tiekiamos pakuotės po 10</w:t>
      </w:r>
      <w:r w:rsidR="006320D5">
        <w:rPr>
          <w:szCs w:val="22"/>
          <w:lang w:val="lt-LT"/>
        </w:rPr>
        <w:t> </w:t>
      </w:r>
      <w:r w:rsidR="00C57CC5" w:rsidRPr="00900CEC">
        <w:rPr>
          <w:szCs w:val="22"/>
          <w:lang w:val="lt-LT"/>
        </w:rPr>
        <w:t>flakonų.</w:t>
      </w:r>
    </w:p>
    <w:p w14:paraId="0E25A63F" w14:textId="77777777" w:rsidR="00C57CC5" w:rsidRPr="00900CEC" w:rsidRDefault="00C57CC5" w:rsidP="00C57CC5">
      <w:pPr>
        <w:tabs>
          <w:tab w:val="clear" w:pos="567"/>
        </w:tabs>
        <w:spacing w:line="240" w:lineRule="auto"/>
        <w:ind w:right="-2"/>
        <w:rPr>
          <w:szCs w:val="22"/>
          <w:lang w:val="lt-LT"/>
        </w:rPr>
      </w:pPr>
    </w:p>
    <w:p w14:paraId="556773C9" w14:textId="77777777" w:rsidR="00C57CC5" w:rsidRPr="00900CEC" w:rsidRDefault="00C57CC5" w:rsidP="00C57CC5">
      <w:pPr>
        <w:pStyle w:val="Antrat2"/>
        <w:spacing w:before="0" w:after="0" w:line="240" w:lineRule="auto"/>
        <w:rPr>
          <w:rFonts w:ascii="Times New Roman" w:hAnsi="Times New Roman"/>
          <w:i w:val="0"/>
          <w:sz w:val="22"/>
          <w:szCs w:val="22"/>
          <w:lang w:val="lt-LT"/>
        </w:rPr>
      </w:pPr>
      <w:r w:rsidRPr="00900CEC">
        <w:rPr>
          <w:rFonts w:ascii="Times New Roman" w:hAnsi="Times New Roman"/>
          <w:i w:val="0"/>
          <w:sz w:val="22"/>
          <w:szCs w:val="22"/>
          <w:lang w:val="lt-LT"/>
        </w:rPr>
        <w:t>Registruotojas ir gamintojas</w:t>
      </w:r>
    </w:p>
    <w:p w14:paraId="5ECCD9C4" w14:textId="7CD1C8FF" w:rsidR="00D3074E" w:rsidRPr="00900CEC" w:rsidRDefault="00D3074E" w:rsidP="00C57CC5">
      <w:pPr>
        <w:pStyle w:val="Antrat2"/>
        <w:spacing w:before="0" w:after="0" w:line="240" w:lineRule="auto"/>
        <w:jc w:val="center"/>
        <w:rPr>
          <w:lang w:val="lt-LT"/>
        </w:rPr>
      </w:pPr>
    </w:p>
    <w:p w14:paraId="73CB18E7" w14:textId="77777777" w:rsidR="00D3074E" w:rsidRPr="00900CEC" w:rsidRDefault="00D3074E" w:rsidP="00E104BF">
      <w:pPr>
        <w:jc w:val="both"/>
        <w:rPr>
          <w:b/>
          <w:bCs/>
          <w:iCs/>
          <w:lang w:val="lt-LT"/>
        </w:rPr>
      </w:pPr>
      <w:r w:rsidRPr="00900CEC">
        <w:rPr>
          <w:b/>
          <w:bCs/>
          <w:iCs/>
          <w:lang w:val="lt-LT"/>
        </w:rPr>
        <w:t>Registruotojas</w:t>
      </w:r>
    </w:p>
    <w:p w14:paraId="7CE0025B" w14:textId="77777777" w:rsidR="00267653" w:rsidRPr="00267653" w:rsidRDefault="00267653" w:rsidP="00267653">
      <w:pPr>
        <w:rPr>
          <w:szCs w:val="22"/>
          <w:lang w:val="lt-LT"/>
        </w:rPr>
      </w:pPr>
      <w:r w:rsidRPr="00267653">
        <w:rPr>
          <w:szCs w:val="22"/>
          <w:lang w:val="lt-LT"/>
        </w:rPr>
        <w:t xml:space="preserve">AFT </w:t>
      </w:r>
      <w:proofErr w:type="spellStart"/>
      <w:r w:rsidRPr="00267653">
        <w:rPr>
          <w:szCs w:val="22"/>
          <w:lang w:val="lt-LT"/>
        </w:rPr>
        <w:t>Pharmaceuticals</w:t>
      </w:r>
      <w:proofErr w:type="spellEnd"/>
      <w:r w:rsidRPr="00267653">
        <w:rPr>
          <w:szCs w:val="22"/>
          <w:lang w:val="lt-LT"/>
        </w:rPr>
        <w:t xml:space="preserve"> (EUR) </w:t>
      </w:r>
      <w:proofErr w:type="spellStart"/>
      <w:r w:rsidRPr="00267653">
        <w:rPr>
          <w:szCs w:val="22"/>
          <w:lang w:val="lt-LT"/>
        </w:rPr>
        <w:t>Limited</w:t>
      </w:r>
      <w:proofErr w:type="spellEnd"/>
      <w:r w:rsidRPr="00267653">
        <w:rPr>
          <w:szCs w:val="22"/>
          <w:lang w:val="lt-LT"/>
        </w:rPr>
        <w:t>,</w:t>
      </w:r>
    </w:p>
    <w:p w14:paraId="38C7691A" w14:textId="77777777" w:rsidR="00267653" w:rsidRPr="00267653" w:rsidRDefault="00267653" w:rsidP="00267653">
      <w:pPr>
        <w:rPr>
          <w:szCs w:val="22"/>
          <w:lang w:val="lt-LT"/>
        </w:rPr>
      </w:pPr>
      <w:proofErr w:type="spellStart"/>
      <w:r w:rsidRPr="00267653">
        <w:rPr>
          <w:szCs w:val="22"/>
          <w:lang w:val="lt-LT"/>
        </w:rPr>
        <w:t>Sinnottstown</w:t>
      </w:r>
      <w:proofErr w:type="spellEnd"/>
      <w:r w:rsidRPr="00267653">
        <w:rPr>
          <w:szCs w:val="22"/>
          <w:lang w:val="lt-LT"/>
        </w:rPr>
        <w:t xml:space="preserve"> </w:t>
      </w:r>
      <w:proofErr w:type="spellStart"/>
      <w:r w:rsidRPr="00267653">
        <w:rPr>
          <w:szCs w:val="22"/>
          <w:lang w:val="lt-LT"/>
        </w:rPr>
        <w:t>Business</w:t>
      </w:r>
      <w:proofErr w:type="spellEnd"/>
      <w:r w:rsidRPr="00267653">
        <w:rPr>
          <w:szCs w:val="22"/>
          <w:lang w:val="lt-LT"/>
        </w:rPr>
        <w:t xml:space="preserve"> </w:t>
      </w:r>
      <w:proofErr w:type="spellStart"/>
      <w:r w:rsidRPr="00267653">
        <w:rPr>
          <w:szCs w:val="22"/>
          <w:lang w:val="lt-LT"/>
        </w:rPr>
        <w:t>Park</w:t>
      </w:r>
      <w:proofErr w:type="spellEnd"/>
      <w:r w:rsidRPr="00267653">
        <w:rPr>
          <w:szCs w:val="22"/>
          <w:lang w:val="lt-LT"/>
        </w:rPr>
        <w:t>,</w:t>
      </w:r>
    </w:p>
    <w:p w14:paraId="5517D0A7" w14:textId="77777777" w:rsidR="00267653" w:rsidRPr="00267653" w:rsidRDefault="00267653" w:rsidP="00267653">
      <w:pPr>
        <w:rPr>
          <w:szCs w:val="22"/>
          <w:lang w:val="lt-LT"/>
        </w:rPr>
      </w:pPr>
      <w:proofErr w:type="spellStart"/>
      <w:r w:rsidRPr="00267653">
        <w:rPr>
          <w:szCs w:val="22"/>
          <w:lang w:val="lt-LT"/>
        </w:rPr>
        <w:t>Sinnottstown</w:t>
      </w:r>
      <w:proofErr w:type="spellEnd"/>
      <w:r w:rsidRPr="00267653">
        <w:rPr>
          <w:szCs w:val="22"/>
          <w:lang w:val="lt-LT"/>
        </w:rPr>
        <w:t xml:space="preserve"> Lane, </w:t>
      </w:r>
    </w:p>
    <w:p w14:paraId="0DAC7814" w14:textId="2FBC7C01" w:rsidR="00267653" w:rsidRPr="00267653" w:rsidRDefault="00267653" w:rsidP="00267653">
      <w:pPr>
        <w:rPr>
          <w:szCs w:val="22"/>
          <w:lang w:val="lt-LT"/>
        </w:rPr>
      </w:pPr>
      <w:proofErr w:type="spellStart"/>
      <w:r w:rsidRPr="00267653">
        <w:rPr>
          <w:szCs w:val="22"/>
          <w:lang w:val="lt-LT"/>
        </w:rPr>
        <w:t>Drinagh</w:t>
      </w:r>
      <w:proofErr w:type="spellEnd"/>
      <w:r w:rsidRPr="00267653">
        <w:rPr>
          <w:szCs w:val="22"/>
          <w:lang w:val="lt-LT"/>
        </w:rPr>
        <w:t>,</w:t>
      </w:r>
      <w:r>
        <w:rPr>
          <w:szCs w:val="22"/>
          <w:lang w:val="lt-LT"/>
        </w:rPr>
        <w:t xml:space="preserve"> </w:t>
      </w:r>
      <w:proofErr w:type="spellStart"/>
      <w:r w:rsidRPr="00267653">
        <w:rPr>
          <w:szCs w:val="22"/>
          <w:lang w:val="lt-LT"/>
        </w:rPr>
        <w:t>Wexford</w:t>
      </w:r>
      <w:proofErr w:type="spellEnd"/>
      <w:r w:rsidRPr="00267653">
        <w:rPr>
          <w:szCs w:val="22"/>
          <w:lang w:val="lt-LT"/>
        </w:rPr>
        <w:t>,</w:t>
      </w:r>
    </w:p>
    <w:p w14:paraId="54A533FD" w14:textId="77430B6B" w:rsidR="00E160A8" w:rsidRPr="00900CEC" w:rsidRDefault="00267653" w:rsidP="00F12D19">
      <w:pPr>
        <w:tabs>
          <w:tab w:val="clear" w:pos="567"/>
        </w:tabs>
        <w:spacing w:line="240" w:lineRule="auto"/>
        <w:jc w:val="both"/>
        <w:rPr>
          <w:b/>
          <w:i/>
          <w:lang w:val="lt-LT"/>
        </w:rPr>
      </w:pPr>
      <w:r w:rsidRPr="00267653">
        <w:rPr>
          <w:szCs w:val="22"/>
          <w:lang w:val="lt-LT"/>
        </w:rPr>
        <w:t>Y35 AKX5,</w:t>
      </w:r>
      <w:r>
        <w:rPr>
          <w:lang w:val="lt-LT"/>
        </w:rPr>
        <w:t xml:space="preserve"> </w:t>
      </w:r>
      <w:r w:rsidR="00E160A8" w:rsidRPr="00900CEC">
        <w:rPr>
          <w:lang w:val="lt-LT"/>
        </w:rPr>
        <w:t>Airija</w:t>
      </w:r>
    </w:p>
    <w:p w14:paraId="0A5A3ED4" w14:textId="77777777" w:rsidR="00E104BF" w:rsidRPr="00900CEC" w:rsidRDefault="00E104BF" w:rsidP="00E104BF">
      <w:pPr>
        <w:pStyle w:val="Antrat2"/>
        <w:spacing w:before="0" w:after="0" w:line="240" w:lineRule="auto"/>
        <w:rPr>
          <w:rFonts w:ascii="Times New Roman" w:hAnsi="Times New Roman"/>
          <w:i w:val="0"/>
          <w:sz w:val="22"/>
          <w:szCs w:val="22"/>
          <w:lang w:val="lt-LT"/>
        </w:rPr>
      </w:pPr>
    </w:p>
    <w:p w14:paraId="43290516" w14:textId="2FCA54B3" w:rsidR="00E104BF" w:rsidRPr="00900CEC" w:rsidRDefault="00E104BF" w:rsidP="00E104BF">
      <w:pPr>
        <w:pStyle w:val="Antrat2"/>
        <w:spacing w:before="0" w:after="0" w:line="240" w:lineRule="auto"/>
        <w:rPr>
          <w:rFonts w:ascii="Times New Roman" w:hAnsi="Times New Roman"/>
          <w:bCs w:val="0"/>
          <w:i w:val="0"/>
          <w:iCs w:val="0"/>
          <w:sz w:val="22"/>
          <w:szCs w:val="22"/>
          <w:lang w:val="lt-LT"/>
        </w:rPr>
      </w:pPr>
      <w:r w:rsidRPr="00900CEC">
        <w:rPr>
          <w:rFonts w:ascii="Times New Roman" w:hAnsi="Times New Roman"/>
          <w:bCs w:val="0"/>
          <w:i w:val="0"/>
          <w:iCs w:val="0"/>
          <w:sz w:val="22"/>
          <w:szCs w:val="22"/>
          <w:lang w:val="lt-LT"/>
        </w:rPr>
        <w:t>Gamintojas</w:t>
      </w:r>
    </w:p>
    <w:p w14:paraId="3AAEC8D0" w14:textId="10C07B41" w:rsidR="00E978E6" w:rsidRDefault="00E160A8" w:rsidP="00E160A8">
      <w:pPr>
        <w:rPr>
          <w:lang w:val="lt-LT"/>
        </w:rPr>
      </w:pPr>
      <w:r w:rsidRPr="00900CEC">
        <w:rPr>
          <w:lang w:val="lt-LT"/>
        </w:rPr>
        <w:t xml:space="preserve">S.M. </w:t>
      </w:r>
      <w:proofErr w:type="spellStart"/>
      <w:r w:rsidRPr="00900CEC">
        <w:rPr>
          <w:lang w:val="lt-LT"/>
        </w:rPr>
        <w:t>Farmaceutici</w:t>
      </w:r>
      <w:proofErr w:type="spellEnd"/>
      <w:r w:rsidRPr="00900CEC">
        <w:rPr>
          <w:lang w:val="lt-LT"/>
        </w:rPr>
        <w:t xml:space="preserve"> </w:t>
      </w:r>
      <w:proofErr w:type="spellStart"/>
      <w:r w:rsidRPr="00900CEC">
        <w:rPr>
          <w:lang w:val="lt-LT"/>
        </w:rPr>
        <w:t>S</w:t>
      </w:r>
      <w:r w:rsidR="00B14980">
        <w:rPr>
          <w:lang w:val="lt-LT"/>
        </w:rPr>
        <w:t>.r.l</w:t>
      </w:r>
      <w:proofErr w:type="spellEnd"/>
      <w:r w:rsidR="00B14980">
        <w:rPr>
          <w:lang w:val="lt-LT"/>
        </w:rPr>
        <w:t>.</w:t>
      </w:r>
      <w:r w:rsidRPr="00900CEC">
        <w:rPr>
          <w:lang w:val="lt-LT"/>
        </w:rPr>
        <w:t xml:space="preserve"> </w:t>
      </w:r>
    </w:p>
    <w:p w14:paraId="13B55CF5" w14:textId="4345390A" w:rsidR="00E978E6" w:rsidRDefault="00E160A8" w:rsidP="00E160A8">
      <w:pPr>
        <w:rPr>
          <w:lang w:val="lt-LT"/>
        </w:rPr>
      </w:pPr>
      <w:r w:rsidRPr="00900CEC">
        <w:rPr>
          <w:lang w:val="lt-LT"/>
        </w:rPr>
        <w:t xml:space="preserve">Zona </w:t>
      </w:r>
      <w:proofErr w:type="spellStart"/>
      <w:r w:rsidRPr="00900CEC">
        <w:rPr>
          <w:lang w:val="lt-LT"/>
        </w:rPr>
        <w:t>Industriale</w:t>
      </w:r>
      <w:proofErr w:type="spellEnd"/>
      <w:r w:rsidR="00E978E6">
        <w:rPr>
          <w:lang w:val="lt-LT"/>
        </w:rPr>
        <w:t xml:space="preserve"> Tito </w:t>
      </w:r>
      <w:proofErr w:type="spellStart"/>
      <w:r w:rsidR="00E978E6">
        <w:rPr>
          <w:lang w:val="lt-LT"/>
        </w:rPr>
        <w:t>Scalo</w:t>
      </w:r>
      <w:proofErr w:type="spellEnd"/>
      <w:r w:rsidR="00E978E6">
        <w:rPr>
          <w:lang w:val="lt-LT"/>
        </w:rPr>
        <w:t xml:space="preserve"> </w:t>
      </w:r>
      <w:proofErr w:type="spellStart"/>
      <w:r w:rsidR="00E978E6">
        <w:rPr>
          <w:lang w:val="lt-LT"/>
        </w:rPr>
        <w:t>Snc</w:t>
      </w:r>
      <w:proofErr w:type="spellEnd"/>
      <w:r w:rsidRPr="00900CEC">
        <w:rPr>
          <w:lang w:val="lt-LT"/>
        </w:rPr>
        <w:t xml:space="preserve"> </w:t>
      </w:r>
    </w:p>
    <w:p w14:paraId="165616E3" w14:textId="77777777" w:rsidR="001020AD" w:rsidRDefault="00E160A8" w:rsidP="00E160A8">
      <w:pPr>
        <w:rPr>
          <w:lang w:val="lt-LT"/>
        </w:rPr>
      </w:pPr>
      <w:r w:rsidRPr="00900CEC">
        <w:rPr>
          <w:lang w:val="lt-LT"/>
        </w:rPr>
        <w:t>85050 Tito (PZ)</w:t>
      </w:r>
    </w:p>
    <w:p w14:paraId="6AEBE9C1" w14:textId="058C7787" w:rsidR="00E160A8" w:rsidRPr="00900CEC" w:rsidRDefault="00E160A8" w:rsidP="00E160A8">
      <w:pPr>
        <w:rPr>
          <w:lang w:val="lt-LT"/>
        </w:rPr>
      </w:pPr>
      <w:r w:rsidRPr="00900CEC">
        <w:rPr>
          <w:lang w:val="lt-LT"/>
        </w:rPr>
        <w:t>Italija</w:t>
      </w:r>
    </w:p>
    <w:p w14:paraId="0B4EBC9E" w14:textId="77777777" w:rsidR="00E104BF" w:rsidRPr="00900CEC" w:rsidRDefault="00E104BF" w:rsidP="00E104BF">
      <w:pPr>
        <w:numPr>
          <w:ilvl w:val="12"/>
          <w:numId w:val="0"/>
        </w:numPr>
        <w:spacing w:line="240" w:lineRule="auto"/>
        <w:ind w:right="-2"/>
        <w:rPr>
          <w:szCs w:val="22"/>
          <w:lang w:val="lt-LT"/>
        </w:rPr>
      </w:pPr>
    </w:p>
    <w:p w14:paraId="2639BCE8" w14:textId="77777777" w:rsidR="00E104BF" w:rsidRPr="00900CEC" w:rsidRDefault="00E104BF" w:rsidP="00E104BF">
      <w:pPr>
        <w:numPr>
          <w:ilvl w:val="12"/>
          <w:numId w:val="0"/>
        </w:numPr>
        <w:spacing w:line="240" w:lineRule="auto"/>
        <w:ind w:right="-2"/>
        <w:rPr>
          <w:szCs w:val="22"/>
          <w:lang w:val="lt-LT"/>
        </w:rPr>
      </w:pPr>
      <w:r w:rsidRPr="00900CEC">
        <w:rPr>
          <w:b/>
          <w:szCs w:val="22"/>
          <w:lang w:val="lt-LT"/>
        </w:rPr>
        <w:t>Šis vaistas EEE valstybėse narėse registruotas tokiais pavadinimais</w:t>
      </w:r>
      <w:r w:rsidRPr="00900CEC">
        <w:rPr>
          <w:szCs w:val="22"/>
          <w:lang w:val="lt-LT"/>
        </w:rPr>
        <w:t>:</w:t>
      </w:r>
    </w:p>
    <w:tbl>
      <w:tblPr>
        <w:tblW w:w="9102" w:type="dxa"/>
        <w:tblLook w:val="04A0" w:firstRow="1" w:lastRow="0" w:firstColumn="1" w:lastColumn="0" w:noHBand="0" w:noVBand="1"/>
      </w:tblPr>
      <w:tblGrid>
        <w:gridCol w:w="2972"/>
        <w:gridCol w:w="6130"/>
      </w:tblGrid>
      <w:tr w:rsidR="00E160A8" w:rsidRPr="00900CEC" w14:paraId="2657D9AF" w14:textId="77777777" w:rsidTr="00E91C85">
        <w:tc>
          <w:tcPr>
            <w:tcW w:w="2972" w:type="dxa"/>
            <w:tcBorders>
              <w:bottom w:val="single" w:sz="4" w:space="0" w:color="auto"/>
            </w:tcBorders>
          </w:tcPr>
          <w:p w14:paraId="61E3DD68" w14:textId="7119D4DD" w:rsidR="00E160A8" w:rsidRPr="00900CEC" w:rsidRDefault="00E160A8" w:rsidP="002D10AF">
            <w:pPr>
              <w:spacing w:before="40" w:after="40"/>
              <w:rPr>
                <w:b/>
                <w:lang w:val="lt-LT"/>
              </w:rPr>
            </w:pPr>
            <w:r w:rsidRPr="00900CEC">
              <w:rPr>
                <w:b/>
                <w:lang w:val="lt-LT"/>
              </w:rPr>
              <w:t>Valstybės narės pavadinimas</w:t>
            </w:r>
          </w:p>
        </w:tc>
        <w:tc>
          <w:tcPr>
            <w:tcW w:w="6130" w:type="dxa"/>
            <w:tcBorders>
              <w:bottom w:val="single" w:sz="4" w:space="0" w:color="auto"/>
            </w:tcBorders>
          </w:tcPr>
          <w:p w14:paraId="7DB1BACA" w14:textId="10990C46" w:rsidR="00E160A8" w:rsidRPr="00900CEC" w:rsidRDefault="00E160A8" w:rsidP="002D10AF">
            <w:pPr>
              <w:spacing w:before="40" w:after="40"/>
              <w:rPr>
                <w:b/>
                <w:lang w:val="lt-LT"/>
              </w:rPr>
            </w:pPr>
            <w:r w:rsidRPr="00900CEC">
              <w:rPr>
                <w:b/>
                <w:lang w:val="lt-LT"/>
              </w:rPr>
              <w:t>Vaisto pavadinimas</w:t>
            </w:r>
          </w:p>
        </w:tc>
      </w:tr>
      <w:tr w:rsidR="0096164D" w:rsidRPr="00900CEC" w14:paraId="3992D119" w14:textId="77777777" w:rsidTr="00E91C85">
        <w:tc>
          <w:tcPr>
            <w:tcW w:w="2972" w:type="dxa"/>
            <w:tcBorders>
              <w:top w:val="single" w:sz="4" w:space="0" w:color="auto"/>
              <w:left w:val="single" w:sz="4" w:space="0" w:color="auto"/>
              <w:bottom w:val="single" w:sz="4" w:space="0" w:color="auto"/>
              <w:right w:val="single" w:sz="4" w:space="0" w:color="auto"/>
            </w:tcBorders>
          </w:tcPr>
          <w:p w14:paraId="1346E39F" w14:textId="006699B1" w:rsidR="0096164D" w:rsidRPr="00900CEC" w:rsidRDefault="0096164D" w:rsidP="0096164D">
            <w:pPr>
              <w:spacing w:before="40" w:after="40"/>
              <w:rPr>
                <w:lang w:val="lt-LT"/>
              </w:rPr>
            </w:pPr>
            <w:r w:rsidRPr="00900CEC">
              <w:rPr>
                <w:lang w:val="lt-LT"/>
              </w:rPr>
              <w:t>Bulgarija</w:t>
            </w:r>
            <w:r>
              <w:rPr>
                <w:lang w:val="lt-LT"/>
              </w:rPr>
              <w:t xml:space="preserve">, Kipras, </w:t>
            </w:r>
          </w:p>
        </w:tc>
        <w:tc>
          <w:tcPr>
            <w:tcW w:w="6130" w:type="dxa"/>
            <w:tcBorders>
              <w:top w:val="single" w:sz="4" w:space="0" w:color="auto"/>
              <w:left w:val="single" w:sz="4" w:space="0" w:color="auto"/>
              <w:bottom w:val="single" w:sz="4" w:space="0" w:color="auto"/>
              <w:right w:val="single" w:sz="4" w:space="0" w:color="auto"/>
            </w:tcBorders>
          </w:tcPr>
          <w:p w14:paraId="21970475" w14:textId="0285CCE9" w:rsidR="0096164D" w:rsidRPr="00900CEC" w:rsidRDefault="0096164D" w:rsidP="0096164D">
            <w:pPr>
              <w:spacing w:before="40" w:after="40"/>
              <w:rPr>
                <w:lang w:val="lt-LT"/>
              </w:rPr>
            </w:pPr>
            <w:proofErr w:type="spellStart"/>
            <w:r>
              <w:rPr>
                <w:lang w:val="lt-LT"/>
              </w:rPr>
              <w:t>Elomen</w:t>
            </w:r>
            <w:proofErr w:type="spellEnd"/>
          </w:p>
        </w:tc>
      </w:tr>
      <w:tr w:rsidR="0096164D" w:rsidRPr="00C03FB5" w14:paraId="112A3D21" w14:textId="77777777" w:rsidTr="00E91C85">
        <w:tc>
          <w:tcPr>
            <w:tcW w:w="2972" w:type="dxa"/>
            <w:tcBorders>
              <w:top w:val="single" w:sz="4" w:space="0" w:color="auto"/>
              <w:left w:val="single" w:sz="4" w:space="0" w:color="auto"/>
              <w:bottom w:val="single" w:sz="4" w:space="0" w:color="auto"/>
              <w:right w:val="single" w:sz="4" w:space="0" w:color="auto"/>
            </w:tcBorders>
          </w:tcPr>
          <w:p w14:paraId="506C88B1" w14:textId="00B22903" w:rsidR="0096164D" w:rsidRPr="00900CEC" w:rsidRDefault="0096164D" w:rsidP="0096164D">
            <w:pPr>
              <w:spacing w:before="40" w:after="40"/>
              <w:rPr>
                <w:lang w:val="lt-LT"/>
              </w:rPr>
            </w:pPr>
            <w:r w:rsidRPr="00900CEC">
              <w:rPr>
                <w:lang w:val="lt-LT"/>
              </w:rPr>
              <w:t>Kroatija</w:t>
            </w:r>
          </w:p>
        </w:tc>
        <w:tc>
          <w:tcPr>
            <w:tcW w:w="6130" w:type="dxa"/>
            <w:tcBorders>
              <w:top w:val="single" w:sz="4" w:space="0" w:color="auto"/>
              <w:left w:val="single" w:sz="4" w:space="0" w:color="auto"/>
              <w:bottom w:val="single" w:sz="4" w:space="0" w:color="auto"/>
              <w:right w:val="single" w:sz="4" w:space="0" w:color="auto"/>
            </w:tcBorders>
          </w:tcPr>
          <w:p w14:paraId="6EC4DB9E" w14:textId="0F04DC39" w:rsidR="0096164D" w:rsidRPr="00900CEC" w:rsidRDefault="0096164D" w:rsidP="0096164D">
            <w:pPr>
              <w:spacing w:before="40" w:after="40"/>
              <w:rPr>
                <w:lang w:val="lt-LT"/>
              </w:rPr>
            </w:pPr>
            <w:proofErr w:type="spellStart"/>
            <w:r>
              <w:rPr>
                <w:lang w:val="lt-LT"/>
              </w:rPr>
              <w:t>Comboval</w:t>
            </w:r>
            <w:proofErr w:type="spellEnd"/>
            <w:r w:rsidRPr="00900CEC">
              <w:rPr>
                <w:lang w:val="lt-LT"/>
              </w:rPr>
              <w:t xml:space="preserve"> 1000 mg/300 mg </w:t>
            </w:r>
            <w:proofErr w:type="spellStart"/>
            <w:r w:rsidRPr="00900CEC">
              <w:rPr>
                <w:lang w:val="lt-LT"/>
              </w:rPr>
              <w:t>otopina</w:t>
            </w:r>
            <w:proofErr w:type="spellEnd"/>
            <w:r w:rsidRPr="00900CEC">
              <w:rPr>
                <w:lang w:val="lt-LT"/>
              </w:rPr>
              <w:t xml:space="preserve"> za </w:t>
            </w:r>
            <w:proofErr w:type="spellStart"/>
            <w:r w:rsidRPr="00900CEC">
              <w:rPr>
                <w:lang w:val="lt-LT"/>
              </w:rPr>
              <w:t>infuziju</w:t>
            </w:r>
            <w:proofErr w:type="spellEnd"/>
          </w:p>
        </w:tc>
      </w:tr>
      <w:tr w:rsidR="0096164D" w:rsidRPr="00900CEC" w14:paraId="4C8FDA2E" w14:textId="77777777" w:rsidTr="00103BA8">
        <w:trPr>
          <w:trHeight w:val="300"/>
        </w:trPr>
        <w:tc>
          <w:tcPr>
            <w:tcW w:w="2972" w:type="dxa"/>
            <w:tcBorders>
              <w:top w:val="single" w:sz="4" w:space="0" w:color="auto"/>
              <w:left w:val="single" w:sz="4" w:space="0" w:color="auto"/>
              <w:bottom w:val="single" w:sz="4" w:space="0" w:color="auto"/>
              <w:right w:val="single" w:sz="4" w:space="0" w:color="auto"/>
            </w:tcBorders>
          </w:tcPr>
          <w:p w14:paraId="2770426A" w14:textId="1C9E315F" w:rsidR="0096164D" w:rsidRPr="00900CEC" w:rsidRDefault="0096164D" w:rsidP="0096164D">
            <w:pPr>
              <w:spacing w:before="40" w:after="40"/>
              <w:rPr>
                <w:lang w:val="lt-LT"/>
              </w:rPr>
            </w:pPr>
            <w:r w:rsidRPr="00900CEC">
              <w:rPr>
                <w:lang w:val="lt-LT"/>
              </w:rPr>
              <w:t>Čekija</w:t>
            </w:r>
            <w:r>
              <w:rPr>
                <w:lang w:val="lt-LT"/>
              </w:rPr>
              <w:t xml:space="preserve"> </w:t>
            </w:r>
          </w:p>
        </w:tc>
        <w:tc>
          <w:tcPr>
            <w:tcW w:w="6130" w:type="dxa"/>
            <w:tcBorders>
              <w:top w:val="single" w:sz="4" w:space="0" w:color="auto"/>
              <w:left w:val="single" w:sz="4" w:space="0" w:color="auto"/>
              <w:bottom w:val="single" w:sz="4" w:space="0" w:color="auto"/>
              <w:right w:val="single" w:sz="4" w:space="0" w:color="auto"/>
            </w:tcBorders>
          </w:tcPr>
          <w:p w14:paraId="18B0AAA9" w14:textId="4777A952" w:rsidR="0096164D" w:rsidRPr="00900CEC" w:rsidRDefault="0096164D" w:rsidP="0096164D">
            <w:pPr>
              <w:spacing w:before="40" w:after="40"/>
              <w:rPr>
                <w:lang w:val="lt-LT"/>
              </w:rPr>
            </w:pPr>
            <w:proofErr w:type="spellStart"/>
            <w:r w:rsidRPr="00451E59">
              <w:rPr>
                <w:lang w:val="lt-LT"/>
              </w:rPr>
              <w:t>Combogesic</w:t>
            </w:r>
            <w:proofErr w:type="spellEnd"/>
          </w:p>
        </w:tc>
      </w:tr>
      <w:tr w:rsidR="0096164D" w:rsidRPr="00900CEC" w14:paraId="4E839E8C" w14:textId="77777777" w:rsidTr="00E91C85">
        <w:trPr>
          <w:trHeight w:val="300"/>
        </w:trPr>
        <w:tc>
          <w:tcPr>
            <w:tcW w:w="2972" w:type="dxa"/>
            <w:tcBorders>
              <w:top w:val="single" w:sz="4" w:space="0" w:color="auto"/>
              <w:left w:val="single" w:sz="4" w:space="0" w:color="auto"/>
              <w:bottom w:val="single" w:sz="4" w:space="0" w:color="auto"/>
              <w:right w:val="single" w:sz="4" w:space="0" w:color="auto"/>
            </w:tcBorders>
          </w:tcPr>
          <w:p w14:paraId="1456C6BC" w14:textId="3956E3FD" w:rsidR="0096164D" w:rsidRDefault="0096164D" w:rsidP="0096164D">
            <w:pPr>
              <w:spacing w:before="40" w:after="40"/>
              <w:rPr>
                <w:lang w:val="lt-LT"/>
              </w:rPr>
            </w:pPr>
            <w:r w:rsidRPr="00372A16">
              <w:rPr>
                <w:lang w:val="lt-LT"/>
              </w:rPr>
              <w:t>Estija</w:t>
            </w:r>
          </w:p>
        </w:tc>
        <w:tc>
          <w:tcPr>
            <w:tcW w:w="6130" w:type="dxa"/>
            <w:tcBorders>
              <w:top w:val="single" w:sz="4" w:space="0" w:color="auto"/>
              <w:left w:val="single" w:sz="4" w:space="0" w:color="auto"/>
              <w:bottom w:val="single" w:sz="4" w:space="0" w:color="auto"/>
              <w:right w:val="single" w:sz="4" w:space="0" w:color="auto"/>
            </w:tcBorders>
          </w:tcPr>
          <w:p w14:paraId="6012DBB5" w14:textId="0BC7946D" w:rsidR="0096164D" w:rsidRPr="00900CEC" w:rsidRDefault="006A24B2" w:rsidP="0096164D">
            <w:pPr>
              <w:spacing w:before="40" w:after="40"/>
              <w:rPr>
                <w:lang w:val="lt-LT"/>
              </w:rPr>
            </w:pPr>
            <w:proofErr w:type="spellStart"/>
            <w:r>
              <w:rPr>
                <w:lang w:val="lt-LT"/>
              </w:rPr>
              <w:t>Paracetamol</w:t>
            </w:r>
            <w:proofErr w:type="spellEnd"/>
            <w:r>
              <w:rPr>
                <w:lang w:val="lt-LT"/>
              </w:rPr>
              <w:t>/</w:t>
            </w:r>
            <w:proofErr w:type="spellStart"/>
            <w:r>
              <w:rPr>
                <w:lang w:val="lt-LT"/>
              </w:rPr>
              <w:t>Ibuprofen</w:t>
            </w:r>
            <w:proofErr w:type="spellEnd"/>
            <w:r>
              <w:rPr>
                <w:lang w:val="lt-LT"/>
              </w:rPr>
              <w:t xml:space="preserve"> AFT </w:t>
            </w:r>
            <w:proofErr w:type="spellStart"/>
            <w:r>
              <w:rPr>
                <w:lang w:val="lt-LT"/>
              </w:rPr>
              <w:t>Pharmaceuticals</w:t>
            </w:r>
            <w:proofErr w:type="spellEnd"/>
          </w:p>
        </w:tc>
      </w:tr>
      <w:tr w:rsidR="0096164D" w:rsidRPr="00D06CE3" w14:paraId="74D570BF" w14:textId="77777777" w:rsidTr="00E91C85">
        <w:trPr>
          <w:trHeight w:val="300"/>
        </w:trPr>
        <w:tc>
          <w:tcPr>
            <w:tcW w:w="2972" w:type="dxa"/>
            <w:tcBorders>
              <w:top w:val="single" w:sz="4" w:space="0" w:color="auto"/>
              <w:left w:val="single" w:sz="4" w:space="0" w:color="auto"/>
              <w:bottom w:val="single" w:sz="4" w:space="0" w:color="auto"/>
              <w:right w:val="single" w:sz="4" w:space="0" w:color="auto"/>
            </w:tcBorders>
          </w:tcPr>
          <w:p w14:paraId="0CF749DB" w14:textId="04DDD12B" w:rsidR="0096164D" w:rsidRPr="00372A16" w:rsidRDefault="0096164D" w:rsidP="0096164D">
            <w:pPr>
              <w:spacing w:before="40" w:after="40"/>
              <w:rPr>
                <w:lang w:val="lt-LT"/>
              </w:rPr>
            </w:pPr>
            <w:r w:rsidRPr="00372A16">
              <w:rPr>
                <w:lang w:val="lt-LT"/>
              </w:rPr>
              <w:t>Lietuva</w:t>
            </w:r>
          </w:p>
        </w:tc>
        <w:tc>
          <w:tcPr>
            <w:tcW w:w="6130" w:type="dxa"/>
            <w:tcBorders>
              <w:top w:val="single" w:sz="4" w:space="0" w:color="auto"/>
              <w:left w:val="single" w:sz="4" w:space="0" w:color="auto"/>
              <w:bottom w:val="single" w:sz="4" w:space="0" w:color="auto"/>
              <w:right w:val="single" w:sz="4" w:space="0" w:color="auto"/>
            </w:tcBorders>
          </w:tcPr>
          <w:p w14:paraId="05D91A5F" w14:textId="1118DE87" w:rsidR="0096164D" w:rsidRPr="00372A16" w:rsidRDefault="006A24B2" w:rsidP="0096164D">
            <w:pPr>
              <w:spacing w:before="40" w:after="40"/>
              <w:rPr>
                <w:lang w:val="lt-LT"/>
              </w:rPr>
            </w:pPr>
            <w:proofErr w:type="spellStart"/>
            <w:r>
              <w:rPr>
                <w:lang w:val="lt-LT"/>
              </w:rPr>
              <w:t>Paracetamol</w:t>
            </w:r>
            <w:proofErr w:type="spellEnd"/>
            <w:r>
              <w:rPr>
                <w:lang w:val="lt-LT"/>
              </w:rPr>
              <w:t>/</w:t>
            </w:r>
            <w:proofErr w:type="spellStart"/>
            <w:r>
              <w:rPr>
                <w:lang w:val="lt-LT"/>
              </w:rPr>
              <w:t>Ibuprofen</w:t>
            </w:r>
            <w:proofErr w:type="spellEnd"/>
            <w:r>
              <w:rPr>
                <w:lang w:val="lt-LT"/>
              </w:rPr>
              <w:t xml:space="preserve"> AFT </w:t>
            </w:r>
            <w:proofErr w:type="spellStart"/>
            <w:r>
              <w:rPr>
                <w:lang w:val="lt-LT"/>
              </w:rPr>
              <w:t>Pharmaceuticals</w:t>
            </w:r>
            <w:proofErr w:type="spellEnd"/>
            <w:r w:rsidR="0096164D">
              <w:rPr>
                <w:lang w:val="lt-LT"/>
              </w:rPr>
              <w:t xml:space="preserve"> </w:t>
            </w:r>
            <w:r w:rsidR="0096164D" w:rsidRPr="007D15E4">
              <w:rPr>
                <w:lang w:val="lt-LT"/>
              </w:rPr>
              <w:t>10</w:t>
            </w:r>
            <w:r w:rsidR="00400387">
              <w:rPr>
                <w:lang w:val="lt-LT"/>
              </w:rPr>
              <w:t> </w:t>
            </w:r>
            <w:r w:rsidR="0096164D" w:rsidRPr="007D15E4">
              <w:rPr>
                <w:lang w:val="lt-LT"/>
              </w:rPr>
              <w:t>mg/3</w:t>
            </w:r>
            <w:r w:rsidR="00400387">
              <w:rPr>
                <w:lang w:val="lt-LT"/>
              </w:rPr>
              <w:t> </w:t>
            </w:r>
            <w:r w:rsidR="0096164D" w:rsidRPr="007D15E4">
              <w:rPr>
                <w:lang w:val="lt-LT"/>
              </w:rPr>
              <w:t>mg/ml infuzinis tirpalas</w:t>
            </w:r>
          </w:p>
        </w:tc>
      </w:tr>
      <w:tr w:rsidR="0096164D" w:rsidRPr="00900CEC" w14:paraId="5AED60C5" w14:textId="77777777" w:rsidTr="00E91C85">
        <w:trPr>
          <w:trHeight w:val="300"/>
        </w:trPr>
        <w:tc>
          <w:tcPr>
            <w:tcW w:w="2972" w:type="dxa"/>
            <w:tcBorders>
              <w:top w:val="single" w:sz="4" w:space="0" w:color="auto"/>
              <w:left w:val="single" w:sz="4" w:space="0" w:color="auto"/>
              <w:bottom w:val="single" w:sz="4" w:space="0" w:color="auto"/>
              <w:right w:val="single" w:sz="4" w:space="0" w:color="auto"/>
            </w:tcBorders>
          </w:tcPr>
          <w:p w14:paraId="61F12CE9" w14:textId="0875EF29" w:rsidR="0096164D" w:rsidRPr="00900CEC" w:rsidRDefault="0096164D" w:rsidP="0096164D">
            <w:pPr>
              <w:spacing w:before="40" w:after="40"/>
              <w:rPr>
                <w:lang w:val="lt-LT"/>
              </w:rPr>
            </w:pPr>
            <w:r>
              <w:rPr>
                <w:lang w:val="lt-LT"/>
              </w:rPr>
              <w:t>Švedija</w:t>
            </w:r>
          </w:p>
        </w:tc>
        <w:tc>
          <w:tcPr>
            <w:tcW w:w="6130" w:type="dxa"/>
            <w:tcBorders>
              <w:top w:val="single" w:sz="4" w:space="0" w:color="auto"/>
              <w:left w:val="single" w:sz="4" w:space="0" w:color="auto"/>
              <w:bottom w:val="single" w:sz="4" w:space="0" w:color="auto"/>
              <w:right w:val="single" w:sz="4" w:space="0" w:color="auto"/>
            </w:tcBorders>
          </w:tcPr>
          <w:p w14:paraId="7C54C3ED" w14:textId="46765182" w:rsidR="0096164D" w:rsidRPr="00451E59" w:rsidRDefault="0096164D" w:rsidP="0096164D">
            <w:pPr>
              <w:spacing w:before="40" w:after="40"/>
              <w:rPr>
                <w:lang w:val="lt-LT"/>
              </w:rPr>
            </w:pPr>
            <w:proofErr w:type="spellStart"/>
            <w:r w:rsidRPr="00900CEC">
              <w:rPr>
                <w:lang w:val="lt-LT"/>
              </w:rPr>
              <w:t>Paracetamol</w:t>
            </w:r>
            <w:proofErr w:type="spellEnd"/>
            <w:r w:rsidRPr="00900CEC">
              <w:rPr>
                <w:lang w:val="lt-LT"/>
              </w:rPr>
              <w:t>/</w:t>
            </w:r>
            <w:proofErr w:type="spellStart"/>
            <w:r w:rsidRPr="00900CEC">
              <w:rPr>
                <w:lang w:val="lt-LT"/>
              </w:rPr>
              <w:t>Ibuprofen</w:t>
            </w:r>
            <w:proofErr w:type="spellEnd"/>
            <w:r w:rsidRPr="00900CEC">
              <w:rPr>
                <w:lang w:val="lt-LT"/>
              </w:rPr>
              <w:t xml:space="preserve"> Vale</w:t>
            </w:r>
          </w:p>
        </w:tc>
      </w:tr>
      <w:tr w:rsidR="0096164D" w:rsidRPr="00D06CE3" w14:paraId="18A739B5" w14:textId="77777777" w:rsidTr="00E91C85">
        <w:tc>
          <w:tcPr>
            <w:tcW w:w="2972" w:type="dxa"/>
            <w:tcBorders>
              <w:top w:val="single" w:sz="4" w:space="0" w:color="auto"/>
              <w:left w:val="single" w:sz="4" w:space="0" w:color="auto"/>
              <w:bottom w:val="single" w:sz="4" w:space="0" w:color="auto"/>
              <w:right w:val="single" w:sz="4" w:space="0" w:color="auto"/>
            </w:tcBorders>
          </w:tcPr>
          <w:p w14:paraId="6A0B5BFE" w14:textId="5E1ED7D9" w:rsidR="0096164D" w:rsidRPr="00900CEC" w:rsidRDefault="0096164D" w:rsidP="0096164D">
            <w:pPr>
              <w:spacing w:before="40" w:after="40"/>
              <w:rPr>
                <w:lang w:val="lt-LT"/>
              </w:rPr>
            </w:pPr>
            <w:r w:rsidRPr="00900CEC">
              <w:rPr>
                <w:lang w:val="lt-LT"/>
              </w:rPr>
              <w:t>Vengrija</w:t>
            </w:r>
          </w:p>
        </w:tc>
        <w:tc>
          <w:tcPr>
            <w:tcW w:w="6130" w:type="dxa"/>
            <w:tcBorders>
              <w:top w:val="single" w:sz="4" w:space="0" w:color="auto"/>
              <w:left w:val="single" w:sz="4" w:space="0" w:color="auto"/>
              <w:bottom w:val="single" w:sz="4" w:space="0" w:color="auto"/>
              <w:right w:val="single" w:sz="4" w:space="0" w:color="auto"/>
            </w:tcBorders>
          </w:tcPr>
          <w:p w14:paraId="50D50ED7" w14:textId="4A764DEF" w:rsidR="0096164D" w:rsidRPr="00900CEC" w:rsidRDefault="0096164D" w:rsidP="0096164D">
            <w:pPr>
              <w:spacing w:before="40" w:after="40"/>
              <w:rPr>
                <w:lang w:val="lt-LT"/>
              </w:rPr>
            </w:pPr>
            <w:proofErr w:type="spellStart"/>
            <w:r>
              <w:rPr>
                <w:lang w:val="lt-LT"/>
              </w:rPr>
              <w:t>Elomen</w:t>
            </w:r>
            <w:proofErr w:type="spellEnd"/>
            <w:r w:rsidRPr="00900CEC">
              <w:rPr>
                <w:lang w:val="lt-LT"/>
              </w:rPr>
              <w:t xml:space="preserve"> 1000 mg/300 mg </w:t>
            </w:r>
            <w:proofErr w:type="spellStart"/>
            <w:r w:rsidRPr="00900CEC">
              <w:rPr>
                <w:lang w:val="lt-LT"/>
              </w:rPr>
              <w:t>oldatos</w:t>
            </w:r>
            <w:proofErr w:type="spellEnd"/>
            <w:r w:rsidRPr="00900CEC">
              <w:rPr>
                <w:lang w:val="lt-LT"/>
              </w:rPr>
              <w:t xml:space="preserve"> </w:t>
            </w:r>
            <w:proofErr w:type="spellStart"/>
            <w:r w:rsidRPr="00900CEC">
              <w:rPr>
                <w:lang w:val="lt-LT"/>
              </w:rPr>
              <w:t>infúzió</w:t>
            </w:r>
            <w:proofErr w:type="spellEnd"/>
          </w:p>
        </w:tc>
      </w:tr>
      <w:tr w:rsidR="0096164D" w:rsidRPr="006D320C" w14:paraId="6F8A737B" w14:textId="77777777" w:rsidTr="00E91C85">
        <w:tc>
          <w:tcPr>
            <w:tcW w:w="2972" w:type="dxa"/>
            <w:tcBorders>
              <w:top w:val="single" w:sz="4" w:space="0" w:color="auto"/>
              <w:left w:val="single" w:sz="4" w:space="0" w:color="auto"/>
              <w:bottom w:val="single" w:sz="4" w:space="0" w:color="auto"/>
              <w:right w:val="single" w:sz="4" w:space="0" w:color="auto"/>
            </w:tcBorders>
          </w:tcPr>
          <w:p w14:paraId="4C05ABB8" w14:textId="73AF1ABD" w:rsidR="0096164D" w:rsidRPr="00900CEC" w:rsidRDefault="0096164D" w:rsidP="0096164D">
            <w:pPr>
              <w:spacing w:before="40" w:after="40"/>
              <w:rPr>
                <w:lang w:val="lt-LT"/>
              </w:rPr>
            </w:pPr>
            <w:r w:rsidRPr="00900CEC">
              <w:rPr>
                <w:lang w:val="lt-LT"/>
              </w:rPr>
              <w:t>Latvija</w:t>
            </w:r>
          </w:p>
        </w:tc>
        <w:tc>
          <w:tcPr>
            <w:tcW w:w="6130" w:type="dxa"/>
            <w:tcBorders>
              <w:top w:val="single" w:sz="4" w:space="0" w:color="auto"/>
              <w:left w:val="single" w:sz="4" w:space="0" w:color="auto"/>
              <w:bottom w:val="single" w:sz="4" w:space="0" w:color="auto"/>
              <w:right w:val="single" w:sz="4" w:space="0" w:color="auto"/>
            </w:tcBorders>
          </w:tcPr>
          <w:p w14:paraId="109998E0" w14:textId="466F861D" w:rsidR="0096164D" w:rsidRPr="00900CEC" w:rsidRDefault="006A24B2" w:rsidP="0096164D">
            <w:pPr>
              <w:spacing w:before="40" w:after="40"/>
              <w:rPr>
                <w:lang w:val="lt-LT"/>
              </w:rPr>
            </w:pPr>
            <w:proofErr w:type="spellStart"/>
            <w:r>
              <w:rPr>
                <w:lang w:val="lt-LT"/>
              </w:rPr>
              <w:t>Paracetamol</w:t>
            </w:r>
            <w:proofErr w:type="spellEnd"/>
            <w:r>
              <w:rPr>
                <w:lang w:val="lt-LT"/>
              </w:rPr>
              <w:t>/</w:t>
            </w:r>
            <w:proofErr w:type="spellStart"/>
            <w:r>
              <w:rPr>
                <w:lang w:val="lt-LT"/>
              </w:rPr>
              <w:t>Ibuprofen</w:t>
            </w:r>
            <w:proofErr w:type="spellEnd"/>
            <w:r>
              <w:rPr>
                <w:lang w:val="lt-LT"/>
              </w:rPr>
              <w:t xml:space="preserve"> AFT </w:t>
            </w:r>
            <w:proofErr w:type="spellStart"/>
            <w:r>
              <w:rPr>
                <w:lang w:val="lt-LT"/>
              </w:rPr>
              <w:t>Pharmaceuticals</w:t>
            </w:r>
            <w:proofErr w:type="spellEnd"/>
            <w:r w:rsidR="0096164D" w:rsidRPr="00900CEC">
              <w:rPr>
                <w:lang w:val="lt-LT"/>
              </w:rPr>
              <w:t xml:space="preserve"> </w:t>
            </w:r>
            <w:r w:rsidR="00D80467" w:rsidRPr="007D15E4">
              <w:rPr>
                <w:lang w:val="lt-LT"/>
              </w:rPr>
              <w:t>10</w:t>
            </w:r>
            <w:r w:rsidR="00D80467">
              <w:rPr>
                <w:lang w:val="lt-LT"/>
              </w:rPr>
              <w:t> </w:t>
            </w:r>
            <w:r w:rsidR="00D80467" w:rsidRPr="007D15E4">
              <w:rPr>
                <w:lang w:val="lt-LT"/>
              </w:rPr>
              <w:t>mg/3</w:t>
            </w:r>
            <w:r w:rsidR="00D80467">
              <w:rPr>
                <w:lang w:val="lt-LT"/>
              </w:rPr>
              <w:t> </w:t>
            </w:r>
            <w:r w:rsidR="00D80467" w:rsidRPr="007D15E4">
              <w:rPr>
                <w:lang w:val="lt-LT"/>
              </w:rPr>
              <w:t xml:space="preserve">mg/ml </w:t>
            </w:r>
            <w:proofErr w:type="spellStart"/>
            <w:r w:rsidR="00D80467" w:rsidRPr="000E0774">
              <w:rPr>
                <w:lang w:val="lt-LT"/>
              </w:rPr>
              <w:t>šķīdums</w:t>
            </w:r>
            <w:proofErr w:type="spellEnd"/>
            <w:r w:rsidR="00D80467" w:rsidRPr="000E0774">
              <w:rPr>
                <w:lang w:val="lt-LT"/>
              </w:rPr>
              <w:t xml:space="preserve"> </w:t>
            </w:r>
            <w:proofErr w:type="spellStart"/>
            <w:r w:rsidR="00D80467" w:rsidRPr="000E0774">
              <w:rPr>
                <w:lang w:val="lt-LT"/>
              </w:rPr>
              <w:t>infūzijām</w:t>
            </w:r>
            <w:proofErr w:type="spellEnd"/>
          </w:p>
        </w:tc>
      </w:tr>
      <w:tr w:rsidR="0096164D" w:rsidRPr="006D320C" w14:paraId="38D9B262" w14:textId="77777777" w:rsidTr="00E91C85">
        <w:tc>
          <w:tcPr>
            <w:tcW w:w="2972" w:type="dxa"/>
            <w:tcBorders>
              <w:top w:val="single" w:sz="4" w:space="0" w:color="auto"/>
              <w:left w:val="single" w:sz="4" w:space="0" w:color="auto"/>
              <w:bottom w:val="single" w:sz="4" w:space="0" w:color="auto"/>
              <w:right w:val="single" w:sz="4" w:space="0" w:color="auto"/>
            </w:tcBorders>
          </w:tcPr>
          <w:p w14:paraId="2D7D3909" w14:textId="189598DF" w:rsidR="0096164D" w:rsidRPr="00900CEC" w:rsidRDefault="0096164D" w:rsidP="0096164D">
            <w:pPr>
              <w:spacing w:before="40" w:after="40"/>
              <w:rPr>
                <w:lang w:val="lt-LT"/>
              </w:rPr>
            </w:pPr>
            <w:r w:rsidRPr="00900CEC">
              <w:rPr>
                <w:lang w:val="lt-LT"/>
              </w:rPr>
              <w:t>Rumunija</w:t>
            </w:r>
          </w:p>
        </w:tc>
        <w:tc>
          <w:tcPr>
            <w:tcW w:w="6130" w:type="dxa"/>
            <w:tcBorders>
              <w:top w:val="single" w:sz="4" w:space="0" w:color="auto"/>
              <w:left w:val="single" w:sz="4" w:space="0" w:color="auto"/>
              <w:bottom w:val="single" w:sz="4" w:space="0" w:color="auto"/>
              <w:right w:val="single" w:sz="4" w:space="0" w:color="auto"/>
            </w:tcBorders>
          </w:tcPr>
          <w:p w14:paraId="3801D1C8" w14:textId="7A14EA2C" w:rsidR="0096164D" w:rsidRPr="00900CEC" w:rsidRDefault="0096164D" w:rsidP="0096164D">
            <w:pPr>
              <w:spacing w:before="40" w:after="40"/>
              <w:rPr>
                <w:lang w:val="lt-LT"/>
              </w:rPr>
            </w:pPr>
            <w:proofErr w:type="spellStart"/>
            <w:r>
              <w:rPr>
                <w:lang w:val="lt-LT"/>
              </w:rPr>
              <w:t>Elomen</w:t>
            </w:r>
            <w:proofErr w:type="spellEnd"/>
            <w:r w:rsidRPr="00900CEC">
              <w:rPr>
                <w:lang w:val="lt-LT"/>
              </w:rPr>
              <w:t xml:space="preserve"> 1000 mg/300 mg </w:t>
            </w:r>
            <w:proofErr w:type="spellStart"/>
            <w:r w:rsidRPr="00900CEC">
              <w:rPr>
                <w:lang w:val="lt-LT"/>
              </w:rPr>
              <w:t>soluţie</w:t>
            </w:r>
            <w:proofErr w:type="spellEnd"/>
            <w:r w:rsidRPr="00900CEC">
              <w:rPr>
                <w:lang w:val="lt-LT"/>
              </w:rPr>
              <w:t xml:space="preserve"> </w:t>
            </w:r>
            <w:proofErr w:type="spellStart"/>
            <w:r w:rsidRPr="00900CEC">
              <w:rPr>
                <w:lang w:val="lt-LT"/>
              </w:rPr>
              <w:t>perfuzabilă</w:t>
            </w:r>
            <w:proofErr w:type="spellEnd"/>
          </w:p>
        </w:tc>
      </w:tr>
      <w:tr w:rsidR="0096164D" w:rsidRPr="00C03FB5" w14:paraId="188B5D99" w14:textId="77777777" w:rsidTr="00E91C85">
        <w:tc>
          <w:tcPr>
            <w:tcW w:w="2972" w:type="dxa"/>
            <w:tcBorders>
              <w:top w:val="single" w:sz="4" w:space="0" w:color="auto"/>
              <w:left w:val="single" w:sz="4" w:space="0" w:color="auto"/>
              <w:bottom w:val="single" w:sz="4" w:space="0" w:color="auto"/>
              <w:right w:val="single" w:sz="4" w:space="0" w:color="auto"/>
            </w:tcBorders>
          </w:tcPr>
          <w:p w14:paraId="129D3372" w14:textId="3C4BC576" w:rsidR="0096164D" w:rsidRPr="00900CEC" w:rsidRDefault="0096164D" w:rsidP="0096164D">
            <w:pPr>
              <w:spacing w:before="40" w:after="40"/>
              <w:rPr>
                <w:lang w:val="lt-LT"/>
              </w:rPr>
            </w:pPr>
            <w:r w:rsidRPr="00900CEC">
              <w:rPr>
                <w:lang w:val="lt-LT"/>
              </w:rPr>
              <w:t>Slovakija</w:t>
            </w:r>
          </w:p>
        </w:tc>
        <w:tc>
          <w:tcPr>
            <w:tcW w:w="6130" w:type="dxa"/>
            <w:tcBorders>
              <w:top w:val="single" w:sz="4" w:space="0" w:color="auto"/>
              <w:left w:val="single" w:sz="4" w:space="0" w:color="auto"/>
              <w:bottom w:val="single" w:sz="4" w:space="0" w:color="auto"/>
              <w:right w:val="single" w:sz="4" w:space="0" w:color="auto"/>
            </w:tcBorders>
          </w:tcPr>
          <w:p w14:paraId="33CB47B9" w14:textId="404FA713" w:rsidR="0096164D" w:rsidRPr="00900CEC" w:rsidRDefault="0096164D" w:rsidP="0096164D">
            <w:pPr>
              <w:spacing w:before="40" w:after="40"/>
              <w:rPr>
                <w:lang w:val="lt-LT"/>
              </w:rPr>
            </w:pPr>
            <w:proofErr w:type="spellStart"/>
            <w:r>
              <w:rPr>
                <w:lang w:val="lt-LT"/>
              </w:rPr>
              <w:t>Elomen</w:t>
            </w:r>
            <w:proofErr w:type="spellEnd"/>
            <w:r w:rsidRPr="00900CEC">
              <w:rPr>
                <w:lang w:val="lt-LT"/>
              </w:rPr>
              <w:t xml:space="preserve"> 1000 mg/300 mg </w:t>
            </w:r>
            <w:proofErr w:type="spellStart"/>
            <w:r w:rsidRPr="00900CEC">
              <w:rPr>
                <w:lang w:val="lt-LT"/>
              </w:rPr>
              <w:t>raztopina</w:t>
            </w:r>
            <w:proofErr w:type="spellEnd"/>
            <w:r w:rsidRPr="00900CEC">
              <w:rPr>
                <w:lang w:val="lt-LT"/>
              </w:rPr>
              <w:t xml:space="preserve"> </w:t>
            </w:r>
            <w:proofErr w:type="spellStart"/>
            <w:r w:rsidRPr="00900CEC">
              <w:rPr>
                <w:lang w:val="lt-LT"/>
              </w:rPr>
              <w:t>za</w:t>
            </w:r>
            <w:proofErr w:type="spellEnd"/>
            <w:r w:rsidRPr="00900CEC">
              <w:rPr>
                <w:lang w:val="lt-LT"/>
              </w:rPr>
              <w:t xml:space="preserve"> </w:t>
            </w:r>
            <w:proofErr w:type="spellStart"/>
            <w:r w:rsidRPr="00900CEC">
              <w:rPr>
                <w:lang w:val="lt-LT"/>
              </w:rPr>
              <w:t>infundiranje</w:t>
            </w:r>
            <w:proofErr w:type="spellEnd"/>
          </w:p>
        </w:tc>
      </w:tr>
      <w:tr w:rsidR="0096164D" w:rsidRPr="00372A16" w14:paraId="616A015B" w14:textId="77777777" w:rsidTr="00E91C85">
        <w:tc>
          <w:tcPr>
            <w:tcW w:w="2972" w:type="dxa"/>
            <w:tcBorders>
              <w:top w:val="single" w:sz="4" w:space="0" w:color="auto"/>
              <w:left w:val="single" w:sz="4" w:space="0" w:color="auto"/>
              <w:bottom w:val="single" w:sz="4" w:space="0" w:color="auto"/>
              <w:right w:val="single" w:sz="4" w:space="0" w:color="auto"/>
            </w:tcBorders>
          </w:tcPr>
          <w:p w14:paraId="4757D365" w14:textId="27639320" w:rsidR="0096164D" w:rsidRPr="00900CEC" w:rsidRDefault="0096164D" w:rsidP="0096164D">
            <w:pPr>
              <w:spacing w:before="40" w:after="40"/>
              <w:rPr>
                <w:lang w:val="lt-LT"/>
              </w:rPr>
            </w:pPr>
            <w:r w:rsidRPr="00372A16">
              <w:rPr>
                <w:lang w:val="lt-LT"/>
              </w:rPr>
              <w:t>Slovėnija</w:t>
            </w:r>
          </w:p>
        </w:tc>
        <w:tc>
          <w:tcPr>
            <w:tcW w:w="6130" w:type="dxa"/>
            <w:tcBorders>
              <w:top w:val="single" w:sz="4" w:space="0" w:color="auto"/>
              <w:left w:val="single" w:sz="4" w:space="0" w:color="auto"/>
              <w:bottom w:val="single" w:sz="4" w:space="0" w:color="auto"/>
              <w:right w:val="single" w:sz="4" w:space="0" w:color="auto"/>
            </w:tcBorders>
          </w:tcPr>
          <w:p w14:paraId="0F55960C" w14:textId="27825F0A" w:rsidR="0096164D" w:rsidRDefault="0096164D" w:rsidP="0096164D">
            <w:pPr>
              <w:spacing w:before="40" w:after="40"/>
              <w:rPr>
                <w:lang w:val="lt-LT"/>
              </w:rPr>
            </w:pPr>
            <w:proofErr w:type="spellStart"/>
            <w:r w:rsidRPr="00372A16">
              <w:rPr>
                <w:lang w:val="lt-LT"/>
              </w:rPr>
              <w:t>Comboval</w:t>
            </w:r>
            <w:proofErr w:type="spellEnd"/>
          </w:p>
        </w:tc>
      </w:tr>
      <w:tr w:rsidR="00E160A8" w:rsidRPr="00E06461" w14:paraId="5798767D" w14:textId="77777777" w:rsidTr="00E91C85">
        <w:tc>
          <w:tcPr>
            <w:tcW w:w="2972" w:type="dxa"/>
            <w:tcBorders>
              <w:top w:val="single" w:sz="4" w:space="0" w:color="auto"/>
            </w:tcBorders>
          </w:tcPr>
          <w:p w14:paraId="7CADDE47" w14:textId="14C87573" w:rsidR="00E160A8" w:rsidRPr="00900CEC" w:rsidRDefault="00E160A8" w:rsidP="002D10AF">
            <w:pPr>
              <w:spacing w:before="40" w:after="40"/>
              <w:rPr>
                <w:lang w:val="lt-LT"/>
              </w:rPr>
            </w:pPr>
          </w:p>
        </w:tc>
        <w:tc>
          <w:tcPr>
            <w:tcW w:w="6130" w:type="dxa"/>
            <w:tcBorders>
              <w:top w:val="single" w:sz="4" w:space="0" w:color="auto"/>
            </w:tcBorders>
          </w:tcPr>
          <w:p w14:paraId="353544AD" w14:textId="694E757F" w:rsidR="00E160A8" w:rsidRPr="00900CEC" w:rsidRDefault="00E160A8" w:rsidP="002D10AF">
            <w:pPr>
              <w:spacing w:before="40" w:after="40"/>
              <w:rPr>
                <w:lang w:val="lt-LT"/>
              </w:rPr>
            </w:pPr>
          </w:p>
        </w:tc>
      </w:tr>
    </w:tbl>
    <w:p w14:paraId="3B1172EE" w14:textId="77777777" w:rsidR="002926F4" w:rsidRPr="00900CEC" w:rsidRDefault="002926F4" w:rsidP="00810614">
      <w:pPr>
        <w:tabs>
          <w:tab w:val="clear" w:pos="567"/>
          <w:tab w:val="left" w:pos="993"/>
        </w:tabs>
        <w:ind w:left="993" w:hanging="993"/>
        <w:rPr>
          <w:szCs w:val="22"/>
          <w:lang w:val="lt-LT"/>
        </w:rPr>
      </w:pPr>
    </w:p>
    <w:p w14:paraId="7CEDEB82" w14:textId="47F6D6A8" w:rsidR="00E104BF" w:rsidRPr="00482544" w:rsidRDefault="00E104BF" w:rsidP="00E104BF">
      <w:pPr>
        <w:numPr>
          <w:ilvl w:val="12"/>
          <w:numId w:val="0"/>
        </w:numPr>
        <w:tabs>
          <w:tab w:val="clear" w:pos="567"/>
        </w:tabs>
        <w:spacing w:line="240" w:lineRule="auto"/>
        <w:ind w:right="-2"/>
        <w:rPr>
          <w:b/>
          <w:szCs w:val="22"/>
          <w:lang w:val="lt-LT"/>
        </w:rPr>
      </w:pPr>
      <w:r w:rsidRPr="00900CEC">
        <w:rPr>
          <w:b/>
          <w:szCs w:val="22"/>
          <w:lang w:val="lt-LT"/>
        </w:rPr>
        <w:t>Šis pakuotės lapelis paskutinį kartą peržiūrėtas</w:t>
      </w:r>
      <w:r w:rsidR="003A22EF">
        <w:rPr>
          <w:b/>
          <w:szCs w:val="22"/>
          <w:lang w:val="lt-LT"/>
        </w:rPr>
        <w:t xml:space="preserve"> 2025-11-07</w:t>
      </w:r>
      <w:r w:rsidR="005E0715">
        <w:rPr>
          <w:b/>
          <w:szCs w:val="22"/>
          <w:lang w:val="lt-LT"/>
        </w:rPr>
        <w:t>.</w:t>
      </w:r>
    </w:p>
    <w:p w14:paraId="4E70C633" w14:textId="77777777" w:rsidR="00E104BF" w:rsidRPr="00900CEC" w:rsidRDefault="00E104BF" w:rsidP="00E104BF">
      <w:pPr>
        <w:numPr>
          <w:ilvl w:val="12"/>
          <w:numId w:val="0"/>
        </w:numPr>
        <w:spacing w:line="240" w:lineRule="auto"/>
        <w:ind w:right="-2"/>
        <w:rPr>
          <w:szCs w:val="22"/>
          <w:lang w:val="lt-LT"/>
        </w:rPr>
      </w:pPr>
    </w:p>
    <w:p w14:paraId="2D7B42E5" w14:textId="29179803" w:rsidR="00E104BF" w:rsidRPr="00900CEC" w:rsidRDefault="00E104BF" w:rsidP="00520916">
      <w:pPr>
        <w:rPr>
          <w:szCs w:val="22"/>
          <w:lang w:val="lt-LT"/>
        </w:rPr>
      </w:pPr>
      <w:r w:rsidRPr="00900CEC">
        <w:rPr>
          <w:szCs w:val="22"/>
          <w:lang w:val="lt-LT"/>
        </w:rPr>
        <w:t>Išsami informacija apie šį vaistą pateikiama Valstybinės vaistų kontrolės tarnybos prie Lietuvos Respublikos sveikatos apsaugos ministerijos tinklalapyje</w:t>
      </w:r>
      <w:r w:rsidRPr="00900CEC">
        <w:rPr>
          <w:i/>
          <w:szCs w:val="22"/>
          <w:lang w:val="lt-LT"/>
        </w:rPr>
        <w:t xml:space="preserve"> </w:t>
      </w:r>
      <w:r w:rsidR="00BC1F34" w:rsidRPr="00482544">
        <w:rPr>
          <w:color w:val="0000EE"/>
          <w:szCs w:val="22"/>
          <w:u w:val="single"/>
          <w:lang w:val="lt-LT" w:eastAsia="lt-LT"/>
        </w:rPr>
        <w:t>https://vvkt.lrv.lt/lt/.</w:t>
      </w:r>
      <w:r w:rsidRPr="00900CEC">
        <w:rPr>
          <w:szCs w:val="22"/>
          <w:lang w:val="lt-LT"/>
        </w:rPr>
        <w:t>.</w:t>
      </w:r>
    </w:p>
    <w:p w14:paraId="3EBE6E52" w14:textId="4448365F" w:rsidR="00C746E8" w:rsidRPr="00900CEC" w:rsidRDefault="00C746E8" w:rsidP="00C746E8">
      <w:pPr>
        <w:numPr>
          <w:ilvl w:val="12"/>
          <w:numId w:val="0"/>
        </w:numPr>
        <w:tabs>
          <w:tab w:val="clear" w:pos="567"/>
        </w:tabs>
        <w:spacing w:line="240" w:lineRule="auto"/>
        <w:ind w:right="-2"/>
        <w:rPr>
          <w:szCs w:val="24"/>
          <w:lang w:val="lt-LT"/>
        </w:rPr>
      </w:pPr>
      <w:r w:rsidRPr="00900CEC">
        <w:rPr>
          <w:szCs w:val="24"/>
          <w:lang w:val="lt-LT"/>
        </w:rPr>
        <w:t>---------------------------------------------------------------------------------------------------------------------------</w:t>
      </w:r>
    </w:p>
    <w:p w14:paraId="2A9B08D9" w14:textId="77777777" w:rsidR="00C746E8" w:rsidRPr="00900CEC" w:rsidRDefault="00C746E8" w:rsidP="00C746E8">
      <w:pPr>
        <w:numPr>
          <w:ilvl w:val="12"/>
          <w:numId w:val="0"/>
        </w:numPr>
        <w:tabs>
          <w:tab w:val="left" w:pos="2657"/>
        </w:tabs>
        <w:spacing w:line="240" w:lineRule="auto"/>
        <w:ind w:right="-28"/>
        <w:rPr>
          <w:szCs w:val="24"/>
          <w:lang w:val="lt-LT"/>
        </w:rPr>
      </w:pPr>
    </w:p>
    <w:p w14:paraId="42B3575C" w14:textId="77777777" w:rsidR="002D3A14" w:rsidRPr="00900CEC" w:rsidRDefault="002D3A14" w:rsidP="002D3A14">
      <w:pPr>
        <w:tabs>
          <w:tab w:val="clear" w:pos="567"/>
        </w:tabs>
        <w:spacing w:line="240" w:lineRule="auto"/>
        <w:rPr>
          <w:lang w:val="lt-LT"/>
        </w:rPr>
      </w:pPr>
      <w:r w:rsidRPr="00900CEC">
        <w:rPr>
          <w:lang w:val="lt-LT"/>
        </w:rPr>
        <w:t>Toliau pateikta informacija skirta tik sveikatos priežiūros specialistams.</w:t>
      </w:r>
    </w:p>
    <w:p w14:paraId="752B3FAE" w14:textId="77777777" w:rsidR="002D3A14" w:rsidRPr="00900CEC" w:rsidRDefault="002D3A14" w:rsidP="002D3A14">
      <w:pPr>
        <w:rPr>
          <w:b/>
          <w:lang w:val="lt-LT"/>
        </w:rPr>
      </w:pPr>
    </w:p>
    <w:p w14:paraId="1736FF8F" w14:textId="64B9B6D5" w:rsidR="002D3A14" w:rsidRPr="00900CEC" w:rsidRDefault="006A24B2" w:rsidP="002D3A14">
      <w:pPr>
        <w:rPr>
          <w:b/>
          <w:lang w:val="lt-LT"/>
        </w:rPr>
      </w:pPr>
      <w:proofErr w:type="spellStart"/>
      <w:r>
        <w:rPr>
          <w:b/>
          <w:lang w:val="lt-LT"/>
        </w:rPr>
        <w:t>Paracetamol</w:t>
      </w:r>
      <w:proofErr w:type="spellEnd"/>
      <w:r>
        <w:rPr>
          <w:b/>
          <w:lang w:val="lt-LT"/>
        </w:rPr>
        <w:t>/</w:t>
      </w:r>
      <w:proofErr w:type="spellStart"/>
      <w:r>
        <w:rPr>
          <w:b/>
          <w:lang w:val="lt-LT"/>
        </w:rPr>
        <w:t>Ibuprofen</w:t>
      </w:r>
      <w:proofErr w:type="spellEnd"/>
      <w:r>
        <w:rPr>
          <w:b/>
          <w:lang w:val="lt-LT"/>
        </w:rPr>
        <w:t xml:space="preserve"> AFT </w:t>
      </w:r>
      <w:proofErr w:type="spellStart"/>
      <w:r>
        <w:rPr>
          <w:b/>
          <w:lang w:val="lt-LT"/>
        </w:rPr>
        <w:t>Pharmaceuticals</w:t>
      </w:r>
      <w:proofErr w:type="spellEnd"/>
      <w:r w:rsidR="002D3A14" w:rsidRPr="00900CEC">
        <w:rPr>
          <w:b/>
          <w:lang w:val="lt-LT"/>
        </w:rPr>
        <w:t xml:space="preserve"> 10</w:t>
      </w:r>
      <w:r w:rsidR="00CC6E43">
        <w:rPr>
          <w:b/>
          <w:lang w:val="lt-LT"/>
        </w:rPr>
        <w:t> </w:t>
      </w:r>
      <w:r w:rsidR="002D3A14" w:rsidRPr="00900CEC">
        <w:rPr>
          <w:b/>
          <w:lang w:val="lt-LT"/>
        </w:rPr>
        <w:t>mg/3</w:t>
      </w:r>
      <w:r w:rsidR="00CC6E43">
        <w:rPr>
          <w:b/>
          <w:lang w:val="lt-LT"/>
        </w:rPr>
        <w:t> </w:t>
      </w:r>
      <w:r w:rsidR="002D3A14" w:rsidRPr="00900CEC">
        <w:rPr>
          <w:b/>
          <w:lang w:val="lt-LT"/>
        </w:rPr>
        <w:t>mg/ml infuzinis tirpalas</w:t>
      </w:r>
    </w:p>
    <w:p w14:paraId="33F6C27A" w14:textId="77777777" w:rsidR="002D3A14" w:rsidRPr="00900CEC" w:rsidRDefault="002D3A14" w:rsidP="002D3A14">
      <w:pPr>
        <w:rPr>
          <w:b/>
          <w:lang w:val="lt-LT"/>
        </w:rPr>
      </w:pPr>
    </w:p>
    <w:p w14:paraId="1C8F9EA2" w14:textId="43A7FBA5" w:rsidR="002D3A14" w:rsidRPr="00900CEC" w:rsidRDefault="002D3A14" w:rsidP="002D3A14">
      <w:pPr>
        <w:tabs>
          <w:tab w:val="clear" w:pos="567"/>
        </w:tabs>
        <w:spacing w:line="240" w:lineRule="auto"/>
        <w:rPr>
          <w:szCs w:val="22"/>
          <w:lang w:val="lt-LT"/>
        </w:rPr>
      </w:pPr>
      <w:r w:rsidRPr="00900CEC">
        <w:rPr>
          <w:szCs w:val="22"/>
          <w:lang w:val="lt-LT"/>
        </w:rPr>
        <w:t>Prieš vartojimą</w:t>
      </w:r>
      <w:r>
        <w:rPr>
          <w:szCs w:val="22"/>
          <w:lang w:val="lt-LT"/>
        </w:rPr>
        <w:t>, jeigu įmanoma,</w:t>
      </w:r>
      <w:r w:rsidRPr="00900CEC">
        <w:rPr>
          <w:szCs w:val="22"/>
          <w:lang w:val="lt-LT"/>
        </w:rPr>
        <w:t xml:space="preserve"> reikia apžiūrėti </w:t>
      </w:r>
      <w:proofErr w:type="spellStart"/>
      <w:r w:rsidR="006A24B2">
        <w:rPr>
          <w:szCs w:val="22"/>
          <w:lang w:val="lt-LT"/>
        </w:rPr>
        <w:t>Paracetamol</w:t>
      </w:r>
      <w:proofErr w:type="spellEnd"/>
      <w:r w:rsidR="006A24B2">
        <w:rPr>
          <w:szCs w:val="22"/>
          <w:lang w:val="lt-LT"/>
        </w:rPr>
        <w:t>/</w:t>
      </w:r>
      <w:proofErr w:type="spellStart"/>
      <w:r w:rsidR="006A24B2">
        <w:rPr>
          <w:szCs w:val="22"/>
          <w:lang w:val="lt-LT"/>
        </w:rPr>
        <w:t>Ibuprofen</w:t>
      </w:r>
      <w:proofErr w:type="spellEnd"/>
      <w:r w:rsidR="006A24B2">
        <w:rPr>
          <w:szCs w:val="22"/>
          <w:lang w:val="lt-LT"/>
        </w:rPr>
        <w:t xml:space="preserve"> AFT </w:t>
      </w:r>
      <w:proofErr w:type="spellStart"/>
      <w:r w:rsidR="006A24B2">
        <w:rPr>
          <w:szCs w:val="22"/>
          <w:lang w:val="lt-LT"/>
        </w:rPr>
        <w:t>Pharmaceuticals</w:t>
      </w:r>
      <w:proofErr w:type="spellEnd"/>
      <w:r w:rsidRPr="00900CEC">
        <w:rPr>
          <w:szCs w:val="22"/>
          <w:lang w:val="lt-LT"/>
        </w:rPr>
        <w:t>, ar nėra dalelių ir ar nepakitusi spalva. Jei pastebimos akivaizdžiai nepermatomos dalelės, pakitusi spalva ar kitos pašalinės dalelės, tirpalo vartoti negalima.</w:t>
      </w:r>
    </w:p>
    <w:p w14:paraId="4CC57E4C" w14:textId="77777777" w:rsidR="002D3A14" w:rsidRPr="00900CEC" w:rsidRDefault="002D3A14" w:rsidP="002D3A14">
      <w:pPr>
        <w:tabs>
          <w:tab w:val="clear" w:pos="567"/>
        </w:tabs>
        <w:spacing w:line="240" w:lineRule="auto"/>
        <w:rPr>
          <w:szCs w:val="22"/>
          <w:lang w:val="lt-LT"/>
        </w:rPr>
      </w:pPr>
    </w:p>
    <w:p w14:paraId="4F8B1475" w14:textId="1E6DC2DC" w:rsidR="002D3A14" w:rsidRPr="00900CEC" w:rsidRDefault="002D3A14" w:rsidP="002D3A14">
      <w:pPr>
        <w:tabs>
          <w:tab w:val="clear" w:pos="567"/>
        </w:tabs>
        <w:spacing w:line="240" w:lineRule="auto"/>
        <w:rPr>
          <w:szCs w:val="22"/>
          <w:lang w:val="lt-LT"/>
        </w:rPr>
      </w:pPr>
      <w:r w:rsidRPr="00900CEC">
        <w:rPr>
          <w:szCs w:val="22"/>
          <w:lang w:val="lt-LT"/>
        </w:rPr>
        <w:t>Nesant suderinamumo tyrimų, šio vaistinio preparato negalima maišyti su skiedikliais. Jei vienai dozei reikia mažiau nei pilno flakono, reikia suleisti reikiamą kiekį, o likusį tirpalą sunaikinti (taip pat žr. 4.2</w:t>
      </w:r>
      <w:r w:rsidR="00CC6E43">
        <w:rPr>
          <w:szCs w:val="22"/>
          <w:lang w:val="lt-LT"/>
        </w:rPr>
        <w:t> </w:t>
      </w:r>
      <w:r w:rsidRPr="00900CEC">
        <w:rPr>
          <w:szCs w:val="22"/>
          <w:lang w:val="lt-LT"/>
        </w:rPr>
        <w:t>skyrių).</w:t>
      </w:r>
    </w:p>
    <w:p w14:paraId="259CA718" w14:textId="77777777" w:rsidR="002D3A14" w:rsidRPr="00900CEC" w:rsidRDefault="002D3A14" w:rsidP="002D3A14">
      <w:pPr>
        <w:tabs>
          <w:tab w:val="clear" w:pos="567"/>
        </w:tabs>
        <w:spacing w:line="240" w:lineRule="auto"/>
        <w:rPr>
          <w:szCs w:val="22"/>
          <w:lang w:val="lt-LT"/>
        </w:rPr>
      </w:pPr>
    </w:p>
    <w:p w14:paraId="05C30E5A" w14:textId="73D92432" w:rsidR="002D3A14" w:rsidRPr="00900CEC" w:rsidRDefault="006A24B2" w:rsidP="002D3A14">
      <w:pPr>
        <w:tabs>
          <w:tab w:val="clear" w:pos="567"/>
        </w:tabs>
        <w:spacing w:line="240" w:lineRule="auto"/>
        <w:rPr>
          <w:szCs w:val="22"/>
          <w:lang w:val="lt-LT"/>
        </w:rPr>
      </w:pPr>
      <w:proofErr w:type="spellStart"/>
      <w:r>
        <w:rPr>
          <w:szCs w:val="22"/>
          <w:lang w:val="lt-LT"/>
        </w:rPr>
        <w:t>Paracetamol</w:t>
      </w:r>
      <w:proofErr w:type="spellEnd"/>
      <w:r>
        <w:rPr>
          <w:szCs w:val="22"/>
          <w:lang w:val="lt-LT"/>
        </w:rPr>
        <w:t>/</w:t>
      </w:r>
      <w:proofErr w:type="spellStart"/>
      <w:r>
        <w:rPr>
          <w:szCs w:val="22"/>
          <w:lang w:val="lt-LT"/>
        </w:rPr>
        <w:t>Ibuprofen</w:t>
      </w:r>
      <w:proofErr w:type="spellEnd"/>
      <w:r>
        <w:rPr>
          <w:szCs w:val="22"/>
          <w:lang w:val="lt-LT"/>
        </w:rPr>
        <w:t xml:space="preserve"> AFT </w:t>
      </w:r>
      <w:proofErr w:type="spellStart"/>
      <w:r>
        <w:rPr>
          <w:szCs w:val="22"/>
          <w:lang w:val="lt-LT"/>
        </w:rPr>
        <w:t>Pharmaceuticals</w:t>
      </w:r>
      <w:proofErr w:type="spellEnd"/>
      <w:r w:rsidR="002D3A14" w:rsidRPr="00900CEC">
        <w:rPr>
          <w:szCs w:val="22"/>
          <w:lang w:val="lt-LT"/>
        </w:rPr>
        <w:t xml:space="preserve"> turi būti vartojamas tik vienu atveju vienam pacientui. Sudėtyje nėra antimikrobinio konservanto. Nesuvartotą tirpalą reikia išmesti.</w:t>
      </w:r>
    </w:p>
    <w:p w14:paraId="270A42E0" w14:textId="77777777" w:rsidR="002D3A14" w:rsidRPr="00900CEC" w:rsidRDefault="002D3A14" w:rsidP="002D3A14">
      <w:pPr>
        <w:rPr>
          <w:b/>
          <w:lang w:val="lt-LT"/>
        </w:rPr>
      </w:pPr>
    </w:p>
    <w:p w14:paraId="4FB45D59" w14:textId="77777777" w:rsidR="002D3A14" w:rsidRPr="00900CEC" w:rsidRDefault="002D3A14" w:rsidP="002D3A14">
      <w:pPr>
        <w:spacing w:line="240" w:lineRule="auto"/>
        <w:rPr>
          <w:szCs w:val="22"/>
          <w:u w:val="single"/>
          <w:lang w:val="lt-LT"/>
        </w:rPr>
      </w:pPr>
      <w:r w:rsidRPr="00900CEC">
        <w:rPr>
          <w:szCs w:val="22"/>
          <w:u w:val="single"/>
          <w:lang w:val="lt-LT"/>
        </w:rPr>
        <w:t xml:space="preserve">Vartojimo metodas </w:t>
      </w:r>
    </w:p>
    <w:p w14:paraId="556DEE3B" w14:textId="6C4E8DCB" w:rsidR="002D3A14" w:rsidRPr="00900CEC" w:rsidRDefault="006A24B2" w:rsidP="002D3A14">
      <w:pPr>
        <w:spacing w:line="240" w:lineRule="auto"/>
        <w:rPr>
          <w:szCs w:val="22"/>
          <w:lang w:val="lt-LT"/>
        </w:rPr>
      </w:pPr>
      <w:proofErr w:type="spellStart"/>
      <w:r>
        <w:rPr>
          <w:szCs w:val="22"/>
          <w:lang w:val="lt-LT"/>
        </w:rPr>
        <w:t>Paracetamol</w:t>
      </w:r>
      <w:proofErr w:type="spellEnd"/>
      <w:r>
        <w:rPr>
          <w:szCs w:val="22"/>
          <w:lang w:val="lt-LT"/>
        </w:rPr>
        <w:t>/</w:t>
      </w:r>
      <w:proofErr w:type="spellStart"/>
      <w:r>
        <w:rPr>
          <w:szCs w:val="22"/>
          <w:lang w:val="lt-LT"/>
        </w:rPr>
        <w:t>Ibuprofen</w:t>
      </w:r>
      <w:proofErr w:type="spellEnd"/>
      <w:r>
        <w:rPr>
          <w:szCs w:val="22"/>
          <w:lang w:val="lt-LT"/>
        </w:rPr>
        <w:t xml:space="preserve"> AFT </w:t>
      </w:r>
      <w:proofErr w:type="spellStart"/>
      <w:r>
        <w:rPr>
          <w:szCs w:val="22"/>
          <w:lang w:val="lt-LT"/>
        </w:rPr>
        <w:t>Pharmaceuticals</w:t>
      </w:r>
      <w:proofErr w:type="spellEnd"/>
      <w:r w:rsidR="002D3A14" w:rsidRPr="00900CEC">
        <w:rPr>
          <w:szCs w:val="22"/>
          <w:lang w:val="lt-LT"/>
        </w:rPr>
        <w:t xml:space="preserve"> turi būti skiriamas kaip 15 min. trukmės intraveninė infuzija.</w:t>
      </w:r>
    </w:p>
    <w:p w14:paraId="75593189" w14:textId="77777777" w:rsidR="002D3A14" w:rsidRPr="00900CEC" w:rsidRDefault="002D3A14" w:rsidP="002D3A14">
      <w:pPr>
        <w:spacing w:line="240" w:lineRule="auto"/>
        <w:rPr>
          <w:szCs w:val="22"/>
          <w:lang w:val="lt-LT"/>
        </w:rPr>
      </w:pPr>
    </w:p>
    <w:p w14:paraId="79CE4861" w14:textId="1CA299DD" w:rsidR="002D3A14" w:rsidRPr="00900CEC" w:rsidRDefault="002D3A14" w:rsidP="002D3A14">
      <w:pPr>
        <w:spacing w:line="240" w:lineRule="auto"/>
        <w:rPr>
          <w:szCs w:val="22"/>
          <w:lang w:val="lt-LT"/>
        </w:rPr>
      </w:pPr>
      <w:r w:rsidRPr="00900CEC">
        <w:rPr>
          <w:szCs w:val="22"/>
          <w:lang w:val="lt-LT"/>
        </w:rPr>
        <w:t>Norėdami ištraukti tirpalą iš flakonų naudokite 0,8 mm adatą (21</w:t>
      </w:r>
      <w:r w:rsidR="00CC6E43">
        <w:rPr>
          <w:szCs w:val="22"/>
          <w:lang w:val="lt-LT"/>
        </w:rPr>
        <w:t> </w:t>
      </w:r>
      <w:r w:rsidRPr="00900CEC">
        <w:rPr>
          <w:szCs w:val="22"/>
          <w:lang w:val="lt-LT"/>
        </w:rPr>
        <w:t>numerio adatą) ir vertikaliai pradurkite kamštį tam nurodytoje vietoje.</w:t>
      </w:r>
    </w:p>
    <w:p w14:paraId="79BBBBED" w14:textId="77777777" w:rsidR="002D3A14" w:rsidRPr="00900CEC" w:rsidRDefault="002D3A14" w:rsidP="002D3A14">
      <w:pPr>
        <w:spacing w:line="240" w:lineRule="auto"/>
        <w:rPr>
          <w:szCs w:val="22"/>
          <w:lang w:val="lt-LT"/>
        </w:rPr>
      </w:pPr>
    </w:p>
    <w:p w14:paraId="32257BB1" w14:textId="24F5632B" w:rsidR="002D3A14" w:rsidRPr="00900CEC" w:rsidRDefault="002D3A14" w:rsidP="002D3A14">
      <w:pPr>
        <w:spacing w:line="240" w:lineRule="auto"/>
        <w:rPr>
          <w:szCs w:val="22"/>
          <w:lang w:val="lt-LT"/>
        </w:rPr>
      </w:pPr>
      <w:r w:rsidRPr="00900CEC">
        <w:rPr>
          <w:szCs w:val="22"/>
          <w:lang w:val="lt-LT"/>
        </w:rPr>
        <w:t>Pacientams, sveriantiems mažiau nei 50</w:t>
      </w:r>
      <w:r w:rsidR="00CC6E43">
        <w:rPr>
          <w:szCs w:val="22"/>
          <w:lang w:val="lt-LT"/>
        </w:rPr>
        <w:t> </w:t>
      </w:r>
      <w:r w:rsidRPr="00900CEC">
        <w:rPr>
          <w:szCs w:val="22"/>
          <w:lang w:val="lt-LT"/>
        </w:rPr>
        <w:t>kg, kuriems nereikia pilno flakono (100 ml), reikia suleisti reikiamą kiekį, o likusį tirpalą išmesti.</w:t>
      </w:r>
    </w:p>
    <w:p w14:paraId="6307143C" w14:textId="77777777" w:rsidR="002D3A14" w:rsidRPr="00900CEC" w:rsidRDefault="002D3A14" w:rsidP="002D3A14">
      <w:pPr>
        <w:spacing w:line="240" w:lineRule="auto"/>
        <w:rPr>
          <w:szCs w:val="22"/>
          <w:lang w:val="lt-LT"/>
        </w:rPr>
      </w:pPr>
    </w:p>
    <w:p w14:paraId="21A020F5" w14:textId="77777777" w:rsidR="002D3A14" w:rsidRPr="00900CEC" w:rsidRDefault="002D3A14" w:rsidP="002D3A14">
      <w:pPr>
        <w:spacing w:line="240" w:lineRule="auto"/>
        <w:rPr>
          <w:szCs w:val="22"/>
          <w:lang w:val="lt-LT"/>
        </w:rPr>
      </w:pPr>
      <w:r w:rsidRPr="00900CEC">
        <w:rPr>
          <w:szCs w:val="22"/>
          <w:lang w:val="lt-LT"/>
        </w:rPr>
        <w:t>Reikia atsiminti, kad kaip ir visais stikliniuose flakonuose esančių infuzinių tirpalų vartojimo atvejais, infuziją reikia atidžiai stebėti, ypač jos pabaigoje, nepriklausomai nuo vartojimo būdo. Šis stebėjimas perfuzijos pabaigoje ypač taikomas infuzijai centriniu būdu, siekiant išvengti oro embolijos.</w:t>
      </w:r>
    </w:p>
    <w:p w14:paraId="0F3D5EF4" w14:textId="77777777" w:rsidR="00C746E8" w:rsidRPr="00900CEC" w:rsidRDefault="00C746E8" w:rsidP="00C746E8">
      <w:pPr>
        <w:tabs>
          <w:tab w:val="clear" w:pos="567"/>
        </w:tabs>
        <w:spacing w:line="240" w:lineRule="auto"/>
        <w:rPr>
          <w:lang w:val="lt-LT"/>
        </w:rPr>
      </w:pPr>
    </w:p>
    <w:sectPr w:rsidR="00C746E8" w:rsidRPr="00900CEC" w:rsidSect="00520916">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0B7F" w14:textId="77777777" w:rsidR="000C1F93" w:rsidRDefault="000C1F93" w:rsidP="006655F6">
      <w:pPr>
        <w:spacing w:line="240" w:lineRule="auto"/>
      </w:pPr>
      <w:r>
        <w:separator/>
      </w:r>
    </w:p>
  </w:endnote>
  <w:endnote w:type="continuationSeparator" w:id="0">
    <w:p w14:paraId="2F627D3F" w14:textId="77777777" w:rsidR="000C1F93" w:rsidRDefault="000C1F93" w:rsidP="006655F6">
      <w:pPr>
        <w:spacing w:line="240" w:lineRule="auto"/>
      </w:pPr>
      <w:r>
        <w:continuationSeparator/>
      </w:r>
    </w:p>
  </w:endnote>
  <w:endnote w:type="continuationNotice" w:id="1">
    <w:p w14:paraId="6D456A7A" w14:textId="77777777" w:rsidR="000C1F93" w:rsidRDefault="000C1F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OpenSymbol">
    <w:altName w:val="MS Gothic"/>
    <w:charset w:val="00"/>
    <w:family w:val="auto"/>
    <w:pitch w:val="variable"/>
    <w:sig w:usb0="00000003"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24D1" w14:textId="77777777" w:rsidR="00850ED9" w:rsidRDefault="00850ED9" w:rsidP="002B15A1">
    <w:pPr>
      <w:pStyle w:val="Porat"/>
      <w:framePr w:wrap="around"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594B5771" w14:textId="77777777" w:rsidR="00850ED9" w:rsidRDefault="00850ED9" w:rsidP="006655F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219076"/>
      <w:docPartObj>
        <w:docPartGallery w:val="Page Numbers (Bottom of Page)"/>
        <w:docPartUnique/>
      </w:docPartObj>
    </w:sdtPr>
    <w:sdtEndPr>
      <w:rPr>
        <w:noProof/>
      </w:rPr>
    </w:sdtEndPr>
    <w:sdtContent>
      <w:p w14:paraId="2F359A81" w14:textId="3D06D6C3" w:rsidR="00850ED9" w:rsidRDefault="00850ED9" w:rsidP="00900CEC">
        <w:pPr>
          <w:pStyle w:val="Porat"/>
          <w:jc w:val="center"/>
        </w:pPr>
        <w:r w:rsidRPr="00900CEC">
          <w:rPr>
            <w:rFonts w:ascii="Arial" w:hAnsi="Arial" w:cs="Arial"/>
            <w:sz w:val="18"/>
            <w:szCs w:val="16"/>
          </w:rPr>
          <w:fldChar w:fldCharType="begin"/>
        </w:r>
        <w:r w:rsidRPr="00900CEC">
          <w:rPr>
            <w:rFonts w:ascii="Arial" w:hAnsi="Arial" w:cs="Arial"/>
            <w:sz w:val="18"/>
            <w:szCs w:val="16"/>
          </w:rPr>
          <w:instrText xml:space="preserve"> PAGE   \* MERGEFORMAT </w:instrText>
        </w:r>
        <w:r w:rsidRPr="00900CEC">
          <w:rPr>
            <w:rFonts w:ascii="Arial" w:hAnsi="Arial" w:cs="Arial"/>
            <w:sz w:val="18"/>
            <w:szCs w:val="16"/>
          </w:rPr>
          <w:fldChar w:fldCharType="separate"/>
        </w:r>
        <w:r w:rsidR="001379E9">
          <w:rPr>
            <w:rFonts w:ascii="Arial" w:hAnsi="Arial" w:cs="Arial"/>
            <w:noProof/>
            <w:sz w:val="18"/>
            <w:szCs w:val="16"/>
          </w:rPr>
          <w:t>2</w:t>
        </w:r>
        <w:r w:rsidRPr="00900CEC">
          <w:rPr>
            <w:rFonts w:ascii="Arial" w:hAnsi="Arial" w:cs="Arial"/>
            <w:noProof/>
            <w:sz w:val="18"/>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C5500" w14:textId="77777777" w:rsidR="000C1F93" w:rsidRDefault="000C1F93" w:rsidP="006655F6">
      <w:pPr>
        <w:spacing w:line="240" w:lineRule="auto"/>
      </w:pPr>
      <w:r>
        <w:separator/>
      </w:r>
    </w:p>
  </w:footnote>
  <w:footnote w:type="continuationSeparator" w:id="0">
    <w:p w14:paraId="7E2CB7E5" w14:textId="77777777" w:rsidR="000C1F93" w:rsidRDefault="000C1F93" w:rsidP="006655F6">
      <w:pPr>
        <w:spacing w:line="240" w:lineRule="auto"/>
      </w:pPr>
      <w:r>
        <w:continuationSeparator/>
      </w:r>
    </w:p>
  </w:footnote>
  <w:footnote w:type="continuationNotice" w:id="1">
    <w:p w14:paraId="204F3C02" w14:textId="77777777" w:rsidR="000C1F93" w:rsidRDefault="000C1F9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Symbol"/>
      </w:rPr>
    </w:lvl>
    <w:lvl w:ilvl="1">
      <w:start w:val="1"/>
      <w:numFmt w:val="bullet"/>
      <w:lvlText w:val=""/>
      <w:lvlJc w:val="left"/>
      <w:pPr>
        <w:tabs>
          <w:tab w:val="num" w:pos="283"/>
        </w:tabs>
        <w:ind w:left="283" w:hanging="283"/>
      </w:pPr>
      <w:rPr>
        <w:rFonts w:ascii="Symbol" w:hAnsi="Symbol" w:cs="Symbol"/>
      </w:rPr>
    </w:lvl>
    <w:lvl w:ilvl="2">
      <w:start w:val="1"/>
      <w:numFmt w:val="bullet"/>
      <w:lvlText w:val=""/>
      <w:lvlJc w:val="left"/>
      <w:pPr>
        <w:tabs>
          <w:tab w:val="num" w:pos="283"/>
        </w:tabs>
        <w:ind w:left="283" w:hanging="283"/>
      </w:pPr>
      <w:rPr>
        <w:rFonts w:ascii="Symbol" w:hAnsi="Symbol" w:cs="Symbol"/>
      </w:rPr>
    </w:lvl>
    <w:lvl w:ilvl="3">
      <w:start w:val="1"/>
      <w:numFmt w:val="bullet"/>
      <w:lvlText w:val=""/>
      <w:lvlJc w:val="left"/>
      <w:pPr>
        <w:tabs>
          <w:tab w:val="num" w:pos="283"/>
        </w:tabs>
        <w:ind w:left="283" w:hanging="283"/>
      </w:pPr>
      <w:rPr>
        <w:rFonts w:ascii="Symbol" w:hAnsi="Symbol" w:cs="Symbol"/>
      </w:rPr>
    </w:lvl>
    <w:lvl w:ilvl="4">
      <w:start w:val="1"/>
      <w:numFmt w:val="bullet"/>
      <w:lvlText w:val=""/>
      <w:lvlJc w:val="left"/>
      <w:pPr>
        <w:tabs>
          <w:tab w:val="num" w:pos="283"/>
        </w:tabs>
        <w:ind w:left="283" w:hanging="283"/>
      </w:pPr>
      <w:rPr>
        <w:rFonts w:ascii="Symbol" w:hAnsi="Symbol" w:cs="Symbol"/>
      </w:rPr>
    </w:lvl>
    <w:lvl w:ilvl="5">
      <w:start w:val="1"/>
      <w:numFmt w:val="bullet"/>
      <w:lvlText w:val=""/>
      <w:lvlJc w:val="left"/>
      <w:pPr>
        <w:tabs>
          <w:tab w:val="num" w:pos="283"/>
        </w:tabs>
        <w:ind w:left="283" w:hanging="283"/>
      </w:pPr>
      <w:rPr>
        <w:rFonts w:ascii="Symbol" w:hAnsi="Symbol" w:cs="Symbol"/>
      </w:rPr>
    </w:lvl>
    <w:lvl w:ilvl="6">
      <w:start w:val="1"/>
      <w:numFmt w:val="bullet"/>
      <w:lvlText w:val=""/>
      <w:lvlJc w:val="left"/>
      <w:pPr>
        <w:tabs>
          <w:tab w:val="num" w:pos="283"/>
        </w:tabs>
        <w:ind w:left="283" w:hanging="283"/>
      </w:pPr>
      <w:rPr>
        <w:rFonts w:ascii="Symbol" w:hAnsi="Symbol" w:cs="Symbol"/>
      </w:rPr>
    </w:lvl>
    <w:lvl w:ilvl="7">
      <w:start w:val="1"/>
      <w:numFmt w:val="bullet"/>
      <w:lvlText w:val=""/>
      <w:lvlJc w:val="left"/>
      <w:pPr>
        <w:tabs>
          <w:tab w:val="num" w:pos="283"/>
        </w:tabs>
        <w:ind w:left="283" w:hanging="283"/>
      </w:pPr>
      <w:rPr>
        <w:rFonts w:ascii="Symbol" w:hAnsi="Symbol" w:cs="Symbol"/>
      </w:rPr>
    </w:lvl>
    <w:lvl w:ilvl="8">
      <w:start w:val="1"/>
      <w:numFmt w:val="bullet"/>
      <w:lvlText w:val=""/>
      <w:lvlJc w:val="left"/>
      <w:pPr>
        <w:tabs>
          <w:tab w:val="num" w:pos="283"/>
        </w:tabs>
        <w:ind w:left="283" w:hanging="283"/>
      </w:pPr>
      <w:rPr>
        <w:rFonts w:ascii="Symbol" w:hAnsi="Symbol" w:cs="Symbol"/>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Wingdings" w:hAnsi="Wingdings" w:cs="Symbol"/>
      </w:rPr>
    </w:lvl>
    <w:lvl w:ilvl="1">
      <w:start w:val="1"/>
      <w:numFmt w:val="bullet"/>
      <w:lvlText w:val=""/>
      <w:lvlJc w:val="left"/>
      <w:pPr>
        <w:tabs>
          <w:tab w:val="num" w:pos="363"/>
        </w:tabs>
        <w:ind w:left="363" w:hanging="363"/>
      </w:pPr>
      <w:rPr>
        <w:rFonts w:ascii="Symbol" w:hAnsi="Symbol" w:cs="Courier New"/>
      </w:rPr>
    </w:lvl>
    <w:lvl w:ilvl="2">
      <w:start w:val="1"/>
      <w:numFmt w:val="bullet"/>
      <w:lvlText w:val=""/>
      <w:lvlJc w:val="left"/>
      <w:pPr>
        <w:tabs>
          <w:tab w:val="num" w:pos="363"/>
        </w:tabs>
        <w:ind w:left="363" w:hanging="363"/>
      </w:pPr>
      <w:rPr>
        <w:rFonts w:ascii="Symbol" w:hAnsi="Symbol" w:cs="Courier New"/>
      </w:rPr>
    </w:lvl>
    <w:lvl w:ilvl="3">
      <w:start w:val="1"/>
      <w:numFmt w:val="bullet"/>
      <w:lvlText w:val=""/>
      <w:lvlJc w:val="left"/>
      <w:pPr>
        <w:tabs>
          <w:tab w:val="num" w:pos="363"/>
        </w:tabs>
        <w:ind w:left="363" w:hanging="363"/>
      </w:pPr>
      <w:rPr>
        <w:rFonts w:ascii="Symbol" w:hAnsi="Symbol" w:cs="Courier New"/>
      </w:rPr>
    </w:lvl>
    <w:lvl w:ilvl="4">
      <w:start w:val="1"/>
      <w:numFmt w:val="bullet"/>
      <w:lvlText w:val=""/>
      <w:lvlJc w:val="left"/>
      <w:pPr>
        <w:tabs>
          <w:tab w:val="num" w:pos="363"/>
        </w:tabs>
        <w:ind w:left="363" w:hanging="363"/>
      </w:pPr>
      <w:rPr>
        <w:rFonts w:ascii="Symbol" w:hAnsi="Symbol" w:cs="Courier New"/>
      </w:rPr>
    </w:lvl>
    <w:lvl w:ilvl="5">
      <w:start w:val="1"/>
      <w:numFmt w:val="bullet"/>
      <w:lvlText w:val=""/>
      <w:lvlJc w:val="left"/>
      <w:pPr>
        <w:tabs>
          <w:tab w:val="num" w:pos="363"/>
        </w:tabs>
        <w:ind w:left="363" w:hanging="363"/>
      </w:pPr>
      <w:rPr>
        <w:rFonts w:ascii="Symbol" w:hAnsi="Symbol" w:cs="Courier New"/>
      </w:rPr>
    </w:lvl>
    <w:lvl w:ilvl="6">
      <w:start w:val="1"/>
      <w:numFmt w:val="bullet"/>
      <w:lvlText w:val=""/>
      <w:lvlJc w:val="left"/>
      <w:pPr>
        <w:tabs>
          <w:tab w:val="num" w:pos="363"/>
        </w:tabs>
        <w:ind w:left="363" w:hanging="363"/>
      </w:pPr>
      <w:rPr>
        <w:rFonts w:ascii="Symbol" w:hAnsi="Symbol" w:cs="Courier New"/>
      </w:rPr>
    </w:lvl>
    <w:lvl w:ilvl="7">
      <w:start w:val="1"/>
      <w:numFmt w:val="bullet"/>
      <w:lvlText w:val=""/>
      <w:lvlJc w:val="left"/>
      <w:pPr>
        <w:tabs>
          <w:tab w:val="num" w:pos="363"/>
        </w:tabs>
        <w:ind w:left="363" w:hanging="363"/>
      </w:pPr>
      <w:rPr>
        <w:rFonts w:ascii="Symbol" w:hAnsi="Symbol" w:cs="Courier New"/>
      </w:rPr>
    </w:lvl>
    <w:lvl w:ilvl="8">
      <w:start w:val="1"/>
      <w:numFmt w:val="bullet"/>
      <w:lvlText w:val=""/>
      <w:lvlJc w:val="left"/>
      <w:pPr>
        <w:tabs>
          <w:tab w:val="num" w:pos="363"/>
        </w:tabs>
        <w:ind w:left="363" w:hanging="363"/>
      </w:pPr>
      <w:rPr>
        <w:rFonts w:ascii="Symbol" w:hAnsi="Symbol" w:cs="Courier New"/>
      </w:rPr>
    </w:lvl>
  </w:abstractNum>
  <w:abstractNum w:abstractNumId="3" w15:restartNumberingAfterBreak="0">
    <w:nsid w:val="0000000B"/>
    <w:multiLevelType w:val="singleLevel"/>
    <w:tmpl w:val="0000000B"/>
    <w:name w:val="WW8Num37"/>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C"/>
    <w:multiLevelType w:val="singleLevel"/>
    <w:tmpl w:val="0000000C"/>
    <w:lvl w:ilvl="0">
      <w:numFmt w:val="bullet"/>
      <w:lvlText w:val="-"/>
      <w:lvlJc w:val="left"/>
      <w:pPr>
        <w:tabs>
          <w:tab w:val="num" w:pos="360"/>
        </w:tabs>
        <w:ind w:left="360" w:hanging="360"/>
      </w:pPr>
      <w:rPr>
        <w:rFonts w:ascii="OpenSymbol" w:hAnsi="OpenSymbol"/>
      </w:rPr>
    </w:lvl>
  </w:abstractNum>
  <w:abstractNum w:abstractNumId="5" w15:restartNumberingAfterBreak="0">
    <w:nsid w:val="015840EC"/>
    <w:multiLevelType w:val="hybridMultilevel"/>
    <w:tmpl w:val="E362B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6129BA"/>
    <w:multiLevelType w:val="hybridMultilevel"/>
    <w:tmpl w:val="DA4C43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553D20"/>
    <w:multiLevelType w:val="hybridMultilevel"/>
    <w:tmpl w:val="4E5C80AA"/>
    <w:lvl w:ilvl="0" w:tplc="0000000C">
      <w:numFmt w:val="bullet"/>
      <w:lvlText w:val="-"/>
      <w:lvlJc w:val="left"/>
      <w:pPr>
        <w:ind w:left="720" w:hanging="360"/>
      </w:pPr>
      <w:rPr>
        <w:rFonts w:ascii="OpenSymbol" w:hAnsi="Open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E5217B"/>
    <w:multiLevelType w:val="hybridMultilevel"/>
    <w:tmpl w:val="542A5A28"/>
    <w:lvl w:ilvl="0" w:tplc="0000000C">
      <w:numFmt w:val="bullet"/>
      <w:lvlText w:val="-"/>
      <w:lvlJc w:val="left"/>
      <w:pPr>
        <w:ind w:left="720" w:hanging="360"/>
      </w:pPr>
      <w:rPr>
        <w:rFonts w:ascii="OpenSymbol" w:hAnsi="Open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8286CD2"/>
    <w:multiLevelType w:val="hybridMultilevel"/>
    <w:tmpl w:val="6764D452"/>
    <w:lvl w:ilvl="0" w:tplc="B8145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E7516"/>
    <w:multiLevelType w:val="hybridMultilevel"/>
    <w:tmpl w:val="1D92E252"/>
    <w:lvl w:ilvl="0" w:tplc="0000000C">
      <w:numFmt w:val="bullet"/>
      <w:lvlText w:val="-"/>
      <w:lvlJc w:val="left"/>
      <w:pPr>
        <w:ind w:left="720" w:hanging="360"/>
      </w:pPr>
      <w:rPr>
        <w:rFonts w:ascii="OpenSymbol" w:hAnsi="Open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F1142"/>
    <w:multiLevelType w:val="hybridMultilevel"/>
    <w:tmpl w:val="3CC015EC"/>
    <w:lvl w:ilvl="0" w:tplc="45100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661BA"/>
    <w:multiLevelType w:val="hybridMultilevel"/>
    <w:tmpl w:val="3F0E8A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FF34CEB"/>
    <w:multiLevelType w:val="hybridMultilevel"/>
    <w:tmpl w:val="31ECAE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0351C19"/>
    <w:multiLevelType w:val="hybridMultilevel"/>
    <w:tmpl w:val="5552AB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D3268"/>
    <w:multiLevelType w:val="hybridMultilevel"/>
    <w:tmpl w:val="17740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13D12F5"/>
    <w:multiLevelType w:val="hybridMultilevel"/>
    <w:tmpl w:val="F42A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0360C"/>
    <w:multiLevelType w:val="hybridMultilevel"/>
    <w:tmpl w:val="3858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26BF1"/>
    <w:multiLevelType w:val="hybridMultilevel"/>
    <w:tmpl w:val="8DC0797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C69E5"/>
    <w:multiLevelType w:val="hybridMultilevel"/>
    <w:tmpl w:val="86E69C7C"/>
    <w:lvl w:ilvl="0" w:tplc="7FB01A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05E07"/>
    <w:multiLevelType w:val="hybridMultilevel"/>
    <w:tmpl w:val="174C43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D103355"/>
    <w:multiLevelType w:val="hybridMultilevel"/>
    <w:tmpl w:val="5CA48E8C"/>
    <w:lvl w:ilvl="0" w:tplc="163081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16222A"/>
    <w:multiLevelType w:val="hybridMultilevel"/>
    <w:tmpl w:val="C9A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23F2E"/>
    <w:multiLevelType w:val="hybridMultilevel"/>
    <w:tmpl w:val="065C5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0281A7E"/>
    <w:multiLevelType w:val="hybridMultilevel"/>
    <w:tmpl w:val="EFC6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06047"/>
    <w:multiLevelType w:val="hybridMultilevel"/>
    <w:tmpl w:val="83A4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B303B1"/>
    <w:multiLevelType w:val="hybridMultilevel"/>
    <w:tmpl w:val="98E070DE"/>
    <w:lvl w:ilvl="0" w:tplc="C3B80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641A4"/>
    <w:multiLevelType w:val="hybridMultilevel"/>
    <w:tmpl w:val="E196ED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69F350EC"/>
    <w:multiLevelType w:val="hybridMultilevel"/>
    <w:tmpl w:val="5C825E06"/>
    <w:lvl w:ilvl="0" w:tplc="0000000C">
      <w:numFmt w:val="bullet"/>
      <w:lvlText w:val="-"/>
      <w:lvlJc w:val="left"/>
      <w:pPr>
        <w:ind w:left="720" w:hanging="360"/>
      </w:pPr>
      <w:rPr>
        <w:rFonts w:ascii="OpenSymbol" w:hAnsi="Open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DE05B6"/>
    <w:multiLevelType w:val="hybridMultilevel"/>
    <w:tmpl w:val="5F64FE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9CC5813"/>
    <w:multiLevelType w:val="hybridMultilevel"/>
    <w:tmpl w:val="1356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A2348"/>
    <w:multiLevelType w:val="hybridMultilevel"/>
    <w:tmpl w:val="7846B4E0"/>
    <w:lvl w:ilvl="0" w:tplc="084C9D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8662EA"/>
    <w:multiLevelType w:val="hybridMultilevel"/>
    <w:tmpl w:val="E15E51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44429795">
    <w:abstractNumId w:val="6"/>
  </w:num>
  <w:num w:numId="2" w16cid:durableId="1039819102">
    <w:abstractNumId w:val="30"/>
  </w:num>
  <w:num w:numId="3" w16cid:durableId="595985592">
    <w:abstractNumId w:val="0"/>
    <w:lvlOverride w:ilvl="0">
      <w:lvl w:ilvl="0">
        <w:start w:val="1"/>
        <w:numFmt w:val="bullet"/>
        <w:lvlText w:val="-"/>
        <w:lvlJc w:val="left"/>
        <w:pPr>
          <w:ind w:left="360" w:hanging="360"/>
        </w:pPr>
      </w:lvl>
    </w:lvlOverride>
  </w:num>
  <w:num w:numId="4" w16cid:durableId="1342272187">
    <w:abstractNumId w:val="0"/>
    <w:lvlOverride w:ilvl="0">
      <w:lvl w:ilvl="0">
        <w:start w:val="1"/>
        <w:numFmt w:val="bullet"/>
        <w:lvlText w:val=""/>
        <w:lvlJc w:val="left"/>
        <w:pPr>
          <w:ind w:left="360" w:hanging="360"/>
        </w:pPr>
        <w:rPr>
          <w:rFonts w:ascii="Symbol" w:hAnsi="Symbol" w:hint="default"/>
        </w:rPr>
      </w:lvl>
    </w:lvlOverride>
  </w:num>
  <w:num w:numId="5" w16cid:durableId="1185899416">
    <w:abstractNumId w:val="0"/>
    <w:lvlOverride w:ilvl="0">
      <w:lvl w:ilvl="0">
        <w:start w:val="1"/>
        <w:numFmt w:val="bullet"/>
        <w:lvlText w:val="-"/>
        <w:lvlJc w:val="left"/>
        <w:pPr>
          <w:ind w:left="360" w:hanging="360"/>
        </w:pPr>
      </w:lvl>
    </w:lvlOverride>
  </w:num>
  <w:num w:numId="6" w16cid:durableId="1060707890">
    <w:abstractNumId w:val="3"/>
  </w:num>
  <w:num w:numId="7" w16cid:durableId="1916237403">
    <w:abstractNumId w:val="1"/>
  </w:num>
  <w:num w:numId="8" w16cid:durableId="175926553">
    <w:abstractNumId w:val="13"/>
  </w:num>
  <w:num w:numId="9" w16cid:durableId="1604921541">
    <w:abstractNumId w:val="24"/>
  </w:num>
  <w:num w:numId="10" w16cid:durableId="1895391921">
    <w:abstractNumId w:val="4"/>
  </w:num>
  <w:num w:numId="11" w16cid:durableId="831413105">
    <w:abstractNumId w:val="2"/>
  </w:num>
  <w:num w:numId="12" w16cid:durableId="2018194440">
    <w:abstractNumId w:val="31"/>
  </w:num>
  <w:num w:numId="13" w16cid:durableId="318120573">
    <w:abstractNumId w:val="14"/>
  </w:num>
  <w:num w:numId="14" w16cid:durableId="315498395">
    <w:abstractNumId w:val="34"/>
  </w:num>
  <w:num w:numId="15" w16cid:durableId="256600525">
    <w:abstractNumId w:val="28"/>
  </w:num>
  <w:num w:numId="16" w16cid:durableId="1694115361">
    <w:abstractNumId w:val="7"/>
  </w:num>
  <w:num w:numId="17" w16cid:durableId="193815831">
    <w:abstractNumId w:val="21"/>
  </w:num>
  <w:num w:numId="18" w16cid:durableId="391200590">
    <w:abstractNumId w:val="33"/>
  </w:num>
  <w:num w:numId="19" w16cid:durableId="1274824684">
    <w:abstractNumId w:val="19"/>
  </w:num>
  <w:num w:numId="20" w16cid:durableId="1158955274">
    <w:abstractNumId w:val="16"/>
  </w:num>
  <w:num w:numId="21" w16cid:durableId="704134836">
    <w:abstractNumId w:val="26"/>
  </w:num>
  <w:num w:numId="22" w16cid:durableId="1759862104">
    <w:abstractNumId w:val="12"/>
  </w:num>
  <w:num w:numId="23" w16cid:durableId="940338613">
    <w:abstractNumId w:val="18"/>
  </w:num>
  <w:num w:numId="24" w16cid:durableId="1365907087">
    <w:abstractNumId w:val="17"/>
  </w:num>
  <w:num w:numId="25" w16cid:durableId="1317955907">
    <w:abstractNumId w:val="10"/>
  </w:num>
  <w:num w:numId="26" w16cid:durableId="104548360">
    <w:abstractNumId w:val="32"/>
  </w:num>
  <w:num w:numId="27" w16cid:durableId="282424728">
    <w:abstractNumId w:val="27"/>
  </w:num>
  <w:num w:numId="28" w16cid:durableId="1663462023">
    <w:abstractNumId w:val="5"/>
  </w:num>
  <w:num w:numId="29" w16cid:durableId="1388844438">
    <w:abstractNumId w:val="9"/>
  </w:num>
  <w:num w:numId="30" w16cid:durableId="2042433275">
    <w:abstractNumId w:val="8"/>
  </w:num>
  <w:num w:numId="31" w16cid:durableId="465976167">
    <w:abstractNumId w:val="29"/>
  </w:num>
  <w:num w:numId="32" w16cid:durableId="1857958428">
    <w:abstractNumId w:val="22"/>
  </w:num>
  <w:num w:numId="33" w16cid:durableId="2025941430">
    <w:abstractNumId w:val="25"/>
  </w:num>
  <w:num w:numId="34" w16cid:durableId="1388992781">
    <w:abstractNumId w:val="11"/>
  </w:num>
  <w:num w:numId="35" w16cid:durableId="1069501846">
    <w:abstractNumId w:val="15"/>
  </w:num>
  <w:num w:numId="36" w16cid:durableId="1556817501">
    <w:abstractNumId w:val="23"/>
  </w:num>
  <w:num w:numId="37" w16cid:durableId="30705114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0EDA"/>
    <w:rsid w:val="00006EC2"/>
    <w:rsid w:val="00012C72"/>
    <w:rsid w:val="00012FD2"/>
    <w:rsid w:val="0001367B"/>
    <w:rsid w:val="00013A8F"/>
    <w:rsid w:val="00014485"/>
    <w:rsid w:val="0001506F"/>
    <w:rsid w:val="000169C1"/>
    <w:rsid w:val="00030255"/>
    <w:rsid w:val="00031B79"/>
    <w:rsid w:val="000330C0"/>
    <w:rsid w:val="00033BA3"/>
    <w:rsid w:val="00036936"/>
    <w:rsid w:val="00041669"/>
    <w:rsid w:val="000443F8"/>
    <w:rsid w:val="0004633F"/>
    <w:rsid w:val="00050126"/>
    <w:rsid w:val="00053F5C"/>
    <w:rsid w:val="000552C5"/>
    <w:rsid w:val="000558A1"/>
    <w:rsid w:val="0005761B"/>
    <w:rsid w:val="00060A31"/>
    <w:rsid w:val="00061084"/>
    <w:rsid w:val="00062895"/>
    <w:rsid w:val="00066628"/>
    <w:rsid w:val="00066E30"/>
    <w:rsid w:val="00067D62"/>
    <w:rsid w:val="00076910"/>
    <w:rsid w:val="0007758F"/>
    <w:rsid w:val="0008159A"/>
    <w:rsid w:val="00081C37"/>
    <w:rsid w:val="000839DC"/>
    <w:rsid w:val="00086EBA"/>
    <w:rsid w:val="000910AB"/>
    <w:rsid w:val="0009156B"/>
    <w:rsid w:val="0009262D"/>
    <w:rsid w:val="000974A4"/>
    <w:rsid w:val="000A09DD"/>
    <w:rsid w:val="000A0A6D"/>
    <w:rsid w:val="000A2881"/>
    <w:rsid w:val="000A2CA2"/>
    <w:rsid w:val="000A58F3"/>
    <w:rsid w:val="000A5AE8"/>
    <w:rsid w:val="000A61F5"/>
    <w:rsid w:val="000A6C26"/>
    <w:rsid w:val="000A7452"/>
    <w:rsid w:val="000A79DC"/>
    <w:rsid w:val="000B0EEA"/>
    <w:rsid w:val="000B1F3C"/>
    <w:rsid w:val="000B2426"/>
    <w:rsid w:val="000C1F93"/>
    <w:rsid w:val="000C280B"/>
    <w:rsid w:val="000C2FF0"/>
    <w:rsid w:val="000C30F9"/>
    <w:rsid w:val="000C39D8"/>
    <w:rsid w:val="000D194C"/>
    <w:rsid w:val="000D31CA"/>
    <w:rsid w:val="000D6971"/>
    <w:rsid w:val="000E0497"/>
    <w:rsid w:val="000E0ADB"/>
    <w:rsid w:val="000E1B7A"/>
    <w:rsid w:val="000E1FF9"/>
    <w:rsid w:val="000F0974"/>
    <w:rsid w:val="001010B6"/>
    <w:rsid w:val="001020AD"/>
    <w:rsid w:val="00103BA8"/>
    <w:rsid w:val="00104B75"/>
    <w:rsid w:val="00104E89"/>
    <w:rsid w:val="001061C2"/>
    <w:rsid w:val="001079E8"/>
    <w:rsid w:val="00115462"/>
    <w:rsid w:val="0011669E"/>
    <w:rsid w:val="00116760"/>
    <w:rsid w:val="00121FCF"/>
    <w:rsid w:val="001269F7"/>
    <w:rsid w:val="00126F6D"/>
    <w:rsid w:val="00127249"/>
    <w:rsid w:val="00127DF0"/>
    <w:rsid w:val="001301AD"/>
    <w:rsid w:val="001351E9"/>
    <w:rsid w:val="00135DF1"/>
    <w:rsid w:val="001379E9"/>
    <w:rsid w:val="001379EE"/>
    <w:rsid w:val="00140B85"/>
    <w:rsid w:val="0014151D"/>
    <w:rsid w:val="00141EC8"/>
    <w:rsid w:val="001427F2"/>
    <w:rsid w:val="00146C3C"/>
    <w:rsid w:val="001474A1"/>
    <w:rsid w:val="00147B73"/>
    <w:rsid w:val="001532E7"/>
    <w:rsid w:val="00157B9A"/>
    <w:rsid w:val="001603C9"/>
    <w:rsid w:val="00163D77"/>
    <w:rsid w:val="0016746D"/>
    <w:rsid w:val="001706F0"/>
    <w:rsid w:val="00173BE8"/>
    <w:rsid w:val="0017538E"/>
    <w:rsid w:val="001762AB"/>
    <w:rsid w:val="001764CB"/>
    <w:rsid w:val="0018019B"/>
    <w:rsid w:val="001813F5"/>
    <w:rsid w:val="00182E4A"/>
    <w:rsid w:val="00183318"/>
    <w:rsid w:val="00183EFA"/>
    <w:rsid w:val="00184C8B"/>
    <w:rsid w:val="00185CF5"/>
    <w:rsid w:val="001907C8"/>
    <w:rsid w:val="0019082B"/>
    <w:rsid w:val="00194C7A"/>
    <w:rsid w:val="00195134"/>
    <w:rsid w:val="00195A81"/>
    <w:rsid w:val="00197163"/>
    <w:rsid w:val="00197E5B"/>
    <w:rsid w:val="001A01CF"/>
    <w:rsid w:val="001A3707"/>
    <w:rsid w:val="001A3DF1"/>
    <w:rsid w:val="001A4353"/>
    <w:rsid w:val="001A487B"/>
    <w:rsid w:val="001B0228"/>
    <w:rsid w:val="001B0A66"/>
    <w:rsid w:val="001C10D8"/>
    <w:rsid w:val="001C1E12"/>
    <w:rsid w:val="001C1EC0"/>
    <w:rsid w:val="001C30D2"/>
    <w:rsid w:val="001C4831"/>
    <w:rsid w:val="001D4025"/>
    <w:rsid w:val="001D49D9"/>
    <w:rsid w:val="001E2529"/>
    <w:rsid w:val="001E6D09"/>
    <w:rsid w:val="001F026B"/>
    <w:rsid w:val="001F10B8"/>
    <w:rsid w:val="001F5CED"/>
    <w:rsid w:val="001F6C0C"/>
    <w:rsid w:val="001F6ED4"/>
    <w:rsid w:val="001F7292"/>
    <w:rsid w:val="00201EF5"/>
    <w:rsid w:val="00202537"/>
    <w:rsid w:val="00214C54"/>
    <w:rsid w:val="00214F47"/>
    <w:rsid w:val="00225F67"/>
    <w:rsid w:val="002268F6"/>
    <w:rsid w:val="00232105"/>
    <w:rsid w:val="00232554"/>
    <w:rsid w:val="002365CA"/>
    <w:rsid w:val="0024037B"/>
    <w:rsid w:val="00242FD8"/>
    <w:rsid w:val="002442B8"/>
    <w:rsid w:val="00251360"/>
    <w:rsid w:val="002545A4"/>
    <w:rsid w:val="002618E4"/>
    <w:rsid w:val="002657B7"/>
    <w:rsid w:val="0026748E"/>
    <w:rsid w:val="00267653"/>
    <w:rsid w:val="0027725E"/>
    <w:rsid w:val="0028350E"/>
    <w:rsid w:val="002840D0"/>
    <w:rsid w:val="0028593C"/>
    <w:rsid w:val="002925AA"/>
    <w:rsid w:val="0029267E"/>
    <w:rsid w:val="002926F4"/>
    <w:rsid w:val="0029527E"/>
    <w:rsid w:val="00297FA9"/>
    <w:rsid w:val="002A1182"/>
    <w:rsid w:val="002A6D84"/>
    <w:rsid w:val="002B15A1"/>
    <w:rsid w:val="002B6186"/>
    <w:rsid w:val="002C2768"/>
    <w:rsid w:val="002D10AF"/>
    <w:rsid w:val="002D2AD8"/>
    <w:rsid w:val="002D3A14"/>
    <w:rsid w:val="002D5EED"/>
    <w:rsid w:val="002D65EB"/>
    <w:rsid w:val="002E39C5"/>
    <w:rsid w:val="002E4B65"/>
    <w:rsid w:val="002E5915"/>
    <w:rsid w:val="002E6799"/>
    <w:rsid w:val="002F0915"/>
    <w:rsid w:val="002F275A"/>
    <w:rsid w:val="002F335F"/>
    <w:rsid w:val="002F3ED1"/>
    <w:rsid w:val="002F57E5"/>
    <w:rsid w:val="003009EE"/>
    <w:rsid w:val="003036D7"/>
    <w:rsid w:val="0031315F"/>
    <w:rsid w:val="00315DD5"/>
    <w:rsid w:val="00316522"/>
    <w:rsid w:val="0032597E"/>
    <w:rsid w:val="00325F85"/>
    <w:rsid w:val="00326666"/>
    <w:rsid w:val="003305E9"/>
    <w:rsid w:val="00331196"/>
    <w:rsid w:val="003325E8"/>
    <w:rsid w:val="003331FA"/>
    <w:rsid w:val="003360BF"/>
    <w:rsid w:val="00337EE0"/>
    <w:rsid w:val="003402D3"/>
    <w:rsid w:val="00346990"/>
    <w:rsid w:val="003554FA"/>
    <w:rsid w:val="0035602F"/>
    <w:rsid w:val="00356699"/>
    <w:rsid w:val="0035784D"/>
    <w:rsid w:val="00361CD1"/>
    <w:rsid w:val="003671BD"/>
    <w:rsid w:val="00371A1D"/>
    <w:rsid w:val="00371A29"/>
    <w:rsid w:val="00371E60"/>
    <w:rsid w:val="00372A16"/>
    <w:rsid w:val="00374473"/>
    <w:rsid w:val="00376EC2"/>
    <w:rsid w:val="00377B8E"/>
    <w:rsid w:val="00381796"/>
    <w:rsid w:val="0038245A"/>
    <w:rsid w:val="00385148"/>
    <w:rsid w:val="00391924"/>
    <w:rsid w:val="00393642"/>
    <w:rsid w:val="003A22EF"/>
    <w:rsid w:val="003A2E71"/>
    <w:rsid w:val="003A631A"/>
    <w:rsid w:val="003B0A6D"/>
    <w:rsid w:val="003B1A3D"/>
    <w:rsid w:val="003B1D9B"/>
    <w:rsid w:val="003C19E9"/>
    <w:rsid w:val="003C489D"/>
    <w:rsid w:val="003C5173"/>
    <w:rsid w:val="003C62AE"/>
    <w:rsid w:val="003C6437"/>
    <w:rsid w:val="003C7B45"/>
    <w:rsid w:val="003D07CF"/>
    <w:rsid w:val="003D10EA"/>
    <w:rsid w:val="003D2349"/>
    <w:rsid w:val="003D6B82"/>
    <w:rsid w:val="003E5B1F"/>
    <w:rsid w:val="003F1087"/>
    <w:rsid w:val="003F136F"/>
    <w:rsid w:val="003F1C2A"/>
    <w:rsid w:val="003F2133"/>
    <w:rsid w:val="003F5B6B"/>
    <w:rsid w:val="00400387"/>
    <w:rsid w:val="00401BFB"/>
    <w:rsid w:val="00402110"/>
    <w:rsid w:val="004027FA"/>
    <w:rsid w:val="004114FE"/>
    <w:rsid w:val="00413210"/>
    <w:rsid w:val="004159CD"/>
    <w:rsid w:val="00417392"/>
    <w:rsid w:val="00421526"/>
    <w:rsid w:val="00432951"/>
    <w:rsid w:val="00433AF3"/>
    <w:rsid w:val="00435111"/>
    <w:rsid w:val="00440C8A"/>
    <w:rsid w:val="004441CC"/>
    <w:rsid w:val="00444711"/>
    <w:rsid w:val="00447DE7"/>
    <w:rsid w:val="00451E59"/>
    <w:rsid w:val="00461F31"/>
    <w:rsid w:val="00463DD5"/>
    <w:rsid w:val="00464B24"/>
    <w:rsid w:val="0046799B"/>
    <w:rsid w:val="00473051"/>
    <w:rsid w:val="0047507A"/>
    <w:rsid w:val="004758D0"/>
    <w:rsid w:val="00476AD4"/>
    <w:rsid w:val="00476C7E"/>
    <w:rsid w:val="0048232D"/>
    <w:rsid w:val="00482544"/>
    <w:rsid w:val="00482BC1"/>
    <w:rsid w:val="004847C8"/>
    <w:rsid w:val="00484EB9"/>
    <w:rsid w:val="00485D15"/>
    <w:rsid w:val="004909ED"/>
    <w:rsid w:val="00492F30"/>
    <w:rsid w:val="004A2C48"/>
    <w:rsid w:val="004A4638"/>
    <w:rsid w:val="004A7365"/>
    <w:rsid w:val="004B7CE6"/>
    <w:rsid w:val="004C29E7"/>
    <w:rsid w:val="004C4D8C"/>
    <w:rsid w:val="004C7C3E"/>
    <w:rsid w:val="004D142B"/>
    <w:rsid w:val="004D2915"/>
    <w:rsid w:val="004D58C8"/>
    <w:rsid w:val="004D63A7"/>
    <w:rsid w:val="004D7926"/>
    <w:rsid w:val="004E1B22"/>
    <w:rsid w:val="004E2342"/>
    <w:rsid w:val="004F17ED"/>
    <w:rsid w:val="004F5E11"/>
    <w:rsid w:val="004F6454"/>
    <w:rsid w:val="004F648E"/>
    <w:rsid w:val="004F7816"/>
    <w:rsid w:val="00503D27"/>
    <w:rsid w:val="00504601"/>
    <w:rsid w:val="0050668E"/>
    <w:rsid w:val="00515D84"/>
    <w:rsid w:val="00520916"/>
    <w:rsid w:val="00520FEC"/>
    <w:rsid w:val="00521C2F"/>
    <w:rsid w:val="00523D88"/>
    <w:rsid w:val="005240FF"/>
    <w:rsid w:val="005270B0"/>
    <w:rsid w:val="00530EFF"/>
    <w:rsid w:val="00531472"/>
    <w:rsid w:val="00534D27"/>
    <w:rsid w:val="005379A6"/>
    <w:rsid w:val="00540940"/>
    <w:rsid w:val="0054580A"/>
    <w:rsid w:val="00547399"/>
    <w:rsid w:val="00556016"/>
    <w:rsid w:val="0055652E"/>
    <w:rsid w:val="00557B2B"/>
    <w:rsid w:val="00557DF4"/>
    <w:rsid w:val="005604DC"/>
    <w:rsid w:val="005634B4"/>
    <w:rsid w:val="005711D6"/>
    <w:rsid w:val="00573B30"/>
    <w:rsid w:val="00577627"/>
    <w:rsid w:val="00583422"/>
    <w:rsid w:val="005857AF"/>
    <w:rsid w:val="00585EF2"/>
    <w:rsid w:val="00586118"/>
    <w:rsid w:val="00586D0B"/>
    <w:rsid w:val="005905D1"/>
    <w:rsid w:val="00594850"/>
    <w:rsid w:val="00597F19"/>
    <w:rsid w:val="005A4A7E"/>
    <w:rsid w:val="005A5177"/>
    <w:rsid w:val="005B3E0B"/>
    <w:rsid w:val="005B4804"/>
    <w:rsid w:val="005B53AC"/>
    <w:rsid w:val="005B5A2D"/>
    <w:rsid w:val="005C1C5B"/>
    <w:rsid w:val="005D00C0"/>
    <w:rsid w:val="005D0870"/>
    <w:rsid w:val="005D3C84"/>
    <w:rsid w:val="005D4059"/>
    <w:rsid w:val="005D48EB"/>
    <w:rsid w:val="005E0715"/>
    <w:rsid w:val="005E2AFD"/>
    <w:rsid w:val="005F127A"/>
    <w:rsid w:val="005F415A"/>
    <w:rsid w:val="005F4C0B"/>
    <w:rsid w:val="005F5465"/>
    <w:rsid w:val="005F65FC"/>
    <w:rsid w:val="00600E04"/>
    <w:rsid w:val="0060163B"/>
    <w:rsid w:val="00603160"/>
    <w:rsid w:val="00603C66"/>
    <w:rsid w:val="00610BF9"/>
    <w:rsid w:val="00611B2D"/>
    <w:rsid w:val="006122C7"/>
    <w:rsid w:val="00613624"/>
    <w:rsid w:val="00616FD5"/>
    <w:rsid w:val="00617120"/>
    <w:rsid w:val="00620CA3"/>
    <w:rsid w:val="00620CFE"/>
    <w:rsid w:val="00624EC3"/>
    <w:rsid w:val="006320D5"/>
    <w:rsid w:val="006349FA"/>
    <w:rsid w:val="00636F1C"/>
    <w:rsid w:val="00647128"/>
    <w:rsid w:val="00647675"/>
    <w:rsid w:val="00651256"/>
    <w:rsid w:val="0065201D"/>
    <w:rsid w:val="006529D4"/>
    <w:rsid w:val="006537C3"/>
    <w:rsid w:val="006579E7"/>
    <w:rsid w:val="00660470"/>
    <w:rsid w:val="006655F6"/>
    <w:rsid w:val="00676B77"/>
    <w:rsid w:val="00677E2D"/>
    <w:rsid w:val="00677F5F"/>
    <w:rsid w:val="006830E7"/>
    <w:rsid w:val="00696E3A"/>
    <w:rsid w:val="006A1698"/>
    <w:rsid w:val="006A214E"/>
    <w:rsid w:val="006A24B2"/>
    <w:rsid w:val="006A393C"/>
    <w:rsid w:val="006A4887"/>
    <w:rsid w:val="006A4A3F"/>
    <w:rsid w:val="006B4FF8"/>
    <w:rsid w:val="006B59A4"/>
    <w:rsid w:val="006C061E"/>
    <w:rsid w:val="006C75E7"/>
    <w:rsid w:val="006D01B9"/>
    <w:rsid w:val="006D09C3"/>
    <w:rsid w:val="006D320C"/>
    <w:rsid w:val="006D3379"/>
    <w:rsid w:val="006D6697"/>
    <w:rsid w:val="006D7857"/>
    <w:rsid w:val="006D7CC4"/>
    <w:rsid w:val="006D7F53"/>
    <w:rsid w:val="006E3E5B"/>
    <w:rsid w:val="006E5B54"/>
    <w:rsid w:val="006E7F8E"/>
    <w:rsid w:val="006F030C"/>
    <w:rsid w:val="006F1B5C"/>
    <w:rsid w:val="006F5942"/>
    <w:rsid w:val="006F675B"/>
    <w:rsid w:val="0070087A"/>
    <w:rsid w:val="00704353"/>
    <w:rsid w:val="00706F9D"/>
    <w:rsid w:val="00707742"/>
    <w:rsid w:val="007101BD"/>
    <w:rsid w:val="00710A28"/>
    <w:rsid w:val="00713888"/>
    <w:rsid w:val="0071447C"/>
    <w:rsid w:val="0071453E"/>
    <w:rsid w:val="00714AA8"/>
    <w:rsid w:val="00716DE4"/>
    <w:rsid w:val="00720F98"/>
    <w:rsid w:val="00723FB9"/>
    <w:rsid w:val="007256D3"/>
    <w:rsid w:val="0073335A"/>
    <w:rsid w:val="00741079"/>
    <w:rsid w:val="007425E1"/>
    <w:rsid w:val="0074661A"/>
    <w:rsid w:val="0074753B"/>
    <w:rsid w:val="00754874"/>
    <w:rsid w:val="00755F65"/>
    <w:rsid w:val="00756C42"/>
    <w:rsid w:val="00756E8A"/>
    <w:rsid w:val="00756E91"/>
    <w:rsid w:val="00757130"/>
    <w:rsid w:val="007615CE"/>
    <w:rsid w:val="00761F93"/>
    <w:rsid w:val="00763568"/>
    <w:rsid w:val="007737AF"/>
    <w:rsid w:val="00784BD8"/>
    <w:rsid w:val="007869E1"/>
    <w:rsid w:val="00786C90"/>
    <w:rsid w:val="007956B0"/>
    <w:rsid w:val="00795CD6"/>
    <w:rsid w:val="007A14A0"/>
    <w:rsid w:val="007A1B2A"/>
    <w:rsid w:val="007A4143"/>
    <w:rsid w:val="007A4480"/>
    <w:rsid w:val="007A4CC6"/>
    <w:rsid w:val="007A6DEF"/>
    <w:rsid w:val="007A71E5"/>
    <w:rsid w:val="007A79BD"/>
    <w:rsid w:val="007A7A83"/>
    <w:rsid w:val="007B0FCC"/>
    <w:rsid w:val="007B16A9"/>
    <w:rsid w:val="007B3562"/>
    <w:rsid w:val="007B7E2A"/>
    <w:rsid w:val="007C1AF1"/>
    <w:rsid w:val="007C52A6"/>
    <w:rsid w:val="007C66BE"/>
    <w:rsid w:val="007D15E4"/>
    <w:rsid w:val="007D2D93"/>
    <w:rsid w:val="007D2EB9"/>
    <w:rsid w:val="007D5217"/>
    <w:rsid w:val="007E2425"/>
    <w:rsid w:val="007E6AB0"/>
    <w:rsid w:val="007F08DF"/>
    <w:rsid w:val="007F0C4A"/>
    <w:rsid w:val="007F4D98"/>
    <w:rsid w:val="0080684F"/>
    <w:rsid w:val="00810614"/>
    <w:rsid w:val="008134D8"/>
    <w:rsid w:val="00813800"/>
    <w:rsid w:val="00815AA3"/>
    <w:rsid w:val="0081720D"/>
    <w:rsid w:val="00823022"/>
    <w:rsid w:val="00825E61"/>
    <w:rsid w:val="00826CB6"/>
    <w:rsid w:val="0082731D"/>
    <w:rsid w:val="008320B4"/>
    <w:rsid w:val="008327FC"/>
    <w:rsid w:val="0083386B"/>
    <w:rsid w:val="008428E3"/>
    <w:rsid w:val="00842AD4"/>
    <w:rsid w:val="00850ED9"/>
    <w:rsid w:val="00852D90"/>
    <w:rsid w:val="0085485E"/>
    <w:rsid w:val="00855DDB"/>
    <w:rsid w:val="00862AD6"/>
    <w:rsid w:val="008651BA"/>
    <w:rsid w:val="008735EE"/>
    <w:rsid w:val="00881995"/>
    <w:rsid w:val="00881E85"/>
    <w:rsid w:val="008847D7"/>
    <w:rsid w:val="008853C3"/>
    <w:rsid w:val="00886585"/>
    <w:rsid w:val="00897619"/>
    <w:rsid w:val="008A0E25"/>
    <w:rsid w:val="008A136F"/>
    <w:rsid w:val="008A5658"/>
    <w:rsid w:val="008A757E"/>
    <w:rsid w:val="008B1A7D"/>
    <w:rsid w:val="008B2E65"/>
    <w:rsid w:val="008B641D"/>
    <w:rsid w:val="008C043F"/>
    <w:rsid w:val="008C17EC"/>
    <w:rsid w:val="008C5BC6"/>
    <w:rsid w:val="008D019F"/>
    <w:rsid w:val="008D7229"/>
    <w:rsid w:val="008E1A92"/>
    <w:rsid w:val="008E2066"/>
    <w:rsid w:val="008E35C5"/>
    <w:rsid w:val="008E5EB6"/>
    <w:rsid w:val="008E6E05"/>
    <w:rsid w:val="008F0259"/>
    <w:rsid w:val="008F329B"/>
    <w:rsid w:val="00900CEC"/>
    <w:rsid w:val="009107E0"/>
    <w:rsid w:val="0091499D"/>
    <w:rsid w:val="00915B65"/>
    <w:rsid w:val="00915BAF"/>
    <w:rsid w:val="00915E21"/>
    <w:rsid w:val="00917A77"/>
    <w:rsid w:val="0092720B"/>
    <w:rsid w:val="009273D5"/>
    <w:rsid w:val="00930C98"/>
    <w:rsid w:val="009319E5"/>
    <w:rsid w:val="009329B5"/>
    <w:rsid w:val="00933869"/>
    <w:rsid w:val="009362F2"/>
    <w:rsid w:val="009371D5"/>
    <w:rsid w:val="009374E5"/>
    <w:rsid w:val="0094393B"/>
    <w:rsid w:val="00945120"/>
    <w:rsid w:val="009511FE"/>
    <w:rsid w:val="00954BA2"/>
    <w:rsid w:val="00957B87"/>
    <w:rsid w:val="0096096D"/>
    <w:rsid w:val="0096164D"/>
    <w:rsid w:val="009619EB"/>
    <w:rsid w:val="0096606E"/>
    <w:rsid w:val="00971C21"/>
    <w:rsid w:val="00972926"/>
    <w:rsid w:val="00972FD3"/>
    <w:rsid w:val="009757FE"/>
    <w:rsid w:val="009766A3"/>
    <w:rsid w:val="0097703F"/>
    <w:rsid w:val="009821BB"/>
    <w:rsid w:val="009837F7"/>
    <w:rsid w:val="00983AF2"/>
    <w:rsid w:val="009844D0"/>
    <w:rsid w:val="0098484D"/>
    <w:rsid w:val="00986520"/>
    <w:rsid w:val="00986DF1"/>
    <w:rsid w:val="0099041D"/>
    <w:rsid w:val="00990AE3"/>
    <w:rsid w:val="00994A47"/>
    <w:rsid w:val="00996B20"/>
    <w:rsid w:val="00997B3A"/>
    <w:rsid w:val="00997D7F"/>
    <w:rsid w:val="009A25B4"/>
    <w:rsid w:val="009A6A7C"/>
    <w:rsid w:val="009B31BB"/>
    <w:rsid w:val="009B3665"/>
    <w:rsid w:val="009B484F"/>
    <w:rsid w:val="009B5DF8"/>
    <w:rsid w:val="009B6820"/>
    <w:rsid w:val="009C5379"/>
    <w:rsid w:val="009C5A6D"/>
    <w:rsid w:val="009C6B7B"/>
    <w:rsid w:val="009D1314"/>
    <w:rsid w:val="009D3F13"/>
    <w:rsid w:val="009E2977"/>
    <w:rsid w:val="009E2D9B"/>
    <w:rsid w:val="009E4D03"/>
    <w:rsid w:val="009E6A08"/>
    <w:rsid w:val="009F06EF"/>
    <w:rsid w:val="009F333B"/>
    <w:rsid w:val="009F78CC"/>
    <w:rsid w:val="00A1136E"/>
    <w:rsid w:val="00A126AB"/>
    <w:rsid w:val="00A1550A"/>
    <w:rsid w:val="00A16DD6"/>
    <w:rsid w:val="00A235FF"/>
    <w:rsid w:val="00A2372C"/>
    <w:rsid w:val="00A31847"/>
    <w:rsid w:val="00A34652"/>
    <w:rsid w:val="00A44963"/>
    <w:rsid w:val="00A50D3E"/>
    <w:rsid w:val="00A54BB1"/>
    <w:rsid w:val="00A6005A"/>
    <w:rsid w:val="00A60C58"/>
    <w:rsid w:val="00A622E5"/>
    <w:rsid w:val="00A66524"/>
    <w:rsid w:val="00A67060"/>
    <w:rsid w:val="00A70B9A"/>
    <w:rsid w:val="00A716EB"/>
    <w:rsid w:val="00A76206"/>
    <w:rsid w:val="00A775A8"/>
    <w:rsid w:val="00A801F1"/>
    <w:rsid w:val="00A80C56"/>
    <w:rsid w:val="00A80E03"/>
    <w:rsid w:val="00A81841"/>
    <w:rsid w:val="00A87177"/>
    <w:rsid w:val="00A91569"/>
    <w:rsid w:val="00A91AB4"/>
    <w:rsid w:val="00A9213F"/>
    <w:rsid w:val="00A92CAD"/>
    <w:rsid w:val="00A94408"/>
    <w:rsid w:val="00A97D6C"/>
    <w:rsid w:val="00AA148B"/>
    <w:rsid w:val="00AB0144"/>
    <w:rsid w:val="00AB3415"/>
    <w:rsid w:val="00AB6D2E"/>
    <w:rsid w:val="00AC2D57"/>
    <w:rsid w:val="00AD05DC"/>
    <w:rsid w:val="00AD35DB"/>
    <w:rsid w:val="00AD392A"/>
    <w:rsid w:val="00AD49C2"/>
    <w:rsid w:val="00AE378E"/>
    <w:rsid w:val="00AE408A"/>
    <w:rsid w:val="00AF425D"/>
    <w:rsid w:val="00B00E2F"/>
    <w:rsid w:val="00B12DAE"/>
    <w:rsid w:val="00B136C6"/>
    <w:rsid w:val="00B1387E"/>
    <w:rsid w:val="00B14980"/>
    <w:rsid w:val="00B160CD"/>
    <w:rsid w:val="00B17A4B"/>
    <w:rsid w:val="00B20834"/>
    <w:rsid w:val="00B231BC"/>
    <w:rsid w:val="00B23762"/>
    <w:rsid w:val="00B24A12"/>
    <w:rsid w:val="00B25E7A"/>
    <w:rsid w:val="00B4142E"/>
    <w:rsid w:val="00B41ECB"/>
    <w:rsid w:val="00B432EB"/>
    <w:rsid w:val="00B438AA"/>
    <w:rsid w:val="00B44172"/>
    <w:rsid w:val="00B46D51"/>
    <w:rsid w:val="00B51BD2"/>
    <w:rsid w:val="00B51C06"/>
    <w:rsid w:val="00B54196"/>
    <w:rsid w:val="00B56C1C"/>
    <w:rsid w:val="00B57D0B"/>
    <w:rsid w:val="00B611C0"/>
    <w:rsid w:val="00B62D3D"/>
    <w:rsid w:val="00B6485A"/>
    <w:rsid w:val="00B648E4"/>
    <w:rsid w:val="00B66F15"/>
    <w:rsid w:val="00B67616"/>
    <w:rsid w:val="00B7083C"/>
    <w:rsid w:val="00B71509"/>
    <w:rsid w:val="00B86D99"/>
    <w:rsid w:val="00B875E3"/>
    <w:rsid w:val="00B926D6"/>
    <w:rsid w:val="00B927FB"/>
    <w:rsid w:val="00BA1E7A"/>
    <w:rsid w:val="00BA5CDE"/>
    <w:rsid w:val="00BA698D"/>
    <w:rsid w:val="00BB54AE"/>
    <w:rsid w:val="00BB72D1"/>
    <w:rsid w:val="00BB72F4"/>
    <w:rsid w:val="00BC0E65"/>
    <w:rsid w:val="00BC1F34"/>
    <w:rsid w:val="00BC3204"/>
    <w:rsid w:val="00BC6D2B"/>
    <w:rsid w:val="00BD0C90"/>
    <w:rsid w:val="00BE0596"/>
    <w:rsid w:val="00C03FB5"/>
    <w:rsid w:val="00C04DC6"/>
    <w:rsid w:val="00C060EC"/>
    <w:rsid w:val="00C06FFF"/>
    <w:rsid w:val="00C11539"/>
    <w:rsid w:val="00C12D4B"/>
    <w:rsid w:val="00C20D30"/>
    <w:rsid w:val="00C20F16"/>
    <w:rsid w:val="00C258B6"/>
    <w:rsid w:val="00C25ACC"/>
    <w:rsid w:val="00C27C83"/>
    <w:rsid w:val="00C33C2F"/>
    <w:rsid w:val="00C3421C"/>
    <w:rsid w:val="00C35814"/>
    <w:rsid w:val="00C403F6"/>
    <w:rsid w:val="00C40CEE"/>
    <w:rsid w:val="00C45CF6"/>
    <w:rsid w:val="00C5151E"/>
    <w:rsid w:val="00C53557"/>
    <w:rsid w:val="00C54128"/>
    <w:rsid w:val="00C54215"/>
    <w:rsid w:val="00C57C1D"/>
    <w:rsid w:val="00C57CC5"/>
    <w:rsid w:val="00C625F6"/>
    <w:rsid w:val="00C63B12"/>
    <w:rsid w:val="00C741A6"/>
    <w:rsid w:val="00C746E8"/>
    <w:rsid w:val="00C756B3"/>
    <w:rsid w:val="00C76062"/>
    <w:rsid w:val="00C82157"/>
    <w:rsid w:val="00C83A0D"/>
    <w:rsid w:val="00C858E1"/>
    <w:rsid w:val="00C8680A"/>
    <w:rsid w:val="00C924AA"/>
    <w:rsid w:val="00C954EF"/>
    <w:rsid w:val="00C9577A"/>
    <w:rsid w:val="00CA1B49"/>
    <w:rsid w:val="00CA64C7"/>
    <w:rsid w:val="00CB1F4B"/>
    <w:rsid w:val="00CC2B9E"/>
    <w:rsid w:val="00CC2D3C"/>
    <w:rsid w:val="00CC60CB"/>
    <w:rsid w:val="00CC6E43"/>
    <w:rsid w:val="00CD0943"/>
    <w:rsid w:val="00CD0CAF"/>
    <w:rsid w:val="00CD55D0"/>
    <w:rsid w:val="00CD71D1"/>
    <w:rsid w:val="00CD7B21"/>
    <w:rsid w:val="00CE10C2"/>
    <w:rsid w:val="00CE63EA"/>
    <w:rsid w:val="00CE6EC2"/>
    <w:rsid w:val="00CF24F2"/>
    <w:rsid w:val="00CF2841"/>
    <w:rsid w:val="00CF7E23"/>
    <w:rsid w:val="00D06760"/>
    <w:rsid w:val="00D06952"/>
    <w:rsid w:val="00D06A5D"/>
    <w:rsid w:val="00D06CE3"/>
    <w:rsid w:val="00D06D61"/>
    <w:rsid w:val="00D15ECA"/>
    <w:rsid w:val="00D209EE"/>
    <w:rsid w:val="00D22F78"/>
    <w:rsid w:val="00D2304C"/>
    <w:rsid w:val="00D24074"/>
    <w:rsid w:val="00D24D26"/>
    <w:rsid w:val="00D26917"/>
    <w:rsid w:val="00D270BC"/>
    <w:rsid w:val="00D30684"/>
    <w:rsid w:val="00D3074E"/>
    <w:rsid w:val="00D34E11"/>
    <w:rsid w:val="00D37E65"/>
    <w:rsid w:val="00D413A2"/>
    <w:rsid w:val="00D426E2"/>
    <w:rsid w:val="00D457F4"/>
    <w:rsid w:val="00D5359B"/>
    <w:rsid w:val="00D5786C"/>
    <w:rsid w:val="00D666CC"/>
    <w:rsid w:val="00D80467"/>
    <w:rsid w:val="00D82CD1"/>
    <w:rsid w:val="00D86155"/>
    <w:rsid w:val="00D94D0F"/>
    <w:rsid w:val="00D94EAD"/>
    <w:rsid w:val="00D96732"/>
    <w:rsid w:val="00D97D67"/>
    <w:rsid w:val="00DA78F6"/>
    <w:rsid w:val="00DB07CB"/>
    <w:rsid w:val="00DB54FF"/>
    <w:rsid w:val="00DB6248"/>
    <w:rsid w:val="00DC2074"/>
    <w:rsid w:val="00DC3178"/>
    <w:rsid w:val="00DC6AB6"/>
    <w:rsid w:val="00DD1BD5"/>
    <w:rsid w:val="00DD36E9"/>
    <w:rsid w:val="00DD54E1"/>
    <w:rsid w:val="00DD5843"/>
    <w:rsid w:val="00DD75DA"/>
    <w:rsid w:val="00DE045C"/>
    <w:rsid w:val="00DE05E1"/>
    <w:rsid w:val="00DE5FA0"/>
    <w:rsid w:val="00DE7183"/>
    <w:rsid w:val="00DF0B66"/>
    <w:rsid w:val="00DF1584"/>
    <w:rsid w:val="00DF233C"/>
    <w:rsid w:val="00DF6990"/>
    <w:rsid w:val="00E018BF"/>
    <w:rsid w:val="00E06461"/>
    <w:rsid w:val="00E104BF"/>
    <w:rsid w:val="00E11644"/>
    <w:rsid w:val="00E143A3"/>
    <w:rsid w:val="00E160A8"/>
    <w:rsid w:val="00E22704"/>
    <w:rsid w:val="00E24E90"/>
    <w:rsid w:val="00E26948"/>
    <w:rsid w:val="00E302CF"/>
    <w:rsid w:val="00E306F6"/>
    <w:rsid w:val="00E312A3"/>
    <w:rsid w:val="00E37C83"/>
    <w:rsid w:val="00E416AE"/>
    <w:rsid w:val="00E44457"/>
    <w:rsid w:val="00E463BC"/>
    <w:rsid w:val="00E55992"/>
    <w:rsid w:val="00E57206"/>
    <w:rsid w:val="00E57449"/>
    <w:rsid w:val="00E645DA"/>
    <w:rsid w:val="00E66C18"/>
    <w:rsid w:val="00E7064A"/>
    <w:rsid w:val="00E7443C"/>
    <w:rsid w:val="00E74867"/>
    <w:rsid w:val="00E74A0B"/>
    <w:rsid w:val="00E76458"/>
    <w:rsid w:val="00E77A5D"/>
    <w:rsid w:val="00E810D2"/>
    <w:rsid w:val="00E81B9D"/>
    <w:rsid w:val="00E831E0"/>
    <w:rsid w:val="00E85C65"/>
    <w:rsid w:val="00E871B0"/>
    <w:rsid w:val="00E91C85"/>
    <w:rsid w:val="00E95349"/>
    <w:rsid w:val="00E978E6"/>
    <w:rsid w:val="00EA03B1"/>
    <w:rsid w:val="00EA16D0"/>
    <w:rsid w:val="00EB5A82"/>
    <w:rsid w:val="00EB68E0"/>
    <w:rsid w:val="00EC0EE0"/>
    <w:rsid w:val="00EC26BF"/>
    <w:rsid w:val="00EC2CD2"/>
    <w:rsid w:val="00EC3E1A"/>
    <w:rsid w:val="00EC43A7"/>
    <w:rsid w:val="00EC46F9"/>
    <w:rsid w:val="00EC63AE"/>
    <w:rsid w:val="00ED09BD"/>
    <w:rsid w:val="00ED1EBF"/>
    <w:rsid w:val="00ED25EB"/>
    <w:rsid w:val="00ED465B"/>
    <w:rsid w:val="00EE10F8"/>
    <w:rsid w:val="00EE30BA"/>
    <w:rsid w:val="00EE61C5"/>
    <w:rsid w:val="00EF15DF"/>
    <w:rsid w:val="00EF3460"/>
    <w:rsid w:val="00EF473A"/>
    <w:rsid w:val="00EF53C7"/>
    <w:rsid w:val="00EF7676"/>
    <w:rsid w:val="00F00B76"/>
    <w:rsid w:val="00F02E72"/>
    <w:rsid w:val="00F06A4B"/>
    <w:rsid w:val="00F10525"/>
    <w:rsid w:val="00F12D19"/>
    <w:rsid w:val="00F20B5F"/>
    <w:rsid w:val="00F262EC"/>
    <w:rsid w:val="00F32492"/>
    <w:rsid w:val="00F33401"/>
    <w:rsid w:val="00F34163"/>
    <w:rsid w:val="00F34CD4"/>
    <w:rsid w:val="00F43E33"/>
    <w:rsid w:val="00F47B80"/>
    <w:rsid w:val="00F47D48"/>
    <w:rsid w:val="00F50547"/>
    <w:rsid w:val="00F51FBD"/>
    <w:rsid w:val="00F5233B"/>
    <w:rsid w:val="00F608A3"/>
    <w:rsid w:val="00F65C3C"/>
    <w:rsid w:val="00F705DC"/>
    <w:rsid w:val="00F7069D"/>
    <w:rsid w:val="00F72137"/>
    <w:rsid w:val="00F74151"/>
    <w:rsid w:val="00F7764B"/>
    <w:rsid w:val="00F8043C"/>
    <w:rsid w:val="00F8164C"/>
    <w:rsid w:val="00F83B82"/>
    <w:rsid w:val="00F84741"/>
    <w:rsid w:val="00F8775D"/>
    <w:rsid w:val="00F90237"/>
    <w:rsid w:val="00F94944"/>
    <w:rsid w:val="00F94C75"/>
    <w:rsid w:val="00FA300F"/>
    <w:rsid w:val="00FA69CB"/>
    <w:rsid w:val="00FA6F44"/>
    <w:rsid w:val="00FB01F9"/>
    <w:rsid w:val="00FB14C6"/>
    <w:rsid w:val="00FB191F"/>
    <w:rsid w:val="00FB2BB2"/>
    <w:rsid w:val="00FB365B"/>
    <w:rsid w:val="00FB7D39"/>
    <w:rsid w:val="00FC0DBF"/>
    <w:rsid w:val="00FC3E8C"/>
    <w:rsid w:val="00FC53FE"/>
    <w:rsid w:val="00FD2A2E"/>
    <w:rsid w:val="00FD3C23"/>
    <w:rsid w:val="00FE0471"/>
    <w:rsid w:val="00FE31F1"/>
    <w:rsid w:val="00FE4C0E"/>
    <w:rsid w:val="00FE6A1C"/>
    <w:rsid w:val="00FE714B"/>
    <w:rsid w:val="00FF144D"/>
    <w:rsid w:val="00FF2F1E"/>
    <w:rsid w:val="00FF4E61"/>
    <w:rsid w:val="00FF52E1"/>
    <w:rsid w:val="00FF6B3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3582F"/>
  <w15:docId w15:val="{D85DC8FA-A76B-4AD4-9963-BCFA363A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7DF0"/>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A94408"/>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A94408"/>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A94408"/>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F34163"/>
    <w:rPr>
      <w:rFonts w:ascii="Times New Roman" w:eastAsia="SimSun" w:hAnsi="Times New Roman" w:cs="Times New Roman"/>
      <w:noProof/>
    </w:rPr>
  </w:style>
  <w:style w:type="character" w:customStyle="1" w:styleId="CharChar12">
    <w:name w:val="Char Char12"/>
    <w:locked/>
    <w:rsid w:val="00F34163"/>
    <w:rPr>
      <w:snapToGrid w:val="0"/>
      <w:lang w:val="en-GB" w:eastAsia="en-US" w:bidi="ar-SA"/>
    </w:rPr>
  </w:style>
  <w:style w:type="paragraph" w:styleId="Antrat">
    <w:name w:val="caption"/>
    <w:basedOn w:val="prastasis"/>
    <w:qFormat/>
    <w:rsid w:val="00AD49C2"/>
    <w:pPr>
      <w:widowControl w:val="0"/>
      <w:tabs>
        <w:tab w:val="clear" w:pos="567"/>
      </w:tabs>
      <w:suppressAutoHyphens/>
      <w:spacing w:before="120" w:after="120" w:line="240" w:lineRule="auto"/>
    </w:pPr>
    <w:rPr>
      <w:rFonts w:ascii="Arial" w:hAnsi="Arial" w:cs="Tahoma"/>
      <w:i/>
      <w:iCs/>
      <w:snapToGrid/>
      <w:szCs w:val="24"/>
      <w:lang w:val="en-AU" w:eastAsia="zh-CN"/>
    </w:rPr>
  </w:style>
  <w:style w:type="paragraph" w:styleId="Sraassuenkleliais">
    <w:name w:val="List Bullet"/>
    <w:basedOn w:val="Sraas"/>
    <w:rsid w:val="00AD49C2"/>
    <w:pPr>
      <w:widowControl w:val="0"/>
      <w:tabs>
        <w:tab w:val="clear" w:pos="567"/>
      </w:tabs>
      <w:suppressAutoHyphens/>
      <w:spacing w:line="240" w:lineRule="auto"/>
      <w:contextualSpacing w:val="0"/>
    </w:pPr>
    <w:rPr>
      <w:rFonts w:ascii="Arial" w:hAnsi="Arial" w:cs="Tahoma"/>
      <w:bCs/>
      <w:snapToGrid/>
      <w:lang w:val="en-AU" w:eastAsia="zh-CN"/>
    </w:rPr>
  </w:style>
  <w:style w:type="paragraph" w:styleId="Sraas">
    <w:name w:val="List"/>
    <w:basedOn w:val="prastasis"/>
    <w:uiPriority w:val="99"/>
    <w:semiHidden/>
    <w:unhideWhenUsed/>
    <w:rsid w:val="00AD49C2"/>
    <w:pPr>
      <w:ind w:left="360" w:hanging="360"/>
      <w:contextualSpacing/>
    </w:pPr>
  </w:style>
  <w:style w:type="paragraph" w:styleId="prastojitrauka">
    <w:name w:val="Normal Indent"/>
    <w:basedOn w:val="prastasis"/>
    <w:rsid w:val="00AD49C2"/>
    <w:pPr>
      <w:tabs>
        <w:tab w:val="clear" w:pos="567"/>
      </w:tabs>
      <w:spacing w:after="120" w:line="240" w:lineRule="auto"/>
      <w:ind w:left="720"/>
    </w:pPr>
    <w:rPr>
      <w:snapToGrid/>
      <w:lang w:eastAsia="en-GB"/>
    </w:rPr>
  </w:style>
  <w:style w:type="paragraph" w:styleId="Sraopastraipa">
    <w:name w:val="List Paragraph"/>
    <w:basedOn w:val="prastasis"/>
    <w:uiPriority w:val="34"/>
    <w:qFormat/>
    <w:rsid w:val="00BA698D"/>
    <w:pPr>
      <w:suppressAutoHyphens/>
      <w:ind w:left="720"/>
    </w:pPr>
    <w:rPr>
      <w:snapToGrid/>
      <w:lang w:eastAsia="zh-CN"/>
    </w:rPr>
  </w:style>
  <w:style w:type="paragraph" w:styleId="Betarp">
    <w:name w:val="No Spacing"/>
    <w:uiPriority w:val="1"/>
    <w:qFormat/>
    <w:rsid w:val="00371A29"/>
    <w:pPr>
      <w:widowControl w:val="0"/>
    </w:pPr>
    <w:rPr>
      <w:rFonts w:asciiTheme="minorHAnsi" w:eastAsiaTheme="minorHAnsi" w:hAnsiTheme="minorHAnsi" w:cstheme="minorBidi"/>
      <w:sz w:val="22"/>
      <w:szCs w:val="22"/>
      <w:lang w:val="en-US" w:eastAsia="en-US"/>
    </w:rPr>
  </w:style>
  <w:style w:type="paragraph" w:styleId="HTMLiankstoformatuotas">
    <w:name w:val="HTML Preformatted"/>
    <w:basedOn w:val="prastasis"/>
    <w:link w:val="HTMLiankstoformatuotasDiagrama"/>
    <w:uiPriority w:val="99"/>
    <w:semiHidden/>
    <w:unhideWhenUsed/>
    <w:rsid w:val="00B432EB"/>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B432EB"/>
    <w:rPr>
      <w:rFonts w:ascii="Courier New" w:eastAsia="Times New Roman" w:hAnsi="Courier New" w:cs="Courier New"/>
    </w:rPr>
  </w:style>
  <w:style w:type="character" w:customStyle="1" w:styleId="Neapdorotaspaminjimas1">
    <w:name w:val="Neapdorotas paminėjimas1"/>
    <w:basedOn w:val="Numatytasispastraiposriftas"/>
    <w:uiPriority w:val="99"/>
    <w:semiHidden/>
    <w:unhideWhenUsed/>
    <w:rsid w:val="00BC1F34"/>
    <w:rPr>
      <w:color w:val="605E5C"/>
      <w:shd w:val="clear" w:color="auto" w:fill="E1DFDD"/>
    </w:rPr>
  </w:style>
  <w:style w:type="character" w:styleId="Neapdorotaspaminjimas">
    <w:name w:val="Unresolved Mention"/>
    <w:basedOn w:val="Numatytasispastraiposriftas"/>
    <w:uiPriority w:val="99"/>
    <w:semiHidden/>
    <w:unhideWhenUsed/>
    <w:rsid w:val="003A2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25234">
      <w:bodyDiv w:val="1"/>
      <w:marLeft w:val="0"/>
      <w:marRight w:val="0"/>
      <w:marTop w:val="0"/>
      <w:marBottom w:val="0"/>
      <w:divBdr>
        <w:top w:val="none" w:sz="0" w:space="0" w:color="auto"/>
        <w:left w:val="none" w:sz="0" w:space="0" w:color="auto"/>
        <w:bottom w:val="none" w:sz="0" w:space="0" w:color="auto"/>
        <w:right w:val="none" w:sz="0" w:space="0" w:color="auto"/>
      </w:divBdr>
    </w:div>
    <w:div w:id="241571318">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623579965">
      <w:bodyDiv w:val="1"/>
      <w:marLeft w:val="0"/>
      <w:marRight w:val="0"/>
      <w:marTop w:val="0"/>
      <w:marBottom w:val="0"/>
      <w:divBdr>
        <w:top w:val="none" w:sz="0" w:space="0" w:color="auto"/>
        <w:left w:val="none" w:sz="0" w:space="0" w:color="auto"/>
        <w:bottom w:val="none" w:sz="0" w:space="0" w:color="auto"/>
        <w:right w:val="none" w:sz="0" w:space="0" w:color="auto"/>
      </w:divBdr>
      <w:divsChild>
        <w:div w:id="1346597118">
          <w:marLeft w:val="0"/>
          <w:marRight w:val="0"/>
          <w:marTop w:val="0"/>
          <w:marBottom w:val="0"/>
          <w:divBdr>
            <w:top w:val="none" w:sz="0" w:space="0" w:color="auto"/>
            <w:left w:val="none" w:sz="0" w:space="0" w:color="auto"/>
            <w:bottom w:val="none" w:sz="0" w:space="0" w:color="auto"/>
            <w:right w:val="none" w:sz="0" w:space="0" w:color="auto"/>
          </w:divBdr>
        </w:div>
      </w:divsChild>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72491002">
      <w:bodyDiv w:val="1"/>
      <w:marLeft w:val="0"/>
      <w:marRight w:val="0"/>
      <w:marTop w:val="0"/>
      <w:marBottom w:val="0"/>
      <w:divBdr>
        <w:top w:val="none" w:sz="0" w:space="0" w:color="auto"/>
        <w:left w:val="none" w:sz="0" w:space="0" w:color="auto"/>
        <w:bottom w:val="none" w:sz="0" w:space="0" w:color="auto"/>
        <w:right w:val="none" w:sz="0" w:space="0" w:color="auto"/>
      </w:divBdr>
    </w:div>
    <w:div w:id="1121612461">
      <w:bodyDiv w:val="1"/>
      <w:marLeft w:val="0"/>
      <w:marRight w:val="0"/>
      <w:marTop w:val="0"/>
      <w:marBottom w:val="0"/>
      <w:divBdr>
        <w:top w:val="none" w:sz="0" w:space="0" w:color="auto"/>
        <w:left w:val="none" w:sz="0" w:space="0" w:color="auto"/>
        <w:bottom w:val="none" w:sz="0" w:space="0" w:color="auto"/>
        <w:right w:val="none" w:sz="0" w:space="0" w:color="auto"/>
      </w:divBdr>
      <w:divsChild>
        <w:div w:id="1902519417">
          <w:marLeft w:val="0"/>
          <w:marRight w:val="0"/>
          <w:marTop w:val="0"/>
          <w:marBottom w:val="0"/>
          <w:divBdr>
            <w:top w:val="none" w:sz="0" w:space="0" w:color="auto"/>
            <w:left w:val="none" w:sz="0" w:space="0" w:color="auto"/>
            <w:bottom w:val="none" w:sz="0" w:space="0" w:color="auto"/>
            <w:right w:val="none" w:sz="0" w:space="0" w:color="auto"/>
          </w:divBdr>
        </w:div>
      </w:divsChild>
    </w:div>
    <w:div w:id="1242637581">
      <w:bodyDiv w:val="1"/>
      <w:marLeft w:val="0"/>
      <w:marRight w:val="0"/>
      <w:marTop w:val="0"/>
      <w:marBottom w:val="0"/>
      <w:divBdr>
        <w:top w:val="none" w:sz="0" w:space="0" w:color="auto"/>
        <w:left w:val="none" w:sz="0" w:space="0" w:color="auto"/>
        <w:bottom w:val="none" w:sz="0" w:space="0" w:color="auto"/>
        <w:right w:val="none" w:sz="0" w:space="0" w:color="auto"/>
      </w:divBdr>
    </w:div>
    <w:div w:id="1543784825">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87153295">
      <w:bodyDiv w:val="1"/>
      <w:marLeft w:val="0"/>
      <w:marRight w:val="0"/>
      <w:marTop w:val="0"/>
      <w:marBottom w:val="0"/>
      <w:divBdr>
        <w:top w:val="none" w:sz="0" w:space="0" w:color="auto"/>
        <w:left w:val="none" w:sz="0" w:space="0" w:color="auto"/>
        <w:bottom w:val="none" w:sz="0" w:space="0" w:color="auto"/>
        <w:right w:val="none" w:sz="0" w:space="0" w:color="auto"/>
      </w:divBdr>
    </w:div>
    <w:div w:id="1790393461">
      <w:bodyDiv w:val="1"/>
      <w:marLeft w:val="0"/>
      <w:marRight w:val="0"/>
      <w:marTop w:val="0"/>
      <w:marBottom w:val="0"/>
      <w:divBdr>
        <w:top w:val="none" w:sz="0" w:space="0" w:color="auto"/>
        <w:left w:val="none" w:sz="0" w:space="0" w:color="auto"/>
        <w:bottom w:val="none" w:sz="0" w:space="0" w:color="auto"/>
        <w:right w:val="none" w:sz="0" w:space="0" w:color="auto"/>
      </w:divBdr>
    </w:div>
    <w:div w:id="2031225474">
      <w:bodyDiv w:val="1"/>
      <w:marLeft w:val="0"/>
      <w:marRight w:val="0"/>
      <w:marTop w:val="0"/>
      <w:marBottom w:val="0"/>
      <w:divBdr>
        <w:top w:val="none" w:sz="0" w:space="0" w:color="auto"/>
        <w:left w:val="none" w:sz="0" w:space="0" w:color="auto"/>
        <w:bottom w:val="none" w:sz="0" w:space="0" w:color="auto"/>
        <w:right w:val="none" w:sz="0" w:space="0" w:color="auto"/>
      </w:divBdr>
    </w:div>
    <w:div w:id="209054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9A3BD227B4174D975B0EE0D8D67558" ma:contentTypeVersion="4" ma:contentTypeDescription="Create a new document." ma:contentTypeScope="" ma:versionID="ae870425896c24126cfd130c98065902">
  <xsd:schema xmlns:xsd="http://www.w3.org/2001/XMLSchema" xmlns:xs="http://www.w3.org/2001/XMLSchema" xmlns:p="http://schemas.microsoft.com/office/2006/metadata/properties" xmlns:ns2="a53fc896-6f54-4ee7-a77b-e7ddd1513136" targetNamespace="http://schemas.microsoft.com/office/2006/metadata/properties" ma:root="true" ma:fieldsID="dba22e17034d544254e275af86a953b0" ns2:_="">
    <xsd:import namespace="a53fc896-6f54-4ee7-a77b-e7ddd15131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fc896-6f54-4ee7-a77b-e7ddd1513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DBCCE-7B2F-4D34-A3A9-EBF1A39262DB}">
  <ds:schemaRefs>
    <ds:schemaRef ds:uri="http://schemas.microsoft.com/sharepoint/v3/contenttype/forms"/>
  </ds:schemaRefs>
</ds:datastoreItem>
</file>

<file path=customXml/itemProps2.xml><?xml version="1.0" encoding="utf-8"?>
<ds:datastoreItem xmlns:ds="http://schemas.openxmlformats.org/officeDocument/2006/customXml" ds:itemID="{F85FC468-BE8F-4714-81E9-7505482C6E70}">
  <ds:schemaRefs>
    <ds:schemaRef ds:uri="http://schemas.openxmlformats.org/officeDocument/2006/bibliography"/>
  </ds:schemaRefs>
</ds:datastoreItem>
</file>

<file path=customXml/itemProps3.xml><?xml version="1.0" encoding="utf-8"?>
<ds:datastoreItem xmlns:ds="http://schemas.openxmlformats.org/officeDocument/2006/customXml" ds:itemID="{D2775C19-28A5-48D9-B57F-C9C96084A7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D5E820-7F4C-43B4-840D-FE611BC76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fc896-6f54-4ee7-a77b-e7ddd1513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54743</Words>
  <Characters>31204</Characters>
  <Application>Microsoft Office Word</Application>
  <DocSecurity>4</DocSecurity>
  <Lines>260</Lines>
  <Paragraphs>171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85776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JaVel</dc:creator>
  <cp:lastModifiedBy>Albina Burkauskaitė</cp:lastModifiedBy>
  <cp:revision>2</cp:revision>
  <dcterms:created xsi:type="dcterms:W3CDTF">2025-11-10T07:19:00Z</dcterms:created>
  <dcterms:modified xsi:type="dcterms:W3CDTF">2025-11-10T07:19:00Z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0x010100289A3BD227B4174D975B0EE0D8D67558</vt:lpwstr>
  </property>
</Properties>
</file>